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KaiTi" w:hAnsi="Roboto"/>
                <w:b w:val="false"/>
                <w:bCs w:val="false"/>
                <w:i w:val="false"/>
                <w:iCs w:val="false"/>
                <w:color w:val="103455"/>
                <w:sz w:val="15"/>
                <w:szCs w:val="15"/>
              </w:rPr>
              <w:t xml:space="preserve">United States | Semiconductors | NAND Flash 存储</w:t>
            </w:r>
          </w:p>
          <w:p>
            <w:pPr>
              <w:spacing w:after="0" w:before="0"/>
              <w:jc w:val="left"/>
            </w:pPr>
            <w:r>
              <w:rPr>
                <w:rFonts w:ascii="Roboto" w:cs="Roboto" w:eastAsia="Roboto" w:hAnsi="Roboto"/>
                <w:b w:val="false"/>
                <w:bCs w:val="false"/>
                <w:i w:val="false"/>
                <w:iCs w:val="false"/>
                <w:color w:val="0084BF"/>
                <w:sz w:val="30"/>
                <w:szCs w:val="30"/>
              </w:rPr>
              <w:t xml:space="preserve">Sandisk</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w:t>
            </w:r>
          </w:p>
          <w:p>
            <w:pPr>
              <w:spacing w:after="0" w:before="0"/>
              <w:jc w:val="right"/>
            </w:pPr>
            <w:r>
              <w:rPr>
                <w:rFonts w:ascii="Roboto" w:cs="Roboto" w:eastAsia="Roboto" w:hAnsi="Roboto"/>
                <w:b w:val="false"/>
                <w:bCs w:val="false"/>
                <w:i w:val="false"/>
                <w:iCs w:val="false"/>
                <w:color w:val="103455"/>
                <w:sz w:val="15"/>
                <w:szCs w:val="15"/>
              </w:rPr>
              <w:t xml:space="preserve">June 11,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KaiTi" w:hAnsi="Roboto"/>
                <w:b w:val="false"/>
                <w:bCs w:val="false"/>
                <w:i w:val="false"/>
                <w:iCs w:val="false"/>
                <w:color w:val="103455"/>
                <w:sz w:val="32"/>
                <w:szCs w:val="32"/>
              </w:rPr>
              <w:t xml:space="preserve">Sandisk (SNDK): BUY | NAND 超级周期 × NBM 模式重塑——盈利结构性重估尚未被充分定价</w:t>
            </w:r>
          </w:p>
          <w:p>
            <w:pPr>
              <w:spacing w:after="220" w:before="120" w:line="280"/>
              <w:jc w:val="left"/>
            </w:pPr>
            <w:r>
              <w:rPr>
                <w:rFonts w:ascii="Roboto" w:cs="Roboto" w:eastAsia="KaiTi" w:hAnsi="Roboto"/>
                <w:b w:val="false"/>
                <w:bCs w:val="false"/>
                <w:i w:val="false"/>
                <w:iCs w:val="false"/>
                <w:color w:val="212121"/>
                <w:sz w:val="20"/>
                <w:szCs w:val="20"/>
              </w:rPr>
              <w:t xml:space="preserve">我们首次覆盖 Sandisk (SNDK) 给予买入评级。核心论点一句话：这不是一轮普通的 NAND 涨价周期，而是「AI 数据中心需求结构性爆发」叠加「NBM 长协模式重塑商业范式」共同驱动的盈利结构性重估，而当前 forward P/E 仅 9x 尚未为后者定价。三大支柱：(1) AI 推理/KVCache 驱动数据中心 NAND 需求，CY26 数据中心 exabyte 增长预期已从 mid-20% 连续上调至 mid-70%+，数据中心首次超越移动成为 NAND 最大市场；(2) 公司已签 5 份 NBM 多年期供给协议（RPO $42B、金融担保 $11B、FY27 超 1/3 比特锁定），把一次性商品销售改造成可见度高的类订阅收入，从根本上削弱周期性；(3) BiCS8 CBA 节点 + Stargate QLC 平台构建企业级 SSD 差异化壁垒，叠加全行业供给纪律与公司零债务、49.7% FCF 利润率。FQ3'26 已全面兑现：营收 US$5,950m、毛利率 78.4%、经营利润率 70.9%、EPS 23.41，均创历史纪录。</w:t>
            </w:r>
          </w:p>
          <w:p>
            <w:pPr>
              <w:spacing w:after="150" w:before="0" w:line="280"/>
              <w:jc w:val="left"/>
            </w:pPr>
            <w:r>
              <w:rPr>
                <w:rFonts w:ascii="Roboto" w:cs="Roboto" w:eastAsia="KaiTi" w:hAnsi="Roboto"/>
                <w:b/>
                <w:bCs/>
                <w:i w:val="false"/>
                <w:iCs w:val="false"/>
                <w:color w:val="000000"/>
                <w:sz w:val="20"/>
                <w:szCs w:val="20"/>
              </w:rPr>
              <w:t xml:space="preserve">核心预期差。. </w:t>
            </w:r>
            <w:r>
              <w:rPr>
                <w:rFonts w:ascii="Roboto" w:cs="Roboto" w:eastAsia="KaiTi" w:hAnsi="Roboto"/>
                <w:b w:val="false"/>
                <w:bCs w:val="false"/>
                <w:i w:val="false"/>
                <w:iCs w:val="false"/>
                <w:color w:val="212121"/>
                <w:sz w:val="20"/>
                <w:szCs w:val="20"/>
              </w:rPr>
              <w:t xml:space="preserve">市场仍按纯周期商品股给 SNDK 定价——「NAND 涨价见顶即杀估值」是 forward P/E 压在 9x、盘后一度因 NBM「约束定价灵活性」下跌 5–6% 的根源。这忽略了 NBM 改变收入性质这一结构性变化：5 份合约在签约时即锁定价格与产能（RPO $42B、金融担保 $11B、含第三方金融机构托管的预付款约 $4B 与强制分手费机制），FY27 已有超 1/3 比特、目标 &gt;50% 比特进入长协。周期峰值盈利的一部分被转化为多年可见的合约收入，公司应享有高于纯商品 NAND 同业的估值中枢。这是本报告的单一核心，后续每一章都回扣它。</w:t>
            </w:r>
          </w:p>
          <w:p>
            <w:pPr>
              <w:spacing w:after="150" w:before="0" w:line="280"/>
              <w:jc w:val="left"/>
            </w:pPr>
            <w:r>
              <w:rPr>
                <w:rFonts w:ascii="Roboto" w:cs="Roboto" w:eastAsia="KaiTi" w:hAnsi="Roboto"/>
                <w:b/>
                <w:bCs/>
                <w:i w:val="false"/>
                <w:iCs w:val="false"/>
                <w:color w:val="000000"/>
                <w:sz w:val="20"/>
                <w:szCs w:val="20"/>
              </w:rPr>
              <w:t xml:space="preserve">为什么是现在。. </w:t>
            </w:r>
            <w:r>
              <w:rPr>
                <w:rFonts w:ascii="Roboto" w:cs="Roboto" w:eastAsia="KaiTi" w:hAnsi="Roboto"/>
                <w:b w:val="false"/>
                <w:bCs w:val="false"/>
                <w:i w:val="false"/>
                <w:iCs w:val="false"/>
                <w:color w:val="212121"/>
                <w:sz w:val="20"/>
                <w:szCs w:val="20"/>
              </w:rPr>
              <w:t xml:space="preserve">供给侧，全行业处于供给纪律期、无新增洁净室空间（Micron 新加坡新 FAB 要到 CY28 才产出），Kioxia/Samsung/SK Hynix 均维持审慎 CapEx；需求侧，NVIDIA GB200/GB300 参考架构对企业 SSD 的认证 + KVCache 在 2027 年估计 +75–100 EB 的增量需求尚未计入多数分析师模型。供需剪刀差推动 FQ3'26 ASP 环比约 +140%（Bernstein 估计 $0.096→$0.229/bit），Citi 预测 CY26 整体 NAND ASP +186%、eSSD +265%。</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FULL REPORT (v2 重构估值章)</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$1,646.54^</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$1,900（OA target，手动上调）</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FWD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9x</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$39.44-$1,861.00</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$244B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SNDK</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^前一交易日收盘价（yfinance, 2026-06-10）。PT 为 18 家卖方一致目标价均值（区间 $1,000–3,250；Bernstein $1,700 / MS $1,750 / Citi $2,025）。</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Uninodue Research  | Equity Analyst</w:t>
            </w:r>
          </w:p>
          <w:p>
            <w:pPr>
              <w:spacing w:after="30" w:before="0"/>
              <w:jc w:val="left"/>
            </w:pPr>
            <w:r>
              <w:rPr>
                <w:rFonts w:ascii="Roboto" w:cs="Roboto" w:eastAsia="Roboto" w:hAnsi="Roboto"/>
                <w:b w:val="false"/>
                <w:bCs w:val="false"/>
                <w:i w:val="false"/>
                <w:iCs w:val="false"/>
                <w:color w:val="103455"/>
                <w:sz w:val="11"/>
                <w:szCs w:val="11"/>
              </w:rPr>
              <w:t xml:space="preserve">research@uninodue.com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KaiTi" w:hAnsi="Roboto"/>
          <w:b w:val="false"/>
          <w:bCs w:val="false"/>
          <w:i w:val="false"/>
          <w:iCs w:val="false"/>
          <w:color w:val="103455"/>
          <w:sz w:val="28"/>
          <w:szCs w:val="28"/>
        </w:rPr>
        <w:t xml:space="preserve">1. 公司基本情况</w:t>
      </w:r>
    </w:p>
    <w:p>
      <w:pPr>
        <w:spacing w:after="90" w:before="0" w:line="280"/>
        <w:jc w:val="left"/>
      </w:pPr>
      <w:r>
        <w:rPr>
          <w:rFonts w:ascii="Roboto" w:cs="Roboto" w:eastAsia="KaiTi" w:hAnsi="Roboto"/>
          <w:b/>
          <w:bCs/>
          <w:i w:val="false"/>
          <w:iCs w:val="false"/>
          <w:color w:val="000000"/>
          <w:sz w:val="20"/>
          <w:szCs w:val="20"/>
        </w:rPr>
        <w:t xml:space="preserve">从 WDC 分拆独立、依托 Kioxia JV 掌握全球约 1/3 NAND 产能。 </w:t>
      </w:r>
      <w:r>
        <w:rPr>
          <w:rFonts w:ascii="Roboto" w:cs="Roboto" w:eastAsia="KaiTi" w:hAnsi="Roboto"/>
          <w:b w:val="false"/>
          <w:bCs w:val="false"/>
          <w:i w:val="false"/>
          <w:iCs w:val="false"/>
          <w:color w:val="212121"/>
          <w:sz w:val="20"/>
          <w:szCs w:val="20"/>
        </w:rPr>
        <w:t xml:space="preserve">Sandisk Corporation（NASDAQ: SNDK）是全球领先的 NAND 闪存存储解决方案公司，2025 年 2 月从 Western Digital 分拆独立上市。公司通过与 Kioxia 的合资企业（合作已延至 2034 年）运营位于日本的 4 个 NAND FAB（四日市 ×3 + 北上 ×1），产出全球约 1/3 的 NAND 比特，并因 JV 共享获得比行业领先约 30% 的 CapEx 效率。收入按终端市场分为 Edge（PC/移动/嵌入式）、Datacenter（企业 SSD）、Consumer（MicroSD/USB/便携 SSD）三块；其中数据中心是当前增长引擎，FQ3'26 环比 +233%。消费者端 SanDisk 品牌知名度 73%，且消费业务利用 &gt;99% 晶圆产出。公司零债务、现金 $37.35B、并持有 $6B 无到期日回购授权。</w:t>
      </w:r>
    </w:p>
    <w:p>
      <w:pPr>
        <w:spacing w:after="60" w:before="140" w:line="280"/>
        <w:jc w:val="left"/>
      </w:pPr>
      <w:r>
        <w:rPr>
          <w:rFonts w:ascii="Roboto" w:cs="Roboto" w:eastAsia="KaiTi" w:hAnsi="Roboto"/>
          <w:b/>
          <w:bCs/>
          <w:i w:val="false"/>
          <w:iCs w:val="false"/>
          <w:color w:val="212121"/>
          <w:sz w:val="20"/>
          <w:szCs w:val="20"/>
        </w:rPr>
        <w:t xml:space="preserve">1.1 终端市场结构（FQ3'26，按收入占比）</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终端市场</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占比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环比</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关键产品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Edge（PC/移动/嵌入式）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客户端 SSD、嵌入式存储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Datacenter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企业 SSD（TLC Gen5 + Stargate QLC）</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Consumer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MicroSD、USB、便携 SSD</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来源：ER/EC FQ3'26（2026-04-30）。占比与环比为披露口径。</w:t>
      </w:r>
    </w:p>
    <w:p>
      <w:pPr>
        <w:spacing w:after="50" w:before="160" w:line="360"/>
        <w:jc w:val="left"/>
      </w:pPr>
      <w:r>
        <w:rPr>
          <w:rFonts w:ascii="Roboto" w:cs="Roboto" w:eastAsia="KaiTi" w:hAnsi="Roboto"/>
          <w:b w:val="false"/>
          <w:bCs w:val="false"/>
          <w:i w:val="false"/>
          <w:iCs w:val="false"/>
          <w:color w:val="103455"/>
          <w:sz w:val="28"/>
          <w:szCs w:val="28"/>
        </w:rPr>
        <w:t xml:space="preserve">2. 产业链与价值链定位</w:t>
      </w:r>
    </w:p>
    <w:p>
      <w:pPr>
        <w:spacing w:after="90" w:before="0" w:line="280"/>
        <w:jc w:val="left"/>
      </w:pPr>
      <w:r>
        <w:rPr>
          <w:rFonts w:ascii="Roboto" w:cs="Roboto" w:eastAsia="KaiTi" w:hAnsi="Roboto"/>
          <w:b/>
          <w:bCs/>
          <w:i w:val="false"/>
          <w:iCs w:val="false"/>
          <w:color w:val="000000"/>
          <w:sz w:val="20"/>
          <w:szCs w:val="20"/>
        </w:rPr>
        <w:t xml:space="preserve">NAND 全产业链参与者：晶圆制造 → 裸片/控制器 → 成品 SSD/存储 → 直销+渠道。 </w:t>
      </w:r>
      <w:r>
        <w:rPr>
          <w:rFonts w:ascii="Roboto" w:cs="Roboto" w:eastAsia="KaiTi" w:hAnsi="Roboto"/>
          <w:b w:val="false"/>
          <w:bCs w:val="false"/>
          <w:i w:val="false"/>
          <w:iCs w:val="false"/>
          <w:color w:val="212121"/>
          <w:sz w:val="20"/>
          <w:szCs w:val="20"/>
        </w:rPr>
        <w:t xml:space="preserve">公司横跨 NAND 价值链全环节，差异化主要来自两点：上游通过 Kioxia JV 锁定低成本产能（JV 服务费 $11.65B 覆盖 2026–2029，共同 CapEx 效率领先约 30%），中游自研控制器 ASIC（Stargate 平台）与 BiCS8 CBA 节点设计领先。关键外部依赖与合作构成其护城河的一部分：与 NVIDIA 的 GB200/GB300 认证与 KVCache 需求合作、与 SK Hynix 的 HBF 联合 OCP 标准化、向 Nanya 投资约 $1B 换取长期 DRAM 优先供应权（用于企业 SSD 控制器）。</w:t>
      </w:r>
    </w:p>
    <w:p>
      <w:pPr>
        <w:spacing w:after="60" w:before="140" w:line="280"/>
        <w:jc w:val="left"/>
      </w:pPr>
      <w:r>
        <w:rPr>
          <w:rFonts w:ascii="Roboto" w:cs="Roboto" w:eastAsia="KaiTi" w:hAnsi="Roboto"/>
          <w:b/>
          <w:bCs/>
          <w:i w:val="false"/>
          <w:iCs w:val="false"/>
          <w:color w:val="212121"/>
          <w:sz w:val="20"/>
          <w:szCs w:val="20"/>
        </w:rPr>
        <w:t xml:space="preserve">2.1 价值链环节与 SNDK 角色</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环节</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主要参与者</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SNDK 角色</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晶圆制造</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Kioxia(JV)、Samsung、SK Hynix、Micron、YMTC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经 Kioxia JV 运营日本 4 FAB，产出全球约 1/3 NAND 比特</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裸片/控制器设计</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Sandisk、Samsung、Micron、Silicon Motion、Phison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自研控制器 ASIC（Stargate），BiCS8 CBA 节点设计领先</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企业 SSD 成品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Sandisk、Samsung、Micron、SK Hynix/Solidigm、Kioxia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Gen5 TLC + Stargate QLC（128–512TB），5 家超大规模认证中</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消费级存储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Sandisk、Samsung、Kingston、Lexar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SanDisk 品牌（73% 知名度），MicroSD/USB/便携 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DRAM 供应</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Samsung、SK Hynix、Micron、Nanya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投资约 $1B 换取 Nanya 长期 DRAM 优先供应权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3. 竞争格局与竞争者</w:t>
      </w:r>
    </w:p>
    <w:p>
      <w:pPr>
        <w:spacing w:after="90" w:before="0" w:line="280"/>
        <w:jc w:val="left"/>
      </w:pPr>
      <w:r>
        <w:rPr>
          <w:rFonts w:ascii="Roboto" w:cs="Roboto" w:eastAsia="KaiTi" w:hAnsi="Roboto"/>
          <w:b/>
          <w:bCs/>
          <w:i w:val="false"/>
          <w:iCs w:val="false"/>
          <w:color w:val="000000"/>
          <w:sz w:val="20"/>
          <w:szCs w:val="20"/>
        </w:rPr>
        <w:t xml:space="preserve">份额第四但企业 SSD 快速提升；NBM 为行业首创、先发优势明显。 </w:t>
      </w:r>
      <w:r>
        <w:rPr>
          <w:rFonts w:ascii="Roboto" w:cs="Roboto" w:eastAsia="KaiTi" w:hAnsi="Roboto"/>
          <w:b w:val="false"/>
          <w:bCs w:val="false"/>
          <w:i w:val="false"/>
          <w:iCs w:val="false"/>
          <w:color w:val="212121"/>
          <w:sz w:val="20"/>
          <w:szCs w:val="20"/>
        </w:rPr>
        <w:t xml:space="preserve">按独立后口径（不含 Kioxia 共享产出），SNDK NAND 份额约 12%，位列 Samsung、SK Hynix/Solidigm、Kioxia 之后。但竞争焦点正从「份额」转向「结构」：(1) 行业整体供给纪律，无新增洁净室空间，MU 新加坡 FAB 2028 才产出；(2) BiCS8 CBA 晶圆键合使 2Tb QLC 裸片（行业最大）成为可能，同等 CapEx 下性能/功耗更优；(3) NBM 框架为行业首创，Samsung/SK Hynix 尚未跟进，先发优势明显；(4) YMTC 受出口管制限制，无法进入高端企业 SSD。综合看，SNDK 的竞争优势不在规模而在「成本节点 + 商业模式 + 客户认证」三重差异化。</w:t>
      </w:r>
    </w:p>
    <w:p>
      <w:pPr>
        <w:spacing w:after="60" w:before="140" w:line="280"/>
        <w:jc w:val="left"/>
      </w:pPr>
      <w:r>
        <w:rPr>
          <w:rFonts w:ascii="Roboto" w:cs="Roboto" w:eastAsia="KaiTi" w:hAnsi="Roboto"/>
          <w:b/>
          <w:bCs/>
          <w:i w:val="false"/>
          <w:iCs w:val="false"/>
          <w:color w:val="212121"/>
          <w:sz w:val="20"/>
          <w:szCs w:val="20"/>
        </w:rPr>
        <w:t xml:space="preserve">3.1 NAND 市场份额（估算）</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公司</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份额</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备注</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Samsung Electronics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整体第一，垂直整合（DRAM+NAND+SSD）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SK Hynix / Solidigm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收购 Intel NAND 后第二，HBF 合作伙伴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Kioxia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SNDK JV 伙伴，合计约 28% 产能</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Sandisk (SNDK)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独立后口径，企业 SSD 快速提升</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Micron (MU)</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新加坡新 FAB（CY28 产出），NAND+DRAM 双线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YMTC（长江存储）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受 Entity List 限制，集中消费级</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4. 技术路线与 Competitive Edge</w:t>
      </w:r>
    </w:p>
    <w:p>
      <w:pPr>
        <w:spacing w:after="90" w:before="0" w:line="280"/>
        <w:jc w:val="left"/>
      </w:pPr>
      <w:r>
        <w:rPr>
          <w:rFonts w:ascii="Roboto" w:cs="Roboto" w:eastAsia="KaiTi" w:hAnsi="Roboto"/>
          <w:b/>
          <w:bCs/>
          <w:i w:val="false"/>
          <w:iCs w:val="false"/>
          <w:color w:val="000000"/>
          <w:sz w:val="20"/>
          <w:szCs w:val="20"/>
        </w:rPr>
        <w:t xml:space="preserve">护城河四支柱：BiCS8 CBA 成本节点 + Stargate QLC 差异化 + NBM 模式 + HBF 超周期期权。 </w:t>
      </w:r>
      <w:r>
        <w:rPr>
          <w:rFonts w:ascii="Roboto" w:cs="Roboto" w:eastAsia="KaiTi" w:hAnsi="Roboto"/>
          <w:b w:val="false"/>
          <w:bCs w:val="false"/>
          <w:i w:val="false"/>
          <w:iCs w:val="false"/>
          <w:color w:val="212121"/>
          <w:sz w:val="20"/>
          <w:szCs w:val="20"/>
        </w:rPr>
        <w:t xml:space="preserve">当前主力节点 BiCS8 CBA（162 层级、CMOS 晶圆键合）FQ3'26 占比 &gt;50%，2Tb QLC 裸片为行业最大；Stargate 平台（128/256/512TB NVMe 企业 SSD）FQ4'26 开始创收，已 2 家超大规模认证、3 家计划 CY26；SN670 Gen5 TLC 已通过 NVIDIA GB200/GB300 认证并在多家超大规模出货，是数据中心 +233% 的主驱动。更长维度，HBF（高带宽闪存）裸片已在生产、系统级产品 2027 年面市，匹配 HBM 带宽但提供 8–16x 容量，与 SK Hynix 联合 OCP 标准化——这是当前财务模型尚未计入的超周期期权。成本侧，低十位数% 的年化比特成本下降已锁定于所有 NBM 合约，FAB 启动成本 FQ3'26 已降至零。</w:t>
      </w:r>
    </w:p>
    <w:p>
      <w:pPr>
        <w:spacing w:after="60" w:before="140" w:line="280"/>
        <w:jc w:val="left"/>
      </w:pPr>
      <w:r>
        <w:rPr>
          <w:rFonts w:ascii="Roboto" w:cs="Roboto" w:eastAsia="KaiTi" w:hAnsi="Roboto"/>
          <w:b/>
          <w:bCs/>
          <w:i w:val="false"/>
          <w:iCs w:val="false"/>
          <w:color w:val="212121"/>
          <w:sz w:val="20"/>
          <w:szCs w:val="20"/>
        </w:rPr>
        <w:t xml:space="preserve">4.1 技术路线图</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节点/产品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规格</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时间线</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BiCS8 CBA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量产主力</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162L、2Tb QLC 裸片（行业最大）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FQ3'26 占比 &gt;50%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Stargate 平台</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客户认证中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BiCS8 QLC，128/256/512TB NVMe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开始创收</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SN670 Gen5 TLC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量产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PCIe Gen5，NVIDIA GB200/GB300 认证</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已多家超大规模出货</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HBF 高带宽闪存</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裸片生产中</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匹配 HBM 带宽、8–16x 容量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系统级 2027 年</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3D Matrix Memory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研发</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DRAM 性能/4x 容量/半价（IMEC）</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未公布（期权）</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5. 核心财务表与未来预测（与 Excel 模型对齐）</w:t>
      </w:r>
    </w:p>
    <w:p>
      <w:pPr>
        <w:spacing w:after="90" w:before="0" w:line="280"/>
        <w:jc w:val="left"/>
      </w:pPr>
      <w:r>
        <w:rPr>
          <w:rFonts w:ascii="Roboto" w:cs="Roboto" w:eastAsia="KaiTi" w:hAnsi="Roboto"/>
          <w:b/>
          <w:bCs/>
          <w:i w:val="false"/>
          <w:iCs w:val="false"/>
          <w:color w:val="000000"/>
          <w:sz w:val="20"/>
          <w:szCs w:val="20"/>
        </w:rPr>
        <w:t xml:space="preserve">利润桥：规模效应 + ASP 上行主导，而非一次性成本削减。 </w:t>
      </w:r>
      <w:r>
        <w:rPr>
          <w:rFonts w:ascii="Roboto" w:cs="Roboto" w:eastAsia="KaiTi" w:hAnsi="Roboto"/>
          <w:b w:val="false"/>
          <w:bCs w:val="false"/>
          <w:i w:val="false"/>
          <w:iCs w:val="false"/>
          <w:color w:val="212121"/>
          <w:sz w:val="20"/>
          <w:szCs w:val="20"/>
        </w:rPr>
        <w:t xml:space="preserve">从 FQ2'26 到 FQ3'26，营收由 US$3,025m 升至 US$5,950m，毛利率由 51.1% 跃升至 78.4%、经营利润率达 70.9%，Non-GAAP EPS 由 6.20 升至 23.41。驱动来自 ASP 环比约 +140% 与营业杠杆（OpEx 仅占收入 7.5%，远低于 Analyst Day 15% 目标），且 FAB 启动成本已归零。我们预测 FY27 营收 US$44,164m、Non-GAAP EPS $200.47，盈利改善由 ASP 与产能利用率驱动、并由 NBM 锁定其可见度。下表所有数字直接绑定 OA model（registry 占位符），改 Excel 假设重建 registry 后本表自动刷新。</w:t>
      </w:r>
    </w:p>
    <w:p>
      <w:pPr>
        <w:spacing w:after="60" w:before="140" w:line="280"/>
        <w:jc w:val="left"/>
      </w:pPr>
      <w:r>
        <w:rPr>
          <w:rFonts w:ascii="Roboto" w:cs="Roboto" w:eastAsia="KaiTi" w:hAnsi="Roboto"/>
          <w:b/>
          <w:bCs/>
          <w:i w:val="false"/>
          <w:iCs w:val="false"/>
          <w:color w:val="212121"/>
          <w:sz w:val="20"/>
          <w:szCs w:val="20"/>
        </w:rPr>
        <w:t xml:space="preserve">5.1 季度核心利润表（US$m，Non-GAAP；E=预测，与 IS Flash 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26Q1</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26Q2</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26Q3</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26Q4E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27Q1E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27Q2E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27Q3E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27Q4E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2,308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5,950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8,895.25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12,275.44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15,679.92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11,916.74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12,137.20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营业成本 COGS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1,779.05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2,209.58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2,822.39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2,204.60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2,245.38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4,666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7,116.20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10,065.86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12,857.53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9,712.14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9,891.82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研发 R&amp;D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337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369.15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429.64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423.36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424.80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销售 S&amp;M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161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177.91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196.00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178.75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182.06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总营业费用</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489.24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527.84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533.12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530.29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534.04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6,626.96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9,538.02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12,324.42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9,181.85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9,357.78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经营利润率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74.5%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1,180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4,256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6,664.96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9,576.02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12,362.42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9,219.85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9,395.78</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181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967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5,712.95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8,120.92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10,489.35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7,818.17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7,967.71</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61.8%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65.6%</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23.41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36.16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66.39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49.48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50.43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稀释股本 (mn)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158</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60" w:before="140" w:line="280"/>
        <w:jc w:val="left"/>
      </w:pPr>
      <w:r>
        <w:rPr>
          <w:rFonts w:ascii="Roboto" w:cs="Roboto" w:eastAsia="KaiTi" w:hAnsi="Roboto"/>
          <w:b/>
          <w:bCs/>
          <w:i w:val="false"/>
          <w:iCs w:val="false"/>
          <w:color w:val="212121"/>
          <w:sz w:val="20"/>
          <w:szCs w:val="20"/>
        </w:rPr>
        <w:t xml:space="preserve">5.2 年度预测（US$m，Non-GAAP；FY 截止 6 月，与模型 FY 列对齐）</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指标</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FY25</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营收</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7,355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19,213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44,164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45,595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毛利率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27.5%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62.0%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80.0%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Non-GAAP 净利</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10,140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31,206</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31,680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212121"/>
                <w:sz w:val="20"/>
                <w:szCs w:val="20"/>
              </w:rPr>
              <w:t xml:space="preserve">净利率</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69.5%</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Non-GAAP EPS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$2.99</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$64.73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$200.47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$202.69</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口径：Non-GAAP（排除 SBC/一次性项目）。来源：OA model [Sandisk_Corp_SNDK_O_Model_Change.xlsx]。所有数值经 registry 占位符绑定到模型单元格，FY25 部分净利项模型未给（标 —）。</w:t>
      </w:r>
    </w:p>
    <w:p>
      <w:pPr>
        <w:spacing w:after="55" w:before="160"/>
        <w:jc w:val="left"/>
      </w:pPr>
      <w:r>
        <w:rPr>
          <w:rFonts w:ascii="Roboto" w:cs="Roboto" w:eastAsia="KaiTi" w:hAnsi="Roboto"/>
          <w:b/>
          <w:bCs/>
          <w:i w:val="false"/>
          <w:iCs w:val="false"/>
          <w:color w:val="103455"/>
          <w:sz w:val="17"/>
          <w:szCs w:val="17"/>
        </w:rPr>
        <w:t xml:space="preserve">图 5.3：季度营收与同比增速（OA model，含预测 E） (US$ billions / % YoY)</w:t>
      </w:r>
    </w:p>
    <w:p>
      <w:pPr>
        <w:spacing w:after="150" w:before="0"/>
        <w:jc w:val="center"/>
      </w:pPr>
      <w:r>
        <w:drawing>
          <wp:inline distT="0" distB="0" distL="0" distR="0">
            <wp:extent cx="5905500" cy="2714625"/>
            <wp:effectExtent t="0" r="0" b="0" l="0"/>
            <wp:docPr id="1" name="chart" descr="Generated chart" title="图 5.3：季度营收与同比增速（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5.4：季度 Non-GAAP 净利润（OA model，含预测 E） (US$ billions)</w:t>
      </w:r>
    </w:p>
    <w:p>
      <w:pPr>
        <w:spacing w:after="150" w:before="0"/>
        <w:jc w:val="center"/>
      </w:pPr>
      <w:r>
        <w:drawing>
          <wp:inline distT="0" distB="0" distL="0" distR="0">
            <wp:extent cx="5905500" cy="2714625"/>
            <wp:effectExtent t="0" r="0" b="0" l="0"/>
            <wp:docPr id="1" name="chart" descr="Generated chart" title="图 5.4：季度 Non-GAAP 净利润（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5" w:before="160"/>
        <w:jc w:val="left"/>
      </w:pPr>
      <w:r>
        <w:rPr>
          <w:rFonts w:ascii="Roboto" w:cs="Roboto" w:eastAsia="KaiTi" w:hAnsi="Roboto"/>
          <w:b/>
          <w:bCs/>
          <w:i w:val="false"/>
          <w:iCs w:val="false"/>
          <w:color w:val="103455"/>
          <w:sz w:val="17"/>
          <w:szCs w:val="17"/>
        </w:rPr>
        <w:t xml:space="preserve">图 5.5：关键经营指标——出货量(EB) × ASP($/bit)（OA model，含预测 E） (EB / $ per bit)</w:t>
      </w:r>
    </w:p>
    <w:p>
      <w:pPr>
        <w:spacing w:after="150" w:before="0"/>
        <w:jc w:val="center"/>
      </w:pPr>
      <w:r>
        <w:drawing>
          <wp:inline distT="0" distB="0" distL="0" distR="0">
            <wp:extent cx="5905500" cy="2714625"/>
            <wp:effectExtent t="0" r="0" b="0" l="0"/>
            <wp:docPr id="1" name="chart" descr="Generated chart" title="图 5.5：关键经营指标——出货量(EB) × ASP($/bit)（OA model，含预测 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714625"/>
                    </a:xfrm>
                    <a:prstGeom prst="rect">
                      <a:avLst/>
                    </a:prstGeom>
                  </pic:spPr>
                </pic:pic>
              </a:graphicData>
            </a:graphic>
          </wp:inline>
        </w:drawing>
      </w:r>
    </w:p>
    <w:p>
      <w:pPr>
        <w:spacing w:after="130" w:before="0"/>
        <w:jc w:val="left"/>
      </w:pPr>
      <w:r>
        <w:rPr>
          <w:rFonts w:ascii="Roboto" w:cs="Roboto" w:eastAsia="Roboto" w:hAnsi="Roboto"/>
          <w:b w:val="false"/>
          <w:bCs w:val="false"/>
          <w:i/>
          <w:iCs/>
          <w:color w:val="8C97A3"/>
          <w:sz w:val="11"/>
          <w:szCs w:val="11"/>
        </w:rPr>
        <w:t xml:space="preserve">Source: OA model</w:t>
      </w:r>
    </w:p>
    <w:p>
      <w:pPr>
        <w:spacing w:after="50" w:before="160" w:line="360"/>
        <w:jc w:val="left"/>
      </w:pPr>
      <w:r>
        <w:rPr>
          <w:rFonts w:ascii="Roboto" w:cs="Roboto" w:eastAsia="KaiTi" w:hAnsi="Roboto"/>
          <w:b w:val="false"/>
          <w:bCs w:val="false"/>
          <w:i w:val="false"/>
          <w:iCs w:val="false"/>
          <w:color w:val="103455"/>
          <w:sz w:val="28"/>
          <w:szCs w:val="28"/>
        </w:rPr>
        <w:t xml:space="preserve">6. 关键指引与催化剂</w:t>
      </w:r>
    </w:p>
    <w:p>
      <w:pPr>
        <w:spacing w:after="90" w:before="0" w:line="280"/>
        <w:jc w:val="left"/>
      </w:pPr>
      <w:r>
        <w:rPr>
          <w:rFonts w:ascii="Roboto" w:cs="Roboto" w:eastAsia="KaiTi" w:hAnsi="Roboto"/>
          <w:b/>
          <w:bCs/>
          <w:i w:val="false"/>
          <w:iCs w:val="false"/>
          <w:color w:val="000000"/>
          <w:sz w:val="20"/>
          <w:szCs w:val="20"/>
        </w:rPr>
        <w:t xml:space="preserve">FQ4'26 指引全面碾压 Street，FY26/27 比特锁定持续抬升能见度。 </w:t>
      </w:r>
      <w:r>
        <w:rPr>
          <w:rFonts w:ascii="Roboto" w:cs="Roboto" w:eastAsia="KaiTi" w:hAnsi="Roboto"/>
          <w:b w:val="false"/>
          <w:bCs w:val="false"/>
          <w:i w:val="false"/>
          <w:iCs w:val="false"/>
          <w:color w:val="212121"/>
          <w:sz w:val="20"/>
          <w:szCs w:val="20"/>
        </w:rPr>
        <w:t xml:space="preserve">管理层 FQ4'26 指引：营收 $77.5–82.5亿、Non-GAAP GPM 79–81%、EPS $30–33（约 1.58 亿股），Stargate QLC 开始创收。FY26 全年：比特增长与市场需求同步（中高双位数）、BiCS8 占比 FY26 末 &gt;50%、CapEx 中低双位数% 收入、数据中心 EB 增长 CY26 mid-70%+、NBM 覆盖 FY27 超 1/3 比特并目标 &gt;50%。</w:t>
      </w:r>
    </w:p>
    <w:p>
      <w:pPr>
        <w:spacing w:after="60" w:before="140" w:line="280"/>
        <w:jc w:val="left"/>
      </w:pPr>
      <w:r>
        <w:rPr>
          <w:rFonts w:ascii="Roboto" w:cs="Roboto" w:eastAsia="KaiTi" w:hAnsi="Roboto"/>
          <w:b/>
          <w:bCs/>
          <w:i w:val="false"/>
          <w:iCs w:val="false"/>
          <w:color w:val="212121"/>
          <w:sz w:val="20"/>
          <w:szCs w:val="20"/>
        </w:rPr>
        <w:t xml:space="preserve">6.1 催化剂日历</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日期</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事件</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KaiTi" w:hAnsi="Roboto"/>
                <w:b/>
                <w:bCs/>
                <w:i w:val="false"/>
                <w:iCs w:val="false"/>
                <w:color w:val="FFFFFF"/>
                <w:sz w:val="20"/>
                <w:szCs w:val="20"/>
              </w:rPr>
              <w:t xml:space="preserve">状态</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2026-07 (est)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FQ4'26 业绩（指引 $77.5–82.5B rev, EPS $30–33）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Stargate QLC 首批企业 SSD 创收确认</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2026-Q3~Q4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更多 NBM 协议签署（目标 &gt;50% 比特锁定）</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HBF NAND Die 样品交付 + $6B 回购开始执行</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upcoming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NVIDIA KVCache 需求开始贡献（+75–100 EB 增量）</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2028-H2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KaiTi" w:hAnsi="Roboto"/>
                <w:b w:val="false"/>
                <w:bCs w:val="false"/>
                <w:i w:val="false"/>
                <w:iCs w:val="false"/>
                <w:color w:val="212121"/>
                <w:sz w:val="20"/>
                <w:szCs w:val="20"/>
              </w:rPr>
              <w:t xml:space="preserve">Micron 新加坡 NAND FAB 初始产出（供给端监控）</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pending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50" w:before="160" w:line="360"/>
        <w:jc w:val="left"/>
      </w:pPr>
      <w:r>
        <w:rPr>
          <w:rFonts w:ascii="Roboto" w:cs="Roboto" w:eastAsia="KaiTi" w:hAnsi="Roboto"/>
          <w:b w:val="false"/>
          <w:bCs w:val="false"/>
          <w:i w:val="false"/>
          <w:iCs w:val="false"/>
          <w:color w:val="103455"/>
          <w:sz w:val="28"/>
          <w:szCs w:val="28"/>
        </w:rPr>
        <w:t xml:space="preserve">7. 风险与反向逻辑</w:t>
      </w:r>
    </w:p>
    <w:p>
      <w:pPr>
        <w:spacing w:after="90" w:before="0" w:line="280"/>
        <w:jc w:val="left"/>
      </w:pPr>
      <w:r>
        <w:rPr>
          <w:rFonts w:ascii="Roboto" w:cs="Roboto" w:eastAsia="KaiTi" w:hAnsi="Roboto"/>
          <w:b/>
          <w:bCs/>
          <w:i w:val="false"/>
          <w:iCs w:val="false"/>
          <w:color w:val="000000"/>
          <w:sz w:val="20"/>
          <w:szCs w:val="20"/>
        </w:rPr>
        <w:t xml:space="preserve">反向逻辑的单一最大变量：NAND 现货价格反转早于预期。 </w:t>
      </w:r>
      <w:r>
        <w:rPr>
          <w:rFonts w:ascii="Roboto" w:cs="Roboto" w:eastAsia="KaiTi" w:hAnsi="Roboto"/>
          <w:b w:val="false"/>
          <w:bCs w:val="false"/>
          <w:i w:val="false"/>
          <w:iCs w:val="false"/>
          <w:color w:val="212121"/>
          <w:sz w:val="20"/>
          <w:szCs w:val="20"/>
        </w:rPr>
        <w:t xml:space="preserve">若做多观点错，最可能的触发是 ASP 在历史高位（环比 +140% 为史上罕见）叠加需求降温或扩产而提前反转，先压制未签约部分的盈利；同时 NBM 长期固定定价成分可能约束现货极端上行的参与（盘后 -5~6% 已部分反映）。其他风险：(1) AI 资本开支大幅削减（概率 10–15%，影响高，监控超大规模 CapEx 指引与 NVIDIA 数据中心收入）；(2) 行业供给意外大幅扩张（概率 &lt;10%，监控 greenfield FAB 公告与行业 CapEx/Revenue &gt;25%）；(3) 中国制裁升级致失去市场准入（概率 15–20%，中国占收入约 15–20%）；(4) Kioxia JV 破裂（概率 &lt;5%，JV 已延至 2034 年）。此外 Bernstein 指出公司信息披露质量偏弱（messy disclosures），增加建模与跟踪难度——下季需重点盯 ASP 环比与已签 NBM RPO 的确认节奏。</w:t>
      </w:r>
    </w:p>
    <w:p>
      <w:pPr>
        <w:spacing w:after="50" w:before="160" w:line="360"/>
        <w:jc w:val="left"/>
      </w:pPr>
      <w:r>
        <w:rPr>
          <w:rFonts w:ascii="Roboto" w:cs="Roboto" w:eastAsia="KaiTi" w:hAnsi="Roboto"/>
          <w:b w:val="false"/>
          <w:bCs w:val="false"/>
          <w:i w:val="false"/>
          <w:iCs w:val="false"/>
          <w:color w:val="103455"/>
          <w:sz w:val="28"/>
          <w:szCs w:val="28"/>
        </w:rPr>
        <w:t xml:space="preserve">8. 估值</w:t>
      </w:r>
    </w:p>
    <w:p>
      <w:pPr>
        <w:spacing w:after="90" w:before="0" w:line="280"/>
        <w:jc w:val="left"/>
      </w:pPr>
      <w:r>
        <w:rPr>
          <w:rFonts w:ascii="Roboto" w:cs="Roboto" w:eastAsia="KaiTi" w:hAnsi="Roboto"/>
          <w:b/>
          <w:bCs/>
          <w:i w:val="false"/>
          <w:iCs w:val="false"/>
          <w:color w:val="000000"/>
          <w:sz w:val="20"/>
          <w:szCs w:val="20"/>
        </w:rPr>
        <w:t xml:space="preserve">周期上行 + 模式重估，估值未充分定价。 </w:t>
      </w:r>
      <w:r>
        <w:rPr>
          <w:rFonts w:ascii="Roboto" w:cs="Roboto" w:eastAsia="KaiTi" w:hAnsi="Roboto"/>
          <w:b w:val="false"/>
          <w:bCs w:val="false"/>
          <w:i w:val="false"/>
          <w:iCs w:val="false"/>
          <w:color w:val="212121"/>
          <w:sz w:val="20"/>
          <w:szCs w:val="20"/>
        </w:rPr>
        <w:t xml:space="preserve">当前股价 $1,646.54 对应 forward P/E 9x、trailing P/E 56.18x、EV/Revenue 18.20x。卖方一致目标价均值 $1,843（区间 $1,000–3,250），Bernstein $1,700（11x 四年通周期 EPS）、MS $1,750（28x 通周期 EPS $62.50）、Citi $2,025。我们给予买入：核心在于 NBM 把周期峰值盈利的一部分转为多年可见合约收入，应享高于纯商品 NAND 同业的估值中枢；HBF/3D Matrix 提供尚未定价的超周期期权。Peers：MU / SK Hynix / Kioxia / WDC / Samsung。</w:t>
      </w:r>
    </w:p>
    <w:p>
      <w:pPr>
        <w:spacing w:after="60" w:before="140" w:line="280"/>
        <w:jc w:val="left"/>
      </w:pPr>
      <w:r>
        <w:rPr>
          <w:rFonts w:ascii="Roboto" w:cs="Roboto" w:eastAsia="KaiTi" w:hAnsi="Roboto"/>
          <w:b/>
          <w:bCs/>
          <w:i w:val="false"/>
          <w:iCs w:val="false"/>
          <w:color w:val="212121"/>
          <w:sz w:val="20"/>
          <w:szCs w:val="20"/>
        </w:rPr>
        <w:t xml:space="preserve">8.1 估值多重（CapIQ consensus）</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Multiple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FY26E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FY27E</w:t>
            </w:r>
          </w:p>
        </w:tc>
        <w:tc>
          <w:tcPr>
            <w:tcBorders>
              <w:top w:val="none" w:color="FFFFFF" w:sz="0"/>
              <w:left w:val="none" w:color="FFFFFF" w:sz="0"/>
              <w:bottom w:val="single" w:color="103455" w:sz="4"/>
              <w:right w:val="none" w:color="FFFFFF" w:sz="0"/>
            </w:tcBorders>
            <w:shd w:fill="103455"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FY28E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25.1x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12.2x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5.5x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5.2x</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TEV/EBITDA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19.8x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7.1x</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90" w:before="0" w:line="280"/>
        <w:jc w:val="left"/>
      </w:pPr>
      <w:r>
        <w:rPr>
          <w:rFonts w:ascii="Roboto" w:cs="Roboto" w:eastAsia="KaiTi" w:hAnsi="Roboto"/>
          <w:b w:val="false"/>
          <w:bCs w:val="false"/>
          <w:i w:val="false"/>
          <w:iCs w:val="false"/>
          <w:color w:val="212121"/>
          <w:sz w:val="20"/>
          <w:szCs w:val="20"/>
        </w:rPr>
        <w:t xml:space="preserve">来源：S&amp;P Capital IQ consensus（）。基于股价 $1,646.54、EV $240.3B。</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Company Description</w:t>
      </w:r>
    </w:p>
    <w:p>
      <w:pPr>
        <w:spacing w:after="45" w:before="190" w:line="320"/>
        <w:jc w:val="left"/>
      </w:pPr>
      <w:r>
        <w:rPr>
          <w:rFonts w:ascii="Roboto" w:cs="Roboto" w:eastAsia="Roboto" w:hAnsi="Roboto"/>
          <w:b/>
          <w:bCs/>
          <w:i w:val="false"/>
          <w:iCs w:val="false"/>
          <w:color w:val="000000"/>
          <w:sz w:val="24"/>
          <w:szCs w:val="24"/>
        </w:rPr>
        <w:t xml:space="preserve">Sandisk Corporation</w:t>
      </w:r>
    </w:p>
    <w:p>
      <w:pPr>
        <w:spacing w:after="90" w:before="0" w:line="280"/>
        <w:jc w:val="left"/>
      </w:pPr>
      <w:r>
        <w:rPr>
          <w:rFonts w:ascii="Roboto" w:cs="Roboto" w:eastAsia="KaiTi" w:hAnsi="Roboto"/>
          <w:b w:val="false"/>
          <w:bCs w:val="false"/>
          <w:i w:val="false"/>
          <w:iCs w:val="false"/>
          <w:color w:val="212121"/>
          <w:sz w:val="20"/>
          <w:szCs w:val="20"/>
        </w:rPr>
        <w:t xml:space="preserve">Sandisk Corporation（NASDAQ: SNDK）2025 年 2 月从 Western Digital 分拆，设计与销售 NAND Flash 存储产品，覆盖企业级 SSD、客户端 SSD 与消费存储，通过与 Kioxia 的日本合资企业运营 NAND 晶圆制造。BiCS8 CBA 技术、Stargate QLC 平台与 NBM 长协模式为其核心差异化。</w:t>
      </w:r>
    </w:p>
    <w:p>
      <w:pPr>
        <w:spacing w:after="50" w:before="160" w:line="360"/>
        <w:jc w:val="left"/>
      </w:pPr>
      <w:r>
        <w:rPr>
          <w:rFonts w:ascii="Roboto" w:cs="Roboto" w:eastAsia="Roboto" w:hAnsi="Roboto"/>
          <w:b w:val="false"/>
          <w:bCs w:val="false"/>
          <w:i w:val="false"/>
          <w:iCs w:val="false"/>
          <w:color w:val="103455"/>
          <w:sz w:val="28"/>
          <w:szCs w:val="28"/>
        </w:rPr>
        <w:t xml:space="preserve">Analyst Certification</w:t>
      </w:r>
    </w:p>
    <w:p>
      <w:pPr>
        <w:spacing w:after="90" w:before="0" w:line="280"/>
        <w:jc w:val="left"/>
      </w:pPr>
      <w:r>
        <w:rPr>
          <w:rFonts w:ascii="Roboto" w:cs="Roboto" w:eastAsia="Roboto" w:hAnsi="Roboto"/>
          <w:b w:val="false"/>
          <w:bCs w:val="false"/>
          <w:i w:val="false"/>
          <w:iCs w:val="false"/>
          <w:color w:val="212121"/>
          <w:sz w:val="20"/>
          <w:szCs w:val="20"/>
        </w:rPr>
        <w:t xml:space="preserve">I certify that all views expressed in this research report accurately reflect my personal views about the subject securities and companies, and that no part of my compensation was, is, or will be directly or indirectly related to the specific recommendations or views expressed herein.</w:t>
      </w:r>
    </w:p>
    <w:p>
      <w:pPr>
        <w:spacing w:after="50" w:before="160" w:line="360"/>
        <w:jc w:val="left"/>
      </w:pPr>
      <w:r>
        <w:rPr>
          <w:rFonts w:ascii="Roboto" w:cs="Roboto" w:eastAsia="Roboto" w:hAnsi="Roboto"/>
          <w:b w:val="false"/>
          <w:bCs w:val="false"/>
          <w:i w:val="false"/>
          <w:iCs w:val="false"/>
          <w:color w:val="103455"/>
          <w:sz w:val="28"/>
          <w:szCs w:val="28"/>
        </w:rPr>
        <w:t xml:space="preserve">Explanation of Uninodue Ratings</w:t>
      </w:r>
    </w:p>
    <w:p>
      <w:pPr>
        <w:spacing w:after="90" w:before="0" w:line="280"/>
        <w:jc w:val="left"/>
      </w:pPr>
      <w:r>
        <w:rPr>
          <w:rFonts w:ascii="Roboto" w:cs="Roboto" w:eastAsia="KaiTi" w:hAnsi="Roboto"/>
          <w:b w:val="false"/>
          <w:bCs w:val="false"/>
          <w:i w:val="false"/>
          <w:iCs w:val="false"/>
          <w:color w:val="212121"/>
          <w:sz w:val="20"/>
          <w:szCs w:val="20"/>
        </w:rPr>
        <w:t xml:space="preserve">Buy - 预期未来 12 个月总回报 +15% 或以上。</w:t>
      </w:r>
    </w:p>
    <w:p>
      <w:pPr>
        <w:spacing w:after="90" w:before="0" w:line="280"/>
        <w:jc w:val="left"/>
      </w:pPr>
      <w:r>
        <w:rPr>
          <w:rFonts w:ascii="Roboto" w:cs="Roboto" w:eastAsia="KaiTi" w:hAnsi="Roboto"/>
          <w:b w:val="false"/>
          <w:bCs w:val="false"/>
          <w:i w:val="false"/>
          <w:iCs w:val="false"/>
          <w:color w:val="212121"/>
          <w:sz w:val="20"/>
          <w:szCs w:val="20"/>
        </w:rPr>
        <w:t xml:space="preserve">Hold - 预期未来 12 个月总回报介于 +15% 与 -10% 之间。</w:t>
      </w:r>
    </w:p>
    <w:p>
      <w:pPr>
        <w:spacing w:after="90" w:before="0" w:line="280"/>
        <w:jc w:val="left"/>
      </w:pPr>
      <w:r>
        <w:rPr>
          <w:rFonts w:ascii="Roboto" w:cs="Roboto" w:eastAsia="KaiTi" w:hAnsi="Roboto"/>
          <w:b w:val="false"/>
          <w:bCs w:val="false"/>
          <w:i w:val="false"/>
          <w:iCs w:val="false"/>
          <w:color w:val="212121"/>
          <w:sz w:val="20"/>
          <w:szCs w:val="20"/>
        </w:rPr>
        <w:t xml:space="preserve">Underperform - 预期未来 12 个月总回报 -10% 或以下。</w:t>
      </w:r>
    </w:p>
    <w:sectPr>
      <w:headerReference w:type="default" r:id="rId10"/>
      <w:footerReference w:type="default" r:id="rId1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Please see analyst certifications and important disclosure information at the end of this report.</w:t>
    </w:r>
  </w:p>
  <w:p>
    <w:pPr>
      <w:spacing w:after="0" w:before="0" w:line="150"/>
      <w:jc w:val="left"/>
    </w:pPr>
    <w:r>
      <w:rPr>
        <w:rFonts w:ascii="Roboto" w:cs="Roboto" w:eastAsia="Roboto" w:hAnsi="Roboto"/>
        <w:b w:val="false"/>
        <w:bCs w:val="false"/>
        <w:i w:val="false"/>
        <w:iCs w:val="false"/>
        <w:color w:val="8C97A3"/>
        <w:sz w:val="10"/>
        <w:szCs w:val="10"/>
      </w:rPr>
      <w:t xml:space="preserve">* Uninodue Research</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Sandisk Corporation (SNDK)</w:t>
          </w:r>
        </w:p>
        <w:p>
          <w:pPr>
            <w:spacing w:after="10" w:before="0"/>
            <w:jc w:val="right"/>
          </w:pPr>
          <w:r>
            <w:rPr>
              <w:rFonts w:ascii="Roboto" w:cs="Roboto" w:eastAsia="Roboto" w:hAnsi="Roboto"/>
              <w:b/>
              <w:bCs/>
              <w:i w:val="false"/>
              <w:iCs w:val="false"/>
              <w:color w:val="103455"/>
              <w:sz w:val="12"/>
              <w:szCs w:val="12"/>
            </w:rPr>
            <w:t xml:space="preserve">Equity Research</w:t>
          </w:r>
        </w:p>
        <w:p>
          <w:pPr>
            <w:spacing w:after="0" w:before="0"/>
            <w:jc w:val="right"/>
          </w:pPr>
          <w:r>
            <w:rPr>
              <w:rFonts w:ascii="Roboto" w:cs="Roboto" w:eastAsia="Roboto" w:hAnsi="Roboto"/>
              <w:b w:val="false"/>
              <w:bCs w:val="false"/>
              <w:i w:val="false"/>
              <w:iCs w:val="false"/>
              <w:color w:val="103455"/>
              <w:sz w:val="11"/>
              <w:szCs w:val="11"/>
            </w:rPr>
            <w:t xml:space="preserve">June 11,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image" Target="media/e87ded42a87818432e57e51276814b26cbacc726.png"/><Relationship Id="rId13" Type="http://schemas.openxmlformats.org/officeDocument/2006/relationships/image" Target="media/ebad9e32148c2b4ad8462076e33ce6496e72272e.png"/><Relationship Id="rId14" Type="http://schemas.openxmlformats.org/officeDocument/2006/relationships/image" Target="media/3ae715d800c82d1ed754aa84dd4bc007fbb0bd2f.png"/><Relationship Id="rId15"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2026-06-10T09:53:15.597Z</dcterms:created>
  <dcterms:modified xsi:type="dcterms:W3CDTF">2026-06-10T09:53:15.599Z</dcterms:modified>
</cp:coreProperties>
</file>

<file path=docProps/custom.xml><?xml version="1.0" encoding="utf-8"?>
<Properties xmlns="http://schemas.openxmlformats.org/officeDocument/2006/custom-properties" xmlns:vt="http://schemas.openxmlformats.org/officeDocument/2006/docPropsVTypes"/>
</file>