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US$39,764m、Non-GAAP EPS $166.52，盈利改善由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7,526.75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9,483.70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11,949.47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9,081.60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9,249.61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1,707.07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2,150.90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1,680.10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1,711.18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6,021.40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7,776.64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9,798.56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7,401.50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7,538.43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331.93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322.64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323.74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150.53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142.26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136.22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138.74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413.97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407.80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406.98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5,607.43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7,368.84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9,392.28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6,997.37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7,131.45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5,645.43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7,406.84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9,430.28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7,035.37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7,169.45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4,836.15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6,277.11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7,997.04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5,961.36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6,075.33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65.7%</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38.45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39,764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39,875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68.7%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9,659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26,311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25,911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$166.52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$164.00</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a1a025d0ff45277587f56ae661f89cc4312b59a6.png"/><Relationship Id="rId13" Type="http://schemas.openxmlformats.org/officeDocument/2006/relationships/image" Target="media/a835f0b8e309811eecb40f1ac03b22fb39ec5f1c.png"/><Relationship Id="rId14" Type="http://schemas.openxmlformats.org/officeDocument/2006/relationships/image" Target="media/d8fae2726964f0022d16b9943773966718cc5359.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2026-06-10T12:59:37.640Z</dcterms:created>
  <dcterms:modified xsi:type="dcterms:W3CDTF">2026-06-10T12:59:37.641Z</dcterms:modified>
</cp:coreProperties>
</file>

<file path=docProps/custom.xml><?xml version="1.0" encoding="utf-8"?>
<Properties xmlns="http://schemas.openxmlformats.org/officeDocument/2006/custom-properties" xmlns:vt="http://schemas.openxmlformats.org/officeDocument/2006/docPropsVTypes"/>
</file>