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US$39,764m、Non-GAAP EPS $166.52，盈利改善由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7,526.75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9,483.70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11,949.47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9,081.60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9,249.61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1,505.35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1,707.07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2,150.90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1,680.10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1,711.18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6,021.40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7,776.64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9,798.56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7,401.50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7,538.43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331.93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322.64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323.74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142.26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136.22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138.74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413.97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407.80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406.28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406.98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5,607.43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7,368.84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9,392.28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6,997.37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7,131.45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5,645.43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7,406.84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9,430.28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7,035.37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7,169.45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4,836.15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6,277.11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7,997.04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5,961.36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6,075.33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38.45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39,764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39,875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68.7%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9,659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26,311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25,911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$166.52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$164.00</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a1a025d0ff45277587f56ae661f89cc4312b59a6.png"/><Relationship Id="rId13" Type="http://schemas.openxmlformats.org/officeDocument/2006/relationships/image" Target="media/a835f0b8e309811eecb40f1ac03b22fb39ec5f1c.png"/><Relationship Id="rId14" Type="http://schemas.openxmlformats.org/officeDocument/2006/relationships/image" Target="media/d8fae2726964f0022d16b9943773966718cc5359.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2026-06-10T13:16:46.450Z</dcterms:created>
  <dcterms:modified xsi:type="dcterms:W3CDTF">2026-06-10T13:16:46.451Z</dcterms:modified>
</cp:coreProperties>
</file>

<file path=docProps/custom.xml><?xml version="1.0" encoding="utf-8"?>
<Properties xmlns="http://schemas.openxmlformats.org/officeDocument/2006/custom-properties" xmlns:vt="http://schemas.openxmlformats.org/officeDocument/2006/docPropsVTypes"/>
</file>