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US$39,764m、Non-GAAP EPS $166.52，盈利改善由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7,526.75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9,483.70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11,949.47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9,081.60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9,249.61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1,505.35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1,707.07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2,150.90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1,680.10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1,711.18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6,021.40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7,776.64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9,798.56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7,401.50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7,538.43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331.93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322.64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323.74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142.26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136.22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138.74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413.97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407.80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406.28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406.98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5,607.43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7,368.84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9,392.28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6,997.37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7,131.45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5,645.43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7,406.84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9,430.28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7,035.37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7,169.45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4,836.15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6,277.11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7,997.04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5,961.36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6,075.33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38.45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39,764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39,875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68.7%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9,659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26,311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25,911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$166.52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$164.00</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2027-H1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控制器样品 + 系统级产品面市（超周期期权定价启动）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a1a025d0ff45277587f56ae661f89cc4312b59a6.png"/><Relationship Id="rId13" Type="http://schemas.openxmlformats.org/officeDocument/2006/relationships/image" Target="media/a835f0b8e309811eecb40f1ac03b22fb39ec5f1c.png"/><Relationship Id="rId14" Type="http://schemas.openxmlformats.org/officeDocument/2006/relationships/image" Target="media/d8fae2726964f0022d16b9943773966718cc5359.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2026-06-10T13:53:57.453Z</dcterms:created>
  <dcterms:modified xsi:type="dcterms:W3CDTF">2026-06-10T13:53:57.454Z</dcterms:modified>
</cp:coreProperties>
</file>

<file path=docProps/custom.xml><?xml version="1.0" encoding="utf-8"?>
<Properties xmlns="http://schemas.openxmlformats.org/officeDocument/2006/custom-properties" xmlns:vt="http://schemas.openxmlformats.org/officeDocument/2006/docPropsVTypes"/>
</file>