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US$36,006m、Non-GAAP EPS $150.82，盈利改善由 ASP 与产能利用率驱动、并由 NBM 锁定其可见度。</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6,158.25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8,498.39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10,855.33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8,250.05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8,402.68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1,231.65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1,529.71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1,953.96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1,526.26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1,554.49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4,926.60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6,968.68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8,901.37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6,723.79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6,848.18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255.57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297.44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293.09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294.09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127.48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135.69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126.04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338.70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369.72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4,587.90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6,603.25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8,532.29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6,356.66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6,478.46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4,625.90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6,641.25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8,570.29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6,394.66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6,516.46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3,959.35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5,626.36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7,266.04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5,416.76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5,520.29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35.61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34.94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17,441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36,006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36,224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23,829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23,544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$55.88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$149.01</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SBC/一次性项目）。来源：内部模型。FY25 部分净利项模型未覆盖（标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314fc8f521db929f97ed9770ccb392a1de738e9a.png"/><Relationship Id="rId13" Type="http://schemas.openxmlformats.org/officeDocument/2006/relationships/image" Target="media/f8ef7f2d6ed48a8d489b32d38b1bba61cb141185.png"/><Relationship Id="rId14" Type="http://schemas.openxmlformats.org/officeDocument/2006/relationships/image" Target="media/44f46dbb97ae2bd8cbc1dd763a5ebd452324c1cd.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2026-06-12T14:49:57.307Z</dcterms:created>
  <dcterms:modified xsi:type="dcterms:W3CDTF">2026-06-12T14:49:57.307Z</dcterms:modified>
</cp:coreProperties>
</file>

<file path=docProps/custom.xml><?xml version="1.0" encoding="utf-8"?>
<Properties xmlns="http://schemas.openxmlformats.org/officeDocument/2006/custom-properties" xmlns:vt="http://schemas.openxmlformats.org/officeDocument/2006/docPropsVTypes"/>
</file>