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Roboto" w:hAnsi="Roboto"/>
                <w:b w:val="false"/>
                <w:bCs w:val="false"/>
                <w:i w:val="false"/>
                <w:iCs w:val="false"/>
                <w:color w:val="103455"/>
                <w:sz w:val="15"/>
                <w:szCs w:val="15"/>
              </w:rPr>
              <w:t xml:space="preserve">United States | Technology Hardware</w:t>
            </w:r>
          </w:p>
          <w:p>
            <w:pPr>
              <w:spacing w:after="0" w:before="0"/>
              <w:jc w:val="left"/>
            </w:pPr>
            <w:r>
              <w:rPr>
                <w:rFonts w:ascii="Roboto" w:cs="Roboto" w:eastAsia="Roboto" w:hAnsi="Roboto"/>
                <w:b w:val="false"/>
                <w:bCs w:val="false"/>
                <w:i w:val="false"/>
                <w:iCs w:val="false"/>
                <w:color w:val="0084BF"/>
                <w:sz w:val="30"/>
                <w:szCs w:val="30"/>
              </w:rPr>
              <w:t xml:space="preserve">Apple Inc.</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HF Investment Case</w:t>
            </w:r>
          </w:p>
          <w:p>
            <w:pPr>
              <w:spacing w:after="0" w:before="0"/>
              <w:jc w:val="right"/>
            </w:pPr>
            <w:r>
              <w:rPr>
                <w:rFonts w:ascii="Roboto" w:cs="Roboto" w:eastAsia="Roboto" w:hAnsi="Roboto"/>
                <w:b w:val="false"/>
                <w:bCs w:val="false"/>
                <w:i w:val="false"/>
                <w:iCs w:val="false"/>
                <w:color w:val="103455"/>
                <w:sz w:val="15"/>
                <w:szCs w:val="15"/>
              </w:rPr>
              <w:t xml:space="preserve">April 18,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Roboto" w:hAnsi="Roboto"/>
                <w:b w:val="false"/>
                <w:bCs w:val="false"/>
                <w:i w:val="false"/>
                <w:iCs w:val="false"/>
                <w:color w:val="103455"/>
                <w:sz w:val="32"/>
                <w:szCs w:val="32"/>
              </w:rPr>
              <w:t xml:space="preserve">Apple Inc. (AAPL): LONG | Conviction High - OW in MAG7, Size 4-5% of Book</w:t>
            </w:r>
          </w:p>
          <w:p>
            <w:pPr>
              <w:spacing w:after="150" w:before="0" w:line="280"/>
              <w:jc w:val="left"/>
            </w:pPr>
            <w:r>
              <w:rPr>
                <w:rFonts w:ascii="Roboto" w:cs="Roboto" w:eastAsia="Roboto" w:hAnsi="Roboto"/>
                <w:b/>
                <w:bCs/>
                <w:i w:val="false"/>
                <w:iCs w:val="false"/>
                <w:color w:val="000000"/>
                <w:sz w:val="20"/>
                <w:szCs w:val="20"/>
              </w:rPr>
              <w:t xml:space="preserve">Long Case (3 hooks). </w:t>
            </w:r>
            <w:r>
              <w:rPr>
                <w:rFonts w:ascii="Roboto" w:cs="Roboto" w:eastAsia="Roboto" w:hAnsi="Roboto"/>
                <w:b w:val="false"/>
                <w:bCs w:val="false"/>
                <w:i w:val="false"/>
                <w:iCs w:val="false"/>
                <w:color w:val="212121"/>
                <w:sz w:val="20"/>
                <w:szCs w:val="20"/>
              </w:rPr>
              <w:t xml:space="preserve">Apple is a high-conviction long here because (1) the iPhone 17 supercycle is already printing — F1Q26 iPhone revenue +23% YoY and Greater China +38% decisively invalidated the 'China permanent loss' short thesis; (2) Services is compounding at +14% on 75.4% gross margin, with Mar-26 App Store spending reaccelerating to +7% — the saturation bear is wrong; (3) Apple Intelligence + the partnership ($1bn/yr) let Apple compete on AI without matching $100bn+ hyperscaler capex, meaning operating margin expansion continues rather than being taxed by AI capex.</w:t>
            </w:r>
          </w:p>
          <w:p>
            <w:pPr>
              <w:spacing w:after="150" w:before="0" w:line="280"/>
              <w:jc w:val="left"/>
            </w:pPr>
            <w:r>
              <w:rPr>
                <w:rFonts w:ascii="Roboto" w:cs="Roboto" w:eastAsia="Roboto" w:hAnsi="Roboto"/>
                <w:b/>
                <w:bCs/>
                <w:i w:val="false"/>
                <w:iCs w:val="false"/>
                <w:color w:val="000000"/>
                <w:sz w:val="20"/>
                <w:szCs w:val="20"/>
              </w:rPr>
              <w:t xml:space="preserve">Short Case (3 hooks). </w:t>
            </w:r>
            <w:r>
              <w:rPr>
                <w:rFonts w:ascii="Roboto" w:cs="Roboto" w:eastAsia="Roboto" w:hAnsi="Roboto"/>
                <w:b w:val="false"/>
                <w:bCs w:val="false"/>
                <w:i w:val="false"/>
                <w:iCs w:val="false"/>
                <w:color w:val="212121"/>
                <w:sz w:val="20"/>
                <w:szCs w:val="20"/>
              </w:rPr>
              <w:t xml:space="preserve">The coherent short is (1) DRAM 2H26 +50-100% breaks product gross margin to &lt;35% for two consecutive quarters, invalidating the 'Apple has structural pricing power' assumption; (2) the $50bn net-cash-to-neutral trajectory caps the $80-100bn annual buyback engine exactly as organic FCF growth decelerates — i.e., EPS growth is revealed as financially engineered; (3) China share gain from the $599 iPhone 17e fails against Huawei/Xiaomi price-band defense, turning the F1Q26 +38% print into a one-off calendar effect.</w:t>
            </w:r>
          </w:p>
          <w:p>
            <w:pPr>
              <w:spacing w:after="150" w:before="0" w:line="280"/>
              <w:jc w:val="left"/>
            </w:pPr>
            <w:r>
              <w:rPr>
                <w:rFonts w:ascii="Roboto" w:cs="Roboto" w:eastAsia="Roboto" w:hAnsi="Roboto"/>
                <w:b/>
                <w:bCs/>
                <w:i w:val="false"/>
                <w:iCs w:val="false"/>
                <w:color w:val="000000"/>
                <w:sz w:val="20"/>
                <w:szCs w:val="20"/>
              </w:rPr>
              <w:t xml:space="preserve">Our View. </w:t>
            </w:r>
            <w:r>
              <w:rPr>
                <w:rFonts w:ascii="Roboto" w:cs="Roboto" w:eastAsia="Roboto" w:hAnsi="Roboto"/>
                <w:b w:val="false"/>
                <w:bCs w:val="false"/>
                <w:i w:val="false"/>
                <w:iCs w:val="false"/>
                <w:color w:val="212121"/>
                <w:sz w:val="20"/>
                <w:szCs w:val="20"/>
              </w:rPr>
              <w:t xml:space="preserve">Conviction: HIGH. Side: LONG. Reasoning: The short case requires three independent things to go wrong simultaneously — memory shock that Apple cannot mix-shift around, China resurgence to reverse, and Services to saturate. Each is independently plausible, but the joint probability is low. The long case only requires one of the three catalysts (iPhone 17 cycle, Services 14%+, AI light-touch strategy) to hold. Bayesian asymmetry plus explicit invalidation signals make this a clean risk/reward.</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HF INVESTMENT CASE</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LONG - High Conviction</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12M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$315 - $340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3Y BULL</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$400+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CURRENT 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$270.23</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HARD STOP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TARGET WEIGHT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4-5% of book</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Metro Research  |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Section 2: Three Key Debates</w:t>
      </w:r>
    </w:p>
    <w:p>
      <w:pPr>
        <w:spacing w:after="45" w:before="190" w:line="320"/>
        <w:jc w:val="left"/>
      </w:pPr>
      <w:r>
        <w:rPr>
          <w:rFonts w:ascii="Roboto" w:cs="Roboto" w:eastAsia="Roboto" w:hAnsi="Roboto"/>
          <w:b/>
          <w:bCs/>
          <w:i w:val="false"/>
          <w:iCs w:val="false"/>
          <w:color w:val="000000"/>
          <w:sz w:val="24"/>
          <w:szCs w:val="24"/>
        </w:rPr>
        <w:t xml:space="preserve">2.1 Debate 1 - AI Monetization: Does Apple Intelligence drive Services ARPU?</w:t>
      </w:r>
    </w:p>
    <w:p>
      <w:pPr>
        <w:spacing w:after="90" w:before="0" w:line="280"/>
        <w:jc w:val="left"/>
      </w:pPr>
      <w:r>
        <w:rPr>
          <w:rFonts w:ascii="Roboto" w:cs="Roboto" w:eastAsia="Roboto" w:hAnsi="Roboto"/>
          <w:b/>
          <w:bCs/>
          <w:i w:val="false"/>
          <w:iCs w:val="false"/>
          <w:color w:val="000000"/>
          <w:sz w:val="20"/>
          <w:szCs w:val="20"/>
        </w:rPr>
        <w:t xml:space="preserve">Bull side. </w:t>
      </w:r>
      <w:r>
        <w:rPr>
          <w:rFonts w:ascii="Roboto" w:cs="Roboto" w:eastAsia="Roboto" w:hAnsi="Roboto"/>
          <w:b w:val="false"/>
          <w:bCs w:val="false"/>
          <w:i w:val="false"/>
          <w:iCs w:val="false"/>
          <w:color w:val="212121"/>
          <w:sz w:val="20"/>
          <w:szCs w:val="20"/>
        </w:rPr>
        <w:t xml:space="preserve">Bull side: Apple Intelligence features across 2.35bn [ M1.4] devices create genuine Services stickiness; personalized Siri (Spring 2026) + paid-AI tier (speculative FY27) could add $8-12bn of high-margin Services revenue.</w:t>
      </w:r>
    </w:p>
    <w:p>
      <w:pPr>
        <w:spacing w:after="90" w:before="0" w:line="280"/>
        <w:jc w:val="left"/>
      </w:pPr>
      <w:r>
        <w:rPr>
          <w:rFonts w:ascii="Roboto" w:cs="Roboto" w:eastAsia="Roboto" w:hAnsi="Roboto"/>
          <w:b/>
          <w:bCs/>
          <w:i w:val="false"/>
          <w:iCs w:val="false"/>
          <w:color w:val="000000"/>
          <w:sz w:val="20"/>
          <w:szCs w:val="20"/>
        </w:rPr>
        <w:t xml:space="preserve">Bear side. </w:t>
      </w:r>
      <w:r>
        <w:rPr>
          <w:rFonts w:ascii="Roboto" w:cs="Roboto" w:eastAsia="Roboto" w:hAnsi="Roboto"/>
          <w:b w:val="false"/>
          <w:bCs w:val="false"/>
          <w:i w:val="false"/>
          <w:iCs w:val="false"/>
          <w:color w:val="212121"/>
          <w:sz w:val="20"/>
          <w:szCs w:val="20"/>
        </w:rPr>
        <w:t xml:space="preserve">Bear side: Apple Intelligence is mostly free, and the partnership reveals Apple is outsourcing its AI leap — users will interact with ChatGPT/ directly, turning iOS into 'dumb glass' that bypasses App Store monetization.</w:t>
      </w:r>
    </w:p>
    <w:p>
      <w:pPr>
        <w:spacing w:after="90" w:before="0" w:line="280"/>
        <w:jc w:val="left"/>
      </w:pPr>
      <w:r>
        <w:rPr>
          <w:rFonts w:ascii="Roboto" w:cs="Roboto" w:eastAsia="Roboto" w:hAnsi="Roboto"/>
          <w:b/>
          <w:bCs/>
          <w:i w:val="false"/>
          <w:iCs w:val="false"/>
          <w:color w:val="000000"/>
          <w:sz w:val="20"/>
          <w:szCs w:val="20"/>
        </w:rPr>
        <w:t xml:space="preserve">Our adjudication. </w:t>
      </w:r>
      <w:r>
        <w:rPr>
          <w:rFonts w:ascii="Roboto" w:cs="Roboto" w:eastAsia="Roboto" w:hAnsi="Roboto"/>
          <w:b w:val="false"/>
          <w:bCs w:val="false"/>
          <w:i w:val="false"/>
          <w:iCs w:val="false"/>
          <w:color w:val="212121"/>
          <w:sz w:val="20"/>
          <w:szCs w:val="20"/>
        </w:rPr>
        <w:t xml:space="preserve">Our adjudication: Bull wins 60/40. The $1bn/yr [T4 press] deal is a commercial partnership, not surrender — Apple retains the interface layer and privacy positioning. Disintermediation risk is real but medium-horizon (2028+).</w:t>
      </w:r>
    </w:p>
    <w:p>
      <w:pPr>
        <w:spacing w:after="90" w:before="0" w:line="280"/>
        <w:jc w:val="left"/>
      </w:pPr>
      <w:r>
        <w:rPr>
          <w:rFonts w:ascii="Roboto" w:cs="Roboto" w:eastAsia="Roboto" w:hAnsi="Roboto"/>
          <w:b/>
          <w:bCs/>
          <w:i w:val="false"/>
          <w:iCs w:val="false"/>
          <w:color w:val="000000"/>
          <w:sz w:val="20"/>
          <w:szCs w:val="20"/>
        </w:rPr>
        <w:t xml:space="preserve">Data to resolve. </w:t>
      </w:r>
      <w:r>
        <w:rPr>
          <w:rFonts w:ascii="Roboto" w:cs="Roboto" w:eastAsia="Roboto" w:hAnsi="Roboto"/>
          <w:b w:val="false"/>
          <w:bCs w:val="false"/>
          <w:i w:val="false"/>
          <w:iCs w:val="false"/>
          <w:color w:val="212121"/>
          <w:sz w:val="20"/>
          <w:szCs w:val="20"/>
        </w:rPr>
        <w:t xml:space="preserve">Data to resolve: Q4-25 / Q1-26 Services ARPU trajectory above $296 [] per user; paid-tier AI subscription attach by FY27.</w:t>
      </w:r>
    </w:p>
    <w:p>
      <w:pPr>
        <w:spacing w:after="45" w:before="190" w:line="320"/>
        <w:jc w:val="left"/>
      </w:pPr>
      <w:r>
        <w:rPr>
          <w:rFonts w:ascii="Roboto" w:cs="Roboto" w:eastAsia="Roboto" w:hAnsi="Roboto"/>
          <w:b/>
          <w:bCs/>
          <w:i w:val="false"/>
          <w:iCs w:val="false"/>
          <w:color w:val="000000"/>
          <w:sz w:val="24"/>
          <w:szCs w:val="24"/>
        </w:rPr>
        <w:t xml:space="preserve">2.2 Debate 2 - Memory Margin Pressure: Can Apple pass through DRAM inflation?</w:t>
      </w:r>
    </w:p>
    <w:p>
      <w:pPr>
        <w:spacing w:after="90" w:before="0" w:line="280"/>
        <w:jc w:val="left"/>
      </w:pPr>
      <w:r>
        <w:rPr>
          <w:rFonts w:ascii="Roboto" w:cs="Roboto" w:eastAsia="Roboto" w:hAnsi="Roboto"/>
          <w:b/>
          <w:bCs/>
          <w:i w:val="false"/>
          <w:iCs w:val="false"/>
          <w:color w:val="000000"/>
          <w:sz w:val="20"/>
          <w:szCs w:val="20"/>
        </w:rPr>
        <w:t xml:space="preserve">Bull side. </w:t>
      </w:r>
      <w:r>
        <w:rPr>
          <w:rFonts w:ascii="Roboto" w:cs="Roboto" w:eastAsia="Roboto" w:hAnsi="Roboto"/>
          <w:b w:val="false"/>
          <w:bCs w:val="false"/>
          <w:i w:val="false"/>
          <w:iCs w:val="false"/>
          <w:color w:val="212121"/>
          <w:sz w:val="20"/>
          <w:szCs w:val="20"/>
        </w:rPr>
        <w:t xml:space="preserve">Bull side: Pro/Pro Max mix shift (67% [] China mix, up from 65%) plus Apple's scale in memory procurement can offset 140bps [ Citi] CY26 headwind and easing to 48bps [ Citi] CY27.</w:t>
      </w:r>
    </w:p>
    <w:p>
      <w:pPr>
        <w:spacing w:after="90" w:before="0" w:line="280"/>
        <w:jc w:val="left"/>
      </w:pPr>
      <w:r>
        <w:rPr>
          <w:rFonts w:ascii="Roboto" w:cs="Roboto" w:eastAsia="Roboto" w:hAnsi="Roboto"/>
          <w:b/>
          <w:bCs/>
          <w:i w:val="false"/>
          <w:iCs w:val="false"/>
          <w:color w:val="000000"/>
          <w:sz w:val="20"/>
          <w:szCs w:val="20"/>
        </w:rPr>
        <w:t xml:space="preserve">Bear side. </w:t>
      </w:r>
      <w:r>
        <w:rPr>
          <w:rFonts w:ascii="Roboto" w:cs="Roboto" w:eastAsia="Roboto" w:hAnsi="Roboto"/>
          <w:b w:val="false"/>
          <w:bCs w:val="false"/>
          <w:i w:val="false"/>
          <w:iCs w:val="false"/>
          <w:color w:val="212121"/>
          <w:sz w:val="20"/>
          <w:szCs w:val="20"/>
        </w:rPr>
        <w:t xml:space="preserve">Bear side: UBS correctly notes Apple stops giving GM guidance past the immediate quarter — meaning June/Sept-26 are vulnerable to demand destruction if Apple tries to raise prices at the low end. Product GM could break 35%.</w:t>
      </w:r>
    </w:p>
    <w:p>
      <w:pPr>
        <w:spacing w:after="90" w:before="0" w:line="280"/>
        <w:jc w:val="left"/>
      </w:pPr>
      <w:r>
        <w:rPr>
          <w:rFonts w:ascii="Roboto" w:cs="Roboto" w:eastAsia="Roboto" w:hAnsi="Roboto"/>
          <w:b/>
          <w:bCs/>
          <w:i w:val="false"/>
          <w:iCs w:val="false"/>
          <w:color w:val="000000"/>
          <w:sz w:val="20"/>
          <w:szCs w:val="20"/>
        </w:rPr>
        <w:t xml:space="preserve">Our adjudication. </w:t>
      </w:r>
      <w:r>
        <w:rPr>
          <w:rFonts w:ascii="Roboto" w:cs="Roboto" w:eastAsia="Roboto" w:hAnsi="Roboto"/>
          <w:b w:val="false"/>
          <w:bCs w:val="false"/>
          <w:i w:val="false"/>
          <w:iCs w:val="false"/>
          <w:color w:val="212121"/>
          <w:sz w:val="20"/>
          <w:szCs w:val="20"/>
        </w:rPr>
        <w:t xml:space="preserve">Our adjudication: Bear has a fair point but is over-reaching. 10-year track record of absorbing component shocks + services mix buffer + iPhone 17e's deliberate $599 [ Citi] low-end price anchor (signaling willingness to accept lower ASP on entry tier) collectively de-risk the scenario.</w:t>
      </w:r>
    </w:p>
    <w:p>
      <w:pPr>
        <w:spacing w:after="90" w:before="0" w:line="280"/>
        <w:jc w:val="left"/>
      </w:pPr>
      <w:r>
        <w:rPr>
          <w:rFonts w:ascii="Roboto" w:cs="Roboto" w:eastAsia="Roboto" w:hAnsi="Roboto"/>
          <w:b/>
          <w:bCs/>
          <w:i w:val="false"/>
          <w:iCs w:val="false"/>
          <w:color w:val="000000"/>
          <w:sz w:val="20"/>
          <w:szCs w:val="20"/>
        </w:rPr>
        <w:t xml:space="preserve">Data to resolve. </w:t>
      </w:r>
      <w:r>
        <w:rPr>
          <w:rFonts w:ascii="Roboto" w:cs="Roboto" w:eastAsia="Roboto" w:hAnsi="Roboto"/>
          <w:b w:val="false"/>
          <w:bCs w:val="false"/>
          <w:i w:val="false"/>
          <w:iCs w:val="false"/>
          <w:color w:val="212121"/>
          <w:sz w:val="20"/>
          <w:szCs w:val="20"/>
        </w:rPr>
        <w:t xml:space="preserve">Data to resolve: Product GM in June 2026 and Sept 2026 quarters. Specifically test: Product GM below 35% for 2Q = invalidated long.</w:t>
      </w:r>
    </w:p>
    <w:p>
      <w:pPr>
        <w:spacing w:after="45" w:before="190" w:line="320"/>
        <w:jc w:val="left"/>
      </w:pPr>
      <w:r>
        <w:rPr>
          <w:rFonts w:ascii="Roboto" w:cs="Roboto" w:eastAsia="Roboto" w:hAnsi="Roboto"/>
          <w:b/>
          <w:bCs/>
          <w:i w:val="false"/>
          <w:iCs w:val="false"/>
          <w:color w:val="000000"/>
          <w:sz w:val="24"/>
          <w:szCs w:val="24"/>
        </w:rPr>
        <w:t xml:space="preserve">2.3 Debate 3 - China: Permanent Loss or Cyclical Recovery?</w:t>
      </w:r>
    </w:p>
    <w:p>
      <w:pPr>
        <w:spacing w:after="90" w:before="0" w:line="280"/>
        <w:jc w:val="left"/>
      </w:pPr>
      <w:r>
        <w:rPr>
          <w:rFonts w:ascii="Roboto" w:cs="Roboto" w:eastAsia="Roboto" w:hAnsi="Roboto"/>
          <w:b/>
          <w:bCs/>
          <w:i w:val="false"/>
          <w:iCs w:val="false"/>
          <w:color w:val="000000"/>
          <w:sz w:val="20"/>
          <w:szCs w:val="20"/>
        </w:rPr>
        <w:t xml:space="preserve">Bull side. </w:t>
      </w:r>
      <w:r>
        <w:rPr>
          <w:rFonts w:ascii="Roboto" w:cs="Roboto" w:eastAsia="Roboto" w:hAnsi="Roboto"/>
          <w:b w:val="false"/>
          <w:bCs w:val="false"/>
          <w:i w:val="false"/>
          <w:iCs w:val="false"/>
          <w:color w:val="212121"/>
          <w:sz w:val="20"/>
          <w:szCs w:val="20"/>
        </w:rPr>
        <w:t xml:space="preserve">Bull side: F1Q26 Greater China +38% [ F1Q26 10-Q] reversed 8 quarters of decline. CAICT January -37% foreign-brand shipment was calendar-driven (iPhone 17 pre-launch comparison). iPhone 17e + App Store commission cut (30%→25% [ Citi]) are structural tailwinds.</w:t>
      </w:r>
    </w:p>
    <w:p>
      <w:pPr>
        <w:spacing w:after="90" w:before="0" w:line="280"/>
        <w:jc w:val="left"/>
      </w:pPr>
      <w:r>
        <w:rPr>
          <w:rFonts w:ascii="Roboto" w:cs="Roboto" w:eastAsia="Roboto" w:hAnsi="Roboto"/>
          <w:b/>
          <w:bCs/>
          <w:i w:val="false"/>
          <w:iCs w:val="false"/>
          <w:color w:val="000000"/>
          <w:sz w:val="20"/>
          <w:szCs w:val="20"/>
        </w:rPr>
        <w:t xml:space="preserve">Bear side. </w:t>
      </w:r>
      <w:r>
        <w:rPr>
          <w:rFonts w:ascii="Roboto" w:cs="Roboto" w:eastAsia="Roboto" w:hAnsi="Roboto"/>
          <w:b w:val="false"/>
          <w:bCs w:val="false"/>
          <w:i w:val="false"/>
          <w:iCs w:val="false"/>
          <w:color w:val="212121"/>
          <w:sz w:val="20"/>
          <w:szCs w:val="20"/>
        </w:rPr>
        <w:t xml:space="preserve">Bear side: Huawei Kirin recovery is structural. Xiaomi 17 Pro is a credible competitor. The FY24 -8% [ 10-K M3.4] share loss to Huawei is sticky; the F1Q26 rebound will fade by Jun/Sep-26 as iPhone 17 cycle peaks.</w:t>
      </w:r>
    </w:p>
    <w:p>
      <w:pPr>
        <w:spacing w:after="90" w:before="0" w:line="280"/>
        <w:jc w:val="left"/>
      </w:pPr>
      <w:r>
        <w:rPr>
          <w:rFonts w:ascii="Roboto" w:cs="Roboto" w:eastAsia="Roboto" w:hAnsi="Roboto"/>
          <w:b/>
          <w:bCs/>
          <w:i w:val="false"/>
          <w:iCs w:val="false"/>
          <w:color w:val="000000"/>
          <w:sz w:val="20"/>
          <w:szCs w:val="20"/>
        </w:rPr>
        <w:t xml:space="preserve">Our adjudication. </w:t>
      </w:r>
      <w:r>
        <w:rPr>
          <w:rFonts w:ascii="Roboto" w:cs="Roboto" w:eastAsia="Roboto" w:hAnsi="Roboto"/>
          <w:b w:val="false"/>
          <w:bCs w:val="false"/>
          <w:i w:val="false"/>
          <w:iCs w:val="false"/>
          <w:color w:val="212121"/>
          <w:sz w:val="20"/>
          <w:szCs w:val="20"/>
        </w:rPr>
        <w:t xml:space="preserve">Our adjudication: Bull wins 65/35. +38% print is hard to dismiss as calendar noise. Pro/Pro Max China mix at 67% [] + February ASP +20.2% [ Bernstein] show genuine premium-tier traction.</w:t>
      </w:r>
    </w:p>
    <w:p>
      <w:pPr>
        <w:spacing w:after="90" w:before="0" w:line="280"/>
        <w:jc w:val="left"/>
      </w:pPr>
      <w:r>
        <w:rPr>
          <w:rFonts w:ascii="Roboto" w:cs="Roboto" w:eastAsia="Roboto" w:hAnsi="Roboto"/>
          <w:b/>
          <w:bCs/>
          <w:i w:val="false"/>
          <w:iCs w:val="false"/>
          <w:color w:val="000000"/>
          <w:sz w:val="20"/>
          <w:szCs w:val="20"/>
        </w:rPr>
        <w:t xml:space="preserve">Data to resolve. </w:t>
      </w:r>
      <w:r>
        <w:rPr>
          <w:rFonts w:ascii="Roboto" w:cs="Roboto" w:eastAsia="Roboto" w:hAnsi="Roboto"/>
          <w:b w:val="false"/>
          <w:bCs w:val="false"/>
          <w:i w:val="false"/>
          <w:iCs w:val="false"/>
          <w:color w:val="212121"/>
          <w:sz w:val="20"/>
          <w:szCs w:val="20"/>
        </w:rPr>
        <w:t xml:space="preserve">Data to resolve: Greater China YoY in Jun-26 and Sep-26 quarters. Invalidated if back to YoY decline in both. Also watch CAICT monthly foreign-brand series; sustained &gt;15% YoY decline for 3 months flips us.</w:t>
      </w:r>
    </w:p>
    <w:p>
      <w:pPr>
        <w:spacing w:after="50" w:before="160" w:line="360"/>
        <w:jc w:val="left"/>
      </w:pPr>
      <w:r>
        <w:rPr>
          <w:rFonts w:ascii="Roboto" w:cs="Roboto" w:eastAsia="Roboto" w:hAnsi="Roboto"/>
          <w:b w:val="false"/>
          <w:bCs w:val="false"/>
          <w:i w:val="false"/>
          <w:iCs w:val="false"/>
          <w:color w:val="103455"/>
          <w:sz w:val="28"/>
          <w:szCs w:val="28"/>
        </w:rPr>
        <w:t xml:space="preserve">Section 3: Growth Lifecycle &amp; 4-Factor Return Attribution</w:t>
      </w:r>
    </w:p>
    <w:p>
      <w:pPr>
        <w:spacing w:after="45" w:before="190" w:line="320"/>
        <w:jc w:val="left"/>
      </w:pPr>
      <w:r>
        <w:rPr>
          <w:rFonts w:ascii="Roboto" w:cs="Roboto" w:eastAsia="Roboto" w:hAnsi="Roboto"/>
          <w:b/>
          <w:bCs/>
          <w:i w:val="false"/>
          <w:iCs w:val="false"/>
          <w:color w:val="000000"/>
          <w:sz w:val="24"/>
          <w:szCs w:val="24"/>
        </w:rPr>
        <w:t xml:space="preserve">3.1 S-Curve Lifecycle Positioning</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Segment</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Lifecycle Stage</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 Revenue []</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3Y Outlook</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iPhone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Mature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$209.6bn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 / 1% / 6% CY25-27 [ Citi]; cycle-driven</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Services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Growth (steep)</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$109.1bn (+14%)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10-13.5% CAGR []</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Wearables/Home/Accessories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Expansion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$35.6bn (-4%)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Flat to -5% by FY28 []; health catalyst</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Vision Pro / Spatial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Early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Not disclosed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Enterprise pilots; &lt;$2k version 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45" w:before="190" w:line="320"/>
        <w:jc w:val="left"/>
      </w:pPr>
      <w:r>
        <w:rPr>
          <w:rFonts w:ascii="Roboto" w:cs="Roboto" w:eastAsia="Roboto" w:hAnsi="Roboto"/>
          <w:b/>
          <w:bCs/>
          <w:i w:val="false"/>
          <w:iCs w:val="false"/>
          <w:color w:val="000000"/>
          <w:sz w:val="24"/>
          <w:szCs w:val="24"/>
        </w:rPr>
        <w:t xml:space="preserve">3.2 Four-Factor 3Y Return Attribution</w:t>
      </w:r>
    </w:p>
    <w:p>
      <w:pPr>
        <w:spacing w:after="90" w:before="0" w:line="280"/>
        <w:jc w:val="left"/>
      </w:pPr>
      <w:r>
        <w:rPr>
          <w:rFonts w:ascii="Roboto" w:cs="Roboto" w:eastAsia="Roboto" w:hAnsi="Roboto"/>
          <w:b w:val="false"/>
          <w:bCs w:val="false"/>
          <w:i w:val="false"/>
          <w:iCs w:val="false"/>
          <w:color w:val="212121"/>
          <w:sz w:val="20"/>
          <w:szCs w:val="20"/>
        </w:rPr>
        <w:t xml:space="preserve">Following the DR M10 synthesis framework, we decompose expected 3Y return:</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Factor</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3Y Estimate [ DR]</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Driver</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(a) Revenue CAGR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 – 10.0%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Hardware replacement cycle + Services 10-13%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 Margin expansion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+140-160bps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GM 46.948.3%; OP margin 32.033.6%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 Multiple re-rating</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~28.9x [ yfinance 2026-04-18] 32-34x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Services mix justifies +20% premium to 3Y historical avg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 Capital return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 yield (buybacks + div) []</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$100bn [] buyback auth; 0.38% [] div yield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Roboto" w:hAnsi="Roboto"/>
          <w:b w:val="false"/>
          <w:bCs w:val="false"/>
          <w:i w:val="false"/>
          <w:iCs w:val="false"/>
          <w:color w:val="212121"/>
          <w:sz w:val="20"/>
          <w:szCs w:val="20"/>
        </w:rPr>
        <w:t xml:space="preserve">Sum: annualized expected total return ranges from +19.6% to +34.7% in the base case. At current $270.23, the 3Y price-target zone is $400-$450 in the bull scenario, $315-$340 in the base, and $194-$230 in the bear. Probability-weighted 3Y expected return: approximately +22%.</w:t>
      </w:r>
    </w:p>
    <w:p>
      <w:pPr>
        <w:spacing w:after="45" w:before="190" w:line="320"/>
        <w:jc w:val="left"/>
      </w:pPr>
      <w:r>
        <w:rPr>
          <w:rFonts w:ascii="Roboto" w:cs="Roboto" w:eastAsia="Roboto" w:hAnsi="Roboto"/>
          <w:b/>
          <w:bCs/>
          <w:i w:val="false"/>
          <w:iCs w:val="false"/>
          <w:color w:val="000000"/>
          <w:sz w:val="24"/>
          <w:szCs w:val="24"/>
        </w:rPr>
        <w:t xml:space="preserve">3.3 Probability-Weighted Outcome Distribution</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Scenario</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Prob [ DR]</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3Y Price Target</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Return</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Base — iPhone 17 steady + Services resilient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$315 – $340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 to +26%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Bull — Supercycle + AI monetization + robotics optionality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Bear — Macro + DRAM + China reversal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$194 – $230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 to -28%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Tail — Geopolitical / DMA hard enforcement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n/d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n/d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Roboto" w:hAnsi="Roboto"/>
          <w:b w:val="false"/>
          <w:bCs w:val="false"/>
          <w:i w:val="false"/>
          <w:iCs w:val="false"/>
          <w:color w:val="103455"/>
          <w:sz w:val="28"/>
          <w:szCs w:val="28"/>
        </w:rPr>
        <w:t xml:space="preserve">Section 4: Catalysts Playbook</w:t>
      </w:r>
    </w:p>
    <w:p>
      <w:pPr>
        <w:spacing w:after="45" w:before="190" w:line="320"/>
        <w:jc w:val="left"/>
      </w:pPr>
      <w:r>
        <w:rPr>
          <w:rFonts w:ascii="Roboto" w:cs="Roboto" w:eastAsia="Roboto" w:hAnsi="Roboto"/>
          <w:b/>
          <w:bCs/>
          <w:i w:val="false"/>
          <w:iCs w:val="false"/>
          <w:color w:val="000000"/>
          <w:sz w:val="24"/>
          <w:szCs w:val="24"/>
        </w:rPr>
        <w:t xml:space="preserve">4.1 3-Month Window (to Jul-2026)</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Earnings — Mar-26 quarter earnings (late April 2026). Citi guidance: $109bn revenue vs Street $105bn [ Citi]; $1.93 EPS vs Street $1.83 [ Citi]. A beat above Citi sets up a fresh re-rating leg.</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iPhone 17 tracker — iPhone 17 family sales trends in Feb-Apr 2026 (Bernstein tracker +26% Feb [ Sell-side] was the last print). Watch for March and April cadence; sustained +15-20% supports base case.</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WWDC — Jun-26 WWDC announcements. Apple Intelligence v2 feature drop + iPhone 18 spec leak window. Personalized Siri (-powered) live demo.</w:t>
      </w:r>
    </w:p>
    <w:p>
      <w:pPr>
        <w:spacing w:after="45" w:before="190" w:line="320"/>
        <w:jc w:val="left"/>
      </w:pPr>
      <w:r>
        <w:rPr>
          <w:rFonts w:ascii="Roboto" w:cs="Roboto" w:eastAsia="Roboto" w:hAnsi="Roboto"/>
          <w:b/>
          <w:bCs/>
          <w:i w:val="false"/>
          <w:iCs w:val="false"/>
          <w:color w:val="000000"/>
          <w:sz w:val="24"/>
          <w:szCs w:val="24"/>
        </w:rPr>
        <w:t xml:space="preserve">4.2 6-Month Window (to Oct-2026)</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Earnings — Jun-26 quarter earnings with full Apple Intelligence v1 data + iPhone 18 pre-launch commentary. First clean read on DRAM margin impact.</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iPhone 18 launch — Sept-26 iPhone 18 launch — the 'AI iPhone'. Memory-architecture upgrade and neural engine step-change.</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China fee cut — China App Store 30%→25% [ Citi] fee cut full-quarter absorption visible in Services GM print.</w:t>
      </w:r>
    </w:p>
    <w:p>
      <w:pPr>
        <w:spacing w:after="45" w:before="190" w:line="320"/>
        <w:jc w:val="left"/>
      </w:pPr>
      <w:r>
        <w:rPr>
          <w:rFonts w:ascii="Roboto" w:cs="Roboto" w:eastAsia="Roboto" w:hAnsi="Roboto"/>
          <w:b/>
          <w:bCs/>
          <w:i w:val="false"/>
          <w:iCs w:val="false"/>
          <w:color w:val="000000"/>
          <w:sz w:val="24"/>
          <w:szCs w:val="24"/>
        </w:rPr>
        <w:t xml:space="preserve">4.3 12-Month Window (to Apr-2027)</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Services FY print — FY2026 full-year Services result. Accelerate = &gt;14% = thesis validated. Decel = &lt;10% = invalidated.</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FY27 EPS handoff — CY27 EPS trajectory. At $10+ EPS, 33x [ Citi] Citi multiple clears $330; at $9.50, $315 is the cap.</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Pro mix sustainability — Pro/Pro Max unit mix in China through full iPhone 17/18 cycles. 67% [] → 70%+ = bull; &lt;65% = risk flag.</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India ramp — India revenue mix progression (target 10%+). Sep-25 all-time record [] was the base; rate-of-change is the signal.</w:t>
      </w:r>
    </w:p>
    <w:p>
      <w:pPr>
        <w:spacing w:after="50" w:before="160" w:line="360"/>
        <w:jc w:val="left"/>
      </w:pPr>
      <w:r>
        <w:rPr>
          <w:rFonts w:ascii="Roboto" w:cs="Roboto" w:eastAsia="Roboto" w:hAnsi="Roboto"/>
          <w:b w:val="false"/>
          <w:bCs w:val="false"/>
          <w:i w:val="false"/>
          <w:iCs w:val="false"/>
          <w:color w:val="103455"/>
          <w:sz w:val="28"/>
          <w:szCs w:val="28"/>
        </w:rPr>
        <w:t xml:space="preserve">Section 5: Risk Reverse-Logic &amp; Narrative Crisis Triggers</w:t>
      </w:r>
    </w:p>
    <w:p>
      <w:pPr>
        <w:spacing w:after="45" w:before="190" w:line="320"/>
        <w:jc w:val="left"/>
      </w:pPr>
      <w:r>
        <w:rPr>
          <w:rFonts w:ascii="Roboto" w:cs="Roboto" w:eastAsia="Roboto" w:hAnsi="Roboto"/>
          <w:b/>
          <w:bCs/>
          <w:i w:val="false"/>
          <w:iCs w:val="false"/>
          <w:color w:val="000000"/>
          <w:sz w:val="24"/>
          <w:szCs w:val="24"/>
        </w:rPr>
        <w:t xml:space="preserve">5.1 Bear Scenario 1 - iPhone Replacement Cycle Extends to 5+ Years</w:t>
      </w:r>
    </w:p>
    <w:p>
      <w:pPr>
        <w:spacing w:after="90" w:before="0" w:line="280"/>
        <w:jc w:val="left"/>
      </w:pPr>
      <w:r>
        <w:rPr>
          <w:rFonts w:ascii="Roboto" w:cs="Roboto" w:eastAsia="Roboto" w:hAnsi="Roboto"/>
          <w:b w:val="false"/>
          <w:bCs w:val="false"/>
          <w:i w:val="false"/>
          <w:iCs w:val="false"/>
          <w:color w:val="212121"/>
          <w:sz w:val="20"/>
          <w:szCs w:val="20"/>
        </w:rPr>
        <w:t xml:space="preserve">If the structural replacement cycle permanently extends from 3.7 to 5+ years, FY27 iPhone unit growth would compress from Citi's +5.9% to flat-to-negative. EPS base case would drop from $10.00 to ~$8.50. At 28x multiple (compression from de-rating), implied price ~$238 — downside -12%. Probability: 20% over 3Y.</w:t>
      </w:r>
    </w:p>
    <w:p>
      <w:pPr>
        <w:spacing w:after="45" w:before="190" w:line="320"/>
        <w:jc w:val="left"/>
      </w:pPr>
      <w:r>
        <w:rPr>
          <w:rFonts w:ascii="Roboto" w:cs="Roboto" w:eastAsia="Roboto" w:hAnsi="Roboto"/>
          <w:b/>
          <w:bCs/>
          <w:i w:val="false"/>
          <w:iCs w:val="false"/>
          <w:color w:val="000000"/>
          <w:sz w:val="24"/>
          <w:szCs w:val="24"/>
        </w:rPr>
        <w:t xml:space="preserve">5.2 Bear Scenario 2 - Services Fee Regulation (30% to 15%) Globally</w:t>
      </w:r>
    </w:p>
    <w:p>
      <w:pPr>
        <w:spacing w:after="90" w:before="0" w:line="280"/>
        <w:jc w:val="left"/>
      </w:pPr>
      <w:r>
        <w:rPr>
          <w:rFonts w:ascii="Roboto" w:cs="Roboto" w:eastAsia="Roboto" w:hAnsi="Roboto"/>
          <w:b w:val="false"/>
          <w:bCs w:val="false"/>
          <w:i w:val="false"/>
          <w:iCs w:val="false"/>
          <w:color w:val="212121"/>
          <w:sz w:val="20"/>
          <w:szCs w:val="20"/>
        </w:rPr>
        <w:t xml:space="preserve">If China's 30%→25% precedent is followed by global cuts to 15%, Services GM could compress from 75.4% to ~60%. On $120bn+ FY27 Services revenue, this removes ~$18bn of gross profit = ~$14bn of operating profit = ~$11bn of net income = ~$0.75 of EPS. At 28x de-rated multiple on revised $8.75-$9.00 EPS, implied $245-$255 — downside -6% to -9%. Probability: 15% over 3Y.</w:t>
      </w:r>
    </w:p>
    <w:p>
      <w:pPr>
        <w:spacing w:after="45" w:before="190" w:line="320"/>
        <w:jc w:val="left"/>
      </w:pPr>
      <w:r>
        <w:rPr>
          <w:rFonts w:ascii="Roboto" w:cs="Roboto" w:eastAsia="Roboto" w:hAnsi="Roboto"/>
          <w:b/>
          <w:bCs/>
          <w:i w:val="false"/>
          <w:iCs w:val="false"/>
          <w:color w:val="000000"/>
          <w:sz w:val="24"/>
          <w:szCs w:val="24"/>
        </w:rPr>
        <w:t xml:space="preserve">5.3 Bear Scenario 3 - China Share 17% to 10%, Structural</w:t>
      </w:r>
    </w:p>
    <w:p>
      <w:pPr>
        <w:spacing w:after="90" w:before="0" w:line="280"/>
        <w:jc w:val="left"/>
      </w:pPr>
      <w:r>
        <w:rPr>
          <w:rFonts w:ascii="Roboto" w:cs="Roboto" w:eastAsia="Roboto" w:hAnsi="Roboto"/>
          <w:b w:val="false"/>
          <w:bCs w:val="false"/>
          <w:i w:val="false"/>
          <w:iCs w:val="false"/>
          <w:color w:val="212121"/>
          <w:sz w:val="20"/>
          <w:szCs w:val="20"/>
        </w:rPr>
        <w:t xml:space="preserve">If Huawei/Xiaomi achieve durable premium share, Greater China revenue could step down from $66.95bn (FY24) to ~$50bn — removing ~$17bn revenue, ~$8bn gross profit, ~$6bn operating profit = ~$0.40 EPS. Combined with geographic-mix downgrade (China carries Pro-heavy mix), the multiple compression adds further drag. Implied $194-$210 — downside -22% to -28%. Probability: 15% over 3Y.</w:t>
      </w:r>
    </w:p>
    <w:p>
      <w:pPr>
        <w:spacing w:after="45" w:before="190" w:line="320"/>
        <w:jc w:val="left"/>
      </w:pPr>
      <w:r>
        <w:rPr>
          <w:rFonts w:ascii="Roboto" w:cs="Roboto" w:eastAsia="Roboto" w:hAnsi="Roboto"/>
          <w:b/>
          <w:bCs/>
          <w:i w:val="false"/>
          <w:iCs w:val="false"/>
          <w:color w:val="000000"/>
          <w:sz w:val="24"/>
          <w:szCs w:val="24"/>
        </w:rPr>
        <w:t xml:space="preserve">5.4 Narrative Crisis Trigger: Apple No Longer Innovates</w:t>
      </w:r>
    </w:p>
    <w:p>
      <w:pPr>
        <w:spacing w:after="90" w:before="0" w:line="280"/>
        <w:jc w:val="left"/>
      </w:pPr>
      <w:r>
        <w:rPr>
          <w:rFonts w:ascii="Roboto" w:cs="Roboto" w:eastAsia="Roboto" w:hAnsi="Roboto"/>
          <w:b w:val="false"/>
          <w:bCs w:val="false"/>
          <w:i w:val="false"/>
          <w:iCs w:val="false"/>
          <w:color w:val="212121"/>
          <w:sz w:val="20"/>
          <w:szCs w:val="20"/>
        </w:rPr>
        <w:t xml:space="preserve">The single narrative that would produce the fastest and deepest de-rating is the reanimation of the 'Apple has lost its innovation edge' meme. Trigger conditions:</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Apple Intelligence v2 at WWDC 2026 fails to impress — feature list is incremental, demos underwhelm versus /ChatGPT native experiences.</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Personalized Siri (Spring 2026 -powered) ships late or broken, triggering social-media backlash parallel to the original 2024 Apple Intelligence delay.</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Vision Pro v2 or 'Apple Glass' fails to launch in 2026-27 while Meta Ray-Ban captures mindshare; narrative consolidates around 'Apple is behind on wearable AI'.</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A high-profile Apple Silicon misstep (M6 delay, A20 thermal issue) shatters the 'silicon moat' story.</w:t>
      </w:r>
    </w:p>
    <w:p>
      <w:pPr>
        <w:spacing w:after="90" w:before="0" w:line="280"/>
        <w:jc w:val="left"/>
      </w:pPr>
      <w:r>
        <w:rPr>
          <w:rFonts w:ascii="Roboto" w:cs="Roboto" w:eastAsia="Roboto" w:hAnsi="Roboto"/>
          <w:b w:val="false"/>
          <w:bCs w:val="false"/>
          <w:i w:val="false"/>
          <w:iCs w:val="false"/>
          <w:color w:val="212121"/>
          <w:sz w:val="20"/>
          <w:szCs w:val="20"/>
        </w:rPr>
        <w:t xml:space="preserve">If two or more of these fire simultaneously, the multiple could compress from 30x to 22x in a matter of weeks. Positioning mitigant: hard stop at $240 level (below 52w high - 16%, below key moving averages, below most sell-side bear cases).</w:t>
      </w:r>
    </w:p>
    <w:p>
      <w:pPr>
        <w:spacing w:after="50" w:before="160" w:line="360"/>
        <w:jc w:val="left"/>
      </w:pPr>
      <w:r>
        <w:rPr>
          <w:rFonts w:ascii="Roboto" w:cs="Roboto" w:eastAsia="Roboto" w:hAnsi="Roboto"/>
          <w:b w:val="false"/>
          <w:bCs w:val="false"/>
          <w:i w:val="false"/>
          <w:iCs w:val="false"/>
          <w:color w:val="103455"/>
          <w:sz w:val="28"/>
          <w:szCs w:val="28"/>
        </w:rPr>
        <w:t xml:space="preserve">Section 6: Position Sizing &amp; Entry</w:t>
      </w:r>
    </w:p>
    <w:p>
      <w:pPr>
        <w:spacing w:after="45" w:before="190" w:line="320"/>
        <w:jc w:val="left"/>
      </w:pPr>
      <w:r>
        <w:rPr>
          <w:rFonts w:ascii="Roboto" w:cs="Roboto" w:eastAsia="Roboto" w:hAnsi="Roboto"/>
          <w:b/>
          <w:bCs/>
          <w:i w:val="false"/>
          <w:iCs w:val="false"/>
          <w:color w:val="000000"/>
          <w:sz w:val="24"/>
          <w:szCs w:val="24"/>
        </w:rPr>
        <w:t xml:space="preserve">6.1 Conviction Grade</w:t>
      </w:r>
    </w:p>
    <w:p>
      <w:pPr>
        <w:spacing w:after="90" w:before="0" w:line="280"/>
        <w:jc w:val="left"/>
      </w:pPr>
      <w:r>
        <w:rPr>
          <w:rFonts w:ascii="Roboto" w:cs="Roboto" w:eastAsia="Roboto" w:hAnsi="Roboto"/>
          <w:b w:val="false"/>
          <w:bCs w:val="false"/>
          <w:i w:val="false"/>
          <w:iCs w:val="false"/>
          <w:color w:val="212121"/>
          <w:sz w:val="20"/>
          <w:szCs w:val="20"/>
        </w:rPr>
        <w:t xml:space="preserve">Conviction: HIGH. Thesis is falsifiable with explicit signals, multi-pillared (hardware + Services + AI + capital return), and corroborated by independent sell-side rating distribution (6 bull / 3 neutral / 0 bear [] in our 10-bank sample).</w:t>
      </w:r>
    </w:p>
    <w:p>
      <w:pPr>
        <w:spacing w:after="45" w:before="190" w:line="320"/>
        <w:jc w:val="left"/>
      </w:pPr>
      <w:r>
        <w:rPr>
          <w:rFonts w:ascii="Roboto" w:cs="Roboto" w:eastAsia="Roboto" w:hAnsi="Roboto"/>
          <w:b/>
          <w:bCs/>
          <w:i w:val="false"/>
          <w:iCs w:val="false"/>
          <w:color w:val="000000"/>
          <w:sz w:val="24"/>
          <w:szCs w:val="24"/>
        </w:rPr>
        <w:t xml:space="preserve">6.2 Suggested Position</w:t>
      </w:r>
    </w:p>
    <w:p>
      <w:pPr>
        <w:spacing w:after="90" w:before="0" w:line="280"/>
        <w:jc w:val="left"/>
      </w:pPr>
      <w:r>
        <w:rPr>
          <w:rFonts w:ascii="Roboto" w:cs="Roboto" w:eastAsia="Roboto" w:hAnsi="Roboto"/>
          <w:b/>
          <w:bCs/>
          <w:i w:val="false"/>
          <w:iCs w:val="false"/>
          <w:color w:val="000000"/>
          <w:sz w:val="20"/>
          <w:szCs w:val="20"/>
        </w:rPr>
        <w:t xml:space="preserve">Target weight. </w:t>
      </w:r>
      <w:r>
        <w:rPr>
          <w:rFonts w:ascii="Roboto" w:cs="Roboto" w:eastAsia="Roboto" w:hAnsi="Roboto"/>
          <w:b w:val="false"/>
          <w:bCs w:val="false"/>
          <w:i w:val="false"/>
          <w:iCs w:val="false"/>
          <w:color w:val="212121"/>
          <w:sz w:val="20"/>
          <w:szCs w:val="20"/>
        </w:rPr>
        <w:t xml:space="preserve">4-5% of book.</w:t>
      </w:r>
    </w:p>
    <w:p>
      <w:pPr>
        <w:spacing w:after="90" w:before="0" w:line="280"/>
        <w:jc w:val="left"/>
      </w:pPr>
      <w:r>
        <w:rPr>
          <w:rFonts w:ascii="Roboto" w:cs="Roboto" w:eastAsia="Roboto" w:hAnsi="Roboto"/>
          <w:b w:val="false"/>
          <w:bCs w:val="false"/>
          <w:i w:val="false"/>
          <w:iCs w:val="false"/>
          <w:color w:val="212121"/>
          <w:sz w:val="20"/>
          <w:szCs w:val="20"/>
        </w:rPr>
        <w:t xml:space="preserve">Sizing rationale: Apple's $3.97T market cap and 1.11 beta make it a core-equity holding, not a trade. A 4-5% position allows meaningful alpha participation while preserving risk budget for more volatile MAG7 peers (TSLA, NVDA, META) that demand larger swing factor.</w:t>
      </w:r>
    </w:p>
    <w:p>
      <w:pPr>
        <w:spacing w:after="45" w:before="190" w:line="320"/>
        <w:jc w:val="left"/>
      </w:pPr>
      <w:r>
        <w:rPr>
          <w:rFonts w:ascii="Roboto" w:cs="Roboto" w:eastAsia="Roboto" w:hAnsi="Roboto"/>
          <w:b/>
          <w:bCs/>
          <w:i w:val="false"/>
          <w:iCs w:val="false"/>
          <w:color w:val="000000"/>
          <w:sz w:val="24"/>
          <w:szCs w:val="24"/>
        </w:rPr>
        <w:t xml:space="preserve">6.3 Entry Trigger</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Current level acceptable — $270.23 [ yfinance 2026-04-18] is an acceptable entry at +20% 12M expected return. No need to wait for pullback.</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Optimal add-on zone — $255-$260 (approximately -4% to -5% from spot, above 52w midpoint). Scale in 40% here if market drifts lower.</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Top-off trigger — Jun-26 earnings beat + China sustains double-digit YoY = scale up to full 5% weight.</w:t>
      </w:r>
    </w:p>
    <w:p>
      <w:pPr>
        <w:spacing w:after="45" w:before="190" w:line="320"/>
        <w:jc w:val="left"/>
      </w:pPr>
      <w:r>
        <w:rPr>
          <w:rFonts w:ascii="Roboto" w:cs="Roboto" w:eastAsia="Roboto" w:hAnsi="Roboto"/>
          <w:b/>
          <w:bCs/>
          <w:i w:val="false"/>
          <w:iCs w:val="false"/>
          <w:color w:val="000000"/>
          <w:sz w:val="24"/>
          <w:szCs w:val="24"/>
        </w:rPr>
        <w:t xml:space="preserve">6.4 Stop-Loss Thinking</w:t>
      </w:r>
    </w:p>
    <w:p>
      <w:pPr>
        <w:spacing w:after="90" w:before="0" w:line="280"/>
        <w:jc w:val="left"/>
      </w:pPr>
      <w:r>
        <w:rPr>
          <w:rFonts w:ascii="Roboto" w:cs="Roboto" w:eastAsia="Roboto" w:hAnsi="Roboto"/>
          <w:b w:val="false"/>
          <w:bCs w:val="false"/>
          <w:i w:val="false"/>
          <w:iCs w:val="false"/>
          <w:color w:val="212121"/>
          <w:sz w:val="20"/>
          <w:szCs w:val="20"/>
        </w:rPr>
        <w:t xml:space="preserve">Hard stop at $240 (-11% from spot). This level is chosen because: (i) it is below the UBS bear low of $258 but above the DR bear range of $194-$230; (ii) it coincides with the level where MS and Citi would likely downgrade; (iii) breach implies the gross-margin thesis has been invalidated. Do NOT stop out on general MAG7 weakness unless Apple-specific narrative has cracked.</w:t>
      </w:r>
    </w:p>
    <w:p>
      <w:pPr>
        <w:spacing w:after="45" w:before="190" w:line="320"/>
        <w:jc w:val="left"/>
      </w:pPr>
      <w:r>
        <w:rPr>
          <w:rFonts w:ascii="Roboto" w:cs="Roboto" w:eastAsia="Roboto" w:hAnsi="Roboto"/>
          <w:b/>
          <w:bCs/>
          <w:i w:val="false"/>
          <w:iCs w:val="false"/>
          <w:color w:val="000000"/>
          <w:sz w:val="24"/>
          <w:szCs w:val="24"/>
        </w:rPr>
        <w:t xml:space="preserve">6.5 MAG7 Basket Relative Weight</w:t>
      </w:r>
    </w:p>
    <w:p>
      <w:pPr>
        <w:spacing w:after="90" w:before="0" w:line="280"/>
        <w:jc w:val="left"/>
      </w:pPr>
      <w:r>
        <w:rPr>
          <w:rFonts w:ascii="Roboto" w:cs="Roboto" w:eastAsia="Roboto" w:hAnsi="Roboto"/>
          <w:b/>
          <w:bCs/>
          <w:i w:val="false"/>
          <w:iCs w:val="false"/>
          <w:color w:val="000000"/>
          <w:sz w:val="20"/>
          <w:szCs w:val="20"/>
        </w:rPr>
        <w:t xml:space="preserve">Stance. </w:t>
      </w:r>
      <w:r>
        <w:rPr>
          <w:rFonts w:ascii="Roboto" w:cs="Roboto" w:eastAsia="Roboto" w:hAnsi="Roboto"/>
          <w:b w:val="false"/>
          <w:bCs w:val="false"/>
          <w:i w:val="false"/>
          <w:iCs w:val="false"/>
          <w:color w:val="212121"/>
          <w:sz w:val="20"/>
          <w:szCs w:val="20"/>
        </w:rPr>
        <w:t xml:space="preserve">OVERWEIGHT vs MAG7 benchmark weight.</w:t>
      </w:r>
    </w:p>
    <w:p>
      <w:pPr>
        <w:spacing w:after="90" w:before="0" w:line="280"/>
        <w:jc w:val="left"/>
      </w:pPr>
      <w:r>
        <w:rPr>
          <w:rFonts w:ascii="Roboto" w:cs="Roboto" w:eastAsia="Roboto" w:hAnsi="Roboto"/>
          <w:b w:val="false"/>
          <w:bCs w:val="false"/>
          <w:i w:val="false"/>
          <w:iCs w:val="false"/>
          <w:color w:val="212121"/>
          <w:sz w:val="20"/>
          <w:szCs w:val="20"/>
        </w:rPr>
        <w:t xml:space="preserve">Within MAG7, Apple ranks #2 for 12M risk/reward (behind META, ahead of MSFT/GOOG/NVDA/AMZN/TSLA) on our framework. Overweight justification: (a) explicit near-term catalysts (Mar-26 earnings, WWDC, iPhone 18 launch), (b) lower execution risk than TSLA/META AI bets, (c) best balance-sheet optionality among MAG7 for defensive pivots. Underweight only if narrative crisis trigger fires.</w:t>
      </w:r>
    </w:p>
    <w:p>
      <w:pPr>
        <w:spacing w:after="50" w:before="160" w:line="360"/>
        <w:jc w:val="left"/>
      </w:pPr>
      <w:r>
        <w:rPr>
          <w:rFonts w:ascii="Roboto" w:cs="Roboto" w:eastAsia="Roboto" w:hAnsi="Roboto"/>
          <w:b w:val="false"/>
          <w:bCs w:val="false"/>
          <w:i w:val="false"/>
          <w:iCs w:val="false"/>
          <w:color w:val="103455"/>
          <w:sz w:val="28"/>
          <w:szCs w:val="28"/>
        </w:rPr>
        <w:t xml:space="preserve">Section 7: What Would Change Our Mind</w:t>
      </w:r>
    </w:p>
    <w:p>
      <w:pPr>
        <w:spacing w:after="45" w:before="190" w:line="320"/>
        <w:jc w:val="left"/>
      </w:pPr>
      <w:r>
        <w:rPr>
          <w:rFonts w:ascii="Roboto" w:cs="Roboto" w:eastAsia="Roboto" w:hAnsi="Roboto"/>
          <w:b/>
          <w:bCs/>
          <w:i w:val="false"/>
          <w:iCs w:val="false"/>
          <w:color w:val="000000"/>
          <w:sz w:val="24"/>
          <w:szCs w:val="24"/>
        </w:rPr>
        <w:t xml:space="preserve">7.1 Three Bull-Flip Signals (increase position to 6-7%)</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1. Services &gt;15% for 2Q — Services YoY sustains &gt;15% for two consecutive quarters with paid-subscription count reaccelerating. This would validate the AI-monetization thesis and justify a 35-37x target multiple.</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2. China sustains &gt;+20% — Greater China revenue &gt;+20% YoY for two consecutive quarters beyond F1Q26 (i.e., March-26 + June-26 quarters both &gt;+20%). This would structurally rebase the China segment upward.</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3. Apple Intelligence paid tier — Paid Apple Intelligence subscription tier announced at WWDC 2026 with price point + feature scope. Any &gt;$5/user/month paid tier unlocks a new Services line-item worth ~$5-10bn over 2Y.</w:t>
      </w:r>
    </w:p>
    <w:p>
      <w:pPr>
        <w:spacing w:after="45" w:before="190" w:line="320"/>
        <w:jc w:val="left"/>
      </w:pPr>
      <w:r>
        <w:rPr>
          <w:rFonts w:ascii="Roboto" w:cs="Roboto" w:eastAsia="Roboto" w:hAnsi="Roboto"/>
          <w:b/>
          <w:bCs/>
          <w:i w:val="false"/>
          <w:iCs w:val="false"/>
          <w:color w:val="000000"/>
          <w:sz w:val="24"/>
          <w:szCs w:val="24"/>
        </w:rPr>
        <w:t xml:space="preserve">7.2 Three Bear-Flip Signals (exit position)</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1. Product GM &lt;35% for 2Q — If Product GM prints below 35% for June-26 AND Sept-26 quarters, the 'pricing power offsets memory' assumption is invalidated — full exit.</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2. Services &lt;10% for 2Q — If Services revenue growth drops below 10% YoY in any two of the next four reported quarters, the Services saturation bear is confirmed. Exit to 1% token weight.</w:t>
      </w:r>
    </w:p>
    <w:p>
      <w:pPr>
        <w:pStyle w:val="ListParagraph"/>
        <w:numPr>
          <w:ilvl w:val="0"/>
          <w:numId w:val="2"/>
        </w:numPr>
        <w:spacing w:after="75" w:before="0" w:line="280"/>
      </w:pPr>
      <w:r>
        <w:rPr>
          <w:rFonts w:ascii="Roboto" w:cs="Roboto" w:eastAsia="Roboto" w:hAnsi="Roboto"/>
          <w:b w:val="false"/>
          <w:bCs w:val="false"/>
          <w:i w:val="false"/>
          <w:iCs w:val="false"/>
          <w:color w:val="212121"/>
          <w:sz w:val="20"/>
          <w:szCs w:val="20"/>
        </w:rPr>
        <w:t xml:space="preserve">3. Greater China YoY decline 2Q — If Greater China returns to YoY decline in June-26 AND September-26 quarters, China share loss is structural. Exit.</w:t>
      </w:r>
    </w:p>
    <w:p>
      <w:pPr>
        <w:spacing w:after="45" w:before="190" w:line="320"/>
        <w:jc w:val="left"/>
      </w:pPr>
      <w:r>
        <w:rPr>
          <w:rFonts w:ascii="Roboto" w:cs="Roboto" w:eastAsia="Roboto" w:hAnsi="Roboto"/>
          <w:b/>
          <w:bCs/>
          <w:i w:val="false"/>
          <w:iCs w:val="false"/>
          <w:color w:val="000000"/>
          <w:sz w:val="24"/>
          <w:szCs w:val="24"/>
        </w:rPr>
        <w:t xml:space="preserve">7.3 Final Stance</w:t>
      </w:r>
    </w:p>
    <w:p>
      <w:pPr>
        <w:spacing w:after="90" w:before="0" w:line="280"/>
        <w:jc w:val="left"/>
      </w:pPr>
      <w:r>
        <w:rPr>
          <w:rFonts w:ascii="Roboto" w:cs="Roboto" w:eastAsia="Roboto" w:hAnsi="Roboto"/>
          <w:b w:val="false"/>
          <w:bCs w:val="false"/>
          <w:i w:val="false"/>
          <w:iCs w:val="false"/>
          <w:color w:val="212121"/>
          <w:sz w:val="20"/>
          <w:szCs w:val="20"/>
        </w:rPr>
        <w:t xml:space="preserve">Long Apple. 4-5% of book. Target $315-$340 12M, $400+ 3Y. Hard stop $240. The invalidation signals above are testable within 6 months. If none fires by October 2026, the thesis is empirically validated and sizing should migrate toward 5-7%. If any one fires by that date, reassess; if two fire, reduce; if all three fire, exit.</w:t>
      </w:r>
    </w:p>
    <w:p>
      <w:pPr>
        <w:spacing w:after="50" w:before="160" w:line="360"/>
        <w:jc w:val="left"/>
      </w:pPr>
      <w:r>
        <w:rPr>
          <w:rFonts w:ascii="Roboto" w:cs="Roboto" w:eastAsia="Roboto" w:hAnsi="Roboto"/>
          <w:b w:val="false"/>
          <w:bCs w:val="false"/>
          <w:i w:val="false"/>
          <w:iCs w:val="false"/>
          <w:color w:val="103455"/>
          <w:sz w:val="28"/>
          <w:szCs w:val="28"/>
        </w:rPr>
        <w:t xml:space="preserve">Disclosures</w:t>
      </w:r>
    </w:p>
    <w:p>
      <w:pPr>
        <w:spacing w:after="90" w:before="0" w:line="280"/>
        <w:jc w:val="left"/>
      </w:pPr>
      <w:r>
        <w:rPr>
          <w:rFonts w:ascii="Roboto" w:cs="Roboto" w:eastAsia="Roboto" w:hAnsi="Roboto"/>
          <w:b w:val="false"/>
          <w:bCs w:val="false"/>
          <w:i w:val="false"/>
          <w:iCs w:val="false"/>
          <w:color w:val="212121"/>
          <w:sz w:val="20"/>
          <w:szCs w:val="20"/>
        </w:rPr>
        <w:t xml:space="preserve">This document is for institutional research purposes only. All data sourced from company filings, earnings transcripts, sell-side research, and market data providers (Bloomberg, yfinance, FRED). Not investment advice. Do not distribute without permission.</w:t>
      </w:r>
    </w:p>
    <w:sectPr>
      <w:headerReference w:type="default" r:id="rId8"/>
      <w:footerReference w:type="default" r:id="rId9"/>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important disclosure information in this report.</w:t>
    </w:r>
  </w:p>
  <w:p>
    <w:pPr>
      <w:spacing w:after="0" w:before="0" w:line="150"/>
      <w:jc w:val="left"/>
    </w:pPr>
    <w:r>
      <w:rPr>
        <w:rFonts w:ascii="Roboto" w:cs="Roboto" w:eastAsia="Roboto" w:hAnsi="Roboto"/>
        <w:b w:val="false"/>
        <w:bCs w:val="false"/>
        <w:i w:val="false"/>
        <w:iCs w:val="false"/>
        <w:color w:val="8C97A3"/>
        <w:sz w:val="10"/>
        <w:szCs w:val="10"/>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Apple Inc. (AAPL, NASDAQ) (AAPL)</w:t>
          </w:r>
        </w:p>
        <w:p>
          <w:pPr>
            <w:spacing w:after="10" w:before="0"/>
            <w:jc w:val="right"/>
          </w:pPr>
          <w:r>
            <w:rPr>
              <w:rFonts w:ascii="Roboto" w:cs="Roboto" w:eastAsia="Roboto" w:hAnsi="Roboto"/>
              <w:b/>
              <w:bCs/>
              <w:i w:val="false"/>
              <w:iCs w:val="false"/>
              <w:color w:val="103455"/>
              <w:sz w:val="12"/>
              <w:szCs w:val="12"/>
            </w:rPr>
            <w:t xml:space="preserve">HF Investment Case</w:t>
          </w:r>
        </w:p>
        <w:p>
          <w:pPr>
            <w:spacing w:after="0" w:before="0"/>
            <w:jc w:val="right"/>
          </w:pPr>
          <w:r>
            <w:rPr>
              <w:rFonts w:ascii="Roboto" w:cs="Roboto" w:eastAsia="Roboto" w:hAnsi="Roboto"/>
              <w:b w:val="false"/>
              <w:bCs w:val="false"/>
              <w:i w:val="false"/>
              <w:iCs w:val="false"/>
              <w:color w:val="103455"/>
              <w:sz w:val="11"/>
              <w:szCs w:val="11"/>
            </w:rPr>
            <w:t xml:space="preserve">April 18,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2026-04-22T09:35:21.593Z</dcterms:created>
  <dcterms:modified xsi:type="dcterms:W3CDTF">2026-04-22T09:35:21.594Z</dcterms:modified>
</cp:coreProperties>
</file>

<file path=docProps/custom.xml><?xml version="1.0" encoding="utf-8"?>
<Properties xmlns="http://schemas.openxmlformats.org/officeDocument/2006/custom-properties" xmlns:vt="http://schemas.openxmlformats.org/officeDocument/2006/docPropsVTypes"/>
</file>