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Roboto" w:hAnsi="Roboto"/>
                <w:b w:val="false"/>
                <w:bCs w:val="false"/>
                <w:i w:val="false"/>
                <w:iCs w:val="false"/>
                <w:color w:val="103455"/>
                <w:sz w:val="15"/>
                <w:szCs w:val="15"/>
              </w:rPr>
              <w:t xml:space="preserve">United States | Internet &amp; Media — Global Streaming</w:t>
            </w:r>
          </w:p>
          <w:p>
            <w:pPr>
              <w:spacing w:after="0" w:before="0"/>
              <w:jc w:val="left"/>
            </w:pPr>
            <w:r>
              <w:rPr>
                <w:rFonts w:ascii="Roboto" w:cs="Roboto" w:eastAsia="Roboto" w:hAnsi="Roboto"/>
                <w:b w:val="false"/>
                <w:bCs w:val="false"/>
                <w:i w:val="false"/>
                <w:iCs w:val="false"/>
                <w:color w:val="0084BF"/>
                <w:sz w:val="30"/>
                <w:szCs w:val="30"/>
              </w:rPr>
              <w:t xml:space="preserve">Netflix, Inc.</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HF Investment Case Memo</w:t>
            </w:r>
          </w:p>
          <w:p>
            <w:pPr>
              <w:spacing w:after="0" w:before="0"/>
              <w:jc w:val="right"/>
            </w:pPr>
            <w:r>
              <w:rPr>
                <w:rFonts w:ascii="Roboto" w:cs="Roboto" w:eastAsia="Roboto" w:hAnsi="Roboto"/>
                <w:b w:val="false"/>
                <w:bCs w:val="false"/>
                <w:i w:val="false"/>
                <w:iCs w:val="false"/>
                <w:color w:val="103455"/>
                <w:sz w:val="15"/>
                <w:szCs w:val="15"/>
              </w:rPr>
              <w:t xml:space="preserve">April 24,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Roboto" w:hAnsi="Roboto"/>
                <w:b w:val="false"/>
                <w:bCs w:val="false"/>
                <w:i w:val="false"/>
                <w:iCs w:val="false"/>
                <w:color w:val="103455"/>
                <w:sz w:val="32"/>
                <w:szCs w:val="32"/>
              </w:rPr>
              <w:t xml:space="preserve">Netflix, Inc. (NFLX): LONG — HF Investment Case</w:t>
            </w:r>
          </w:p>
          <w:p>
            <w:pPr>
              <w:spacing w:after="220" w:before="120" w:line="280"/>
              <w:jc w:val="left"/>
            </w:pPr>
            <w:r>
              <w:rPr>
                <w:rFonts w:ascii="Roboto" w:cs="Roboto" w:eastAsia="Roboto" w:hAnsi="Roboto"/>
                <w:b w:val="false"/>
                <w:bCs w:val="false"/>
                <w:i w:val="false"/>
                <w:iCs w:val="false"/>
                <w:color w:val="212121"/>
                <w:sz w:val="20"/>
                <w:szCs w:val="20"/>
              </w:rPr>
              <w:t xml:space="preserve">Netflix has completed the painful transition from a subscriber-growth story into a pricing + ads + capital-return compounder, and the market is pricing this like a late-cycle media name when the ads revenue curve still has 3 years of 2-3x compounding ahead. The $2.8B WBD termination fee plus $25B buyback authorization turned what looked like a potentially bad capital allocation moment into an unambiguously positive one. Long 3-5% of HF sleeve at $92.82, PT $120 (+29%), with $25B buyback alone covering ~11% of shares.</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HF MEMO</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CALL</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LONG — Core Compound (3-5% HF sleeve)</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$92.82 (post-split)</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PT | UPSIDE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$120 | +29%</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BEAR | BULL</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$75 (-19%) | $160 (+72%)</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~2.1 : 1</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FY26E 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24x (5-yr avg ~32x)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SIZE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 initial; scale to 5% on clean drawdown</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^Stock split 10-for-1 effective Nov 17, 2025. All prices post-split.</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Orchid Asia Research  | HF Analyst — Internet &amp; Media</w:t>
            </w:r>
          </w:p>
          <w:p>
            <w:pPr>
              <w:spacing w:after="30" w:before="0"/>
              <w:jc w:val="left"/>
            </w:pPr>
            <w:r>
              <w:rPr>
                <w:rFonts w:ascii="Roboto" w:cs="Roboto" w:eastAsia="Roboto" w:hAnsi="Roboto"/>
                <w:b w:val="false"/>
                <w:bCs w:val="false"/>
                <w:i w:val="false"/>
                <w:iCs w:val="false"/>
                <w:color w:val="103455"/>
                <w:sz w:val="11"/>
                <w:szCs w:val="11"/>
              </w:rPr>
              <w:t xml:space="preserve">research@orchidasia.com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STEP A | Sentiment Gate</w:t>
      </w:r>
    </w:p>
    <w:p>
      <w:pPr>
        <w:spacing w:after="90" w:before="0" w:line="280"/>
        <w:jc w:val="left"/>
      </w:pPr>
      <w:r>
        <w:rPr>
          <w:rFonts w:ascii="Roboto" w:cs="Roboto" w:eastAsia="Roboto" w:hAnsi="Roboto"/>
          <w:b w:val="false"/>
          <w:bCs w:val="false"/>
          <w:i w:val="false"/>
          <w:iCs w:val="false"/>
          <w:color w:val="212121"/>
          <w:sz w:val="20"/>
          <w:szCs w:val="20"/>
        </w:rPr>
        <w:t xml:space="preserve">Where the stock sits. NFLX is in S2 — acceleration plateauing, first doubts on engagement emerging. Not S1 euphoria, not a reversal. The paid-sharing crackdown plus ads narrative is 3 years old and partially in price; the Q1 2026 10% drawdown on content-amort optics plus Reed Hastings' board exit represents the first visible cracks in consensus — an S2 signature, not S3 mania. Fwd P/E 24x sits clearly below the 5-year average of ~32x, so valuation is fair, not cheap. The 2x ads story plus 31.5% OP margin guide is already partly baked in at current multiples.</w:t>
      </w:r>
    </w:p>
    <w:p>
      <w:pPr>
        <w:spacing w:after="90" w:before="0" w:line="280"/>
        <w:jc w:val="left"/>
      </w:pPr>
      <w:r>
        <w:rPr>
          <w:rFonts w:ascii="Roboto" w:cs="Roboto" w:eastAsia="Roboto" w:hAnsi="Roboto"/>
          <w:b w:val="false"/>
          <w:bCs w:val="false"/>
          <w:i w:val="false"/>
          <w:iCs w:val="false"/>
          <w:color w:val="212121"/>
          <w:sz w:val="20"/>
          <w:szCs w:val="20"/>
        </w:rPr>
        <w:t xml:space="preserve">Skepticism weight = 0.5. This is the S2 default: bull pillars need solid evidence, not just thesis narrative, and bear signals get equal weight to catalysts rather than being explained away. Street PT median sits at $114 across 44 analysts — our $120 is modestly ahead, not contrarian, not crowded. The narrative that is understood and saturated: ads S-curve, YouTube-Gauge panic, WBD overhang cleared. The narrative that remains under-priced: the buyback math post-$25B authorization, and the programmatic ad fill-rate curve post the Microsoft-stack replacement in Q4 2025.</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STEP B | Foundational Assumption Audit</w:t>
      </w:r>
    </w:p>
    <w:p>
      <w:pPr>
        <w:spacing w:after="90" w:before="0" w:line="280"/>
        <w:jc w:val="left"/>
      </w:pPr>
      <w:r>
        <w:rPr>
          <w:rFonts w:ascii="Roboto" w:cs="Roboto" w:eastAsia="Roboto" w:hAnsi="Roboto"/>
          <w:b w:val="false"/>
          <w:bCs w:val="false"/>
          <w:i w:val="false"/>
          <w:iCs w:val="false"/>
          <w:color w:val="212121"/>
          <w:sz w:val="20"/>
          <w:szCs w:val="20"/>
        </w:rPr>
        <w:t xml:space="preserve">Three independent verifiable things must happen in the next 12 months for the bull case:</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 Ads run rate prints &gt;$3B annualized by Q3 2026 (guidance is "approximately $3B"; beat means $3.3B+).</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(ii) H2 2026 operating margin expansion delivers full-year 31.5%+ as guided, not slipping toward 31%.</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(iii) Q3 2026 engagement hours excluding KPop Demon Hunters base effect stay within -3% to +2% YoY.</w:t>
      </w:r>
    </w:p>
    <w:p>
      <w:pPr>
        <w:spacing w:after="90" w:before="0" w:line="280"/>
        <w:jc w:val="left"/>
      </w:pPr>
      <w:r>
        <w:rPr>
          <w:rFonts w:ascii="Roboto" w:cs="Roboto" w:eastAsia="Roboto" w:hAnsi="Roboto"/>
          <w:b w:val="false"/>
          <w:bCs w:val="false"/>
          <w:i w:val="false"/>
          <w:iCs w:val="false"/>
          <w:color w:val="212121"/>
          <w:sz w:val="20"/>
          <w:szCs w:val="20"/>
        </w:rPr>
        <w:t xml:space="preserve">Probability-weighted view. If all three hit, NFLX re-rates to ~$130-140 on 2028E ads-accretive margins. If (i) misses, stock trades sideways $85-100. If (ii) slips, multiple compresses 20%. If (iii) crashes with a double-digit engagement decline, thesis is invalidated. Below we extend this into the five-assumption audit: what has to stay true beyond the 12-month window for the full compounder to survive, and what the valuation penalty looks like if each breaks.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Core assumption</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Evidence strength</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If wrong valuation impact</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Ad revenue reaches $6-8B by 2027 (vs Street ~$5B)</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Medium-strong. 2025 actual $1.5B; 2026 guide ~$3B (2x); 190M MAV ad-tier; 4,000+ advertisers +70% YoY; Ads Suite programmatic complete Q4 2025; UCAN eCPM ~$21-22.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Miss to $4-5B: ~$0.40 2027 EPS lost, 20% multiple compression PT ~$85.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UCAN ARM keeps rising 5-7% CAGR without churn breakdown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Medium. 2023/2026 price hikes landed; UCAN churn ~2% (best-in-class). BUT per-sub engagement fell 2.21.8 hours/day (~18% decline 2023H12025H2).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Unverified Risk Point. UCAN ARM flat-to-negative pricing lever dead PT ~$90. Core thesis half-broken.</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Content amort holds 1.1x cash/amort ratio; 2026 step-up is transitory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Medium. Track record disciplined (2022 held $17B; 2025 actual $17B vs $18B guide). BUT 2026 cash content $19-20B is a 12-18% jump — first break of the discipline narrative.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Unverified Risk Point. If 2027 stays $20B+, OP margin flat at 31% -$0.30 EPS PT ~$100.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$2.8B WBD fee + $25B buyback authorization materially lifts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Strong. Fee booked, authorization is board-approved fact. $15B residual + $25B new + $2.8B fee = $42.8B capacity (~11% of $391B cap).</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Low risk. Only break = management pivots to another mega-M&amp;A bid, which after WBD is low-probability.</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Engagement defensibility vs YouTube / TikTok / short-drama holds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Weak-to-medium. Netflix US TV time 8.8% vs YouTube 13.4% (Dec 2025 Gauge); gap WIDENED in 2025 not narrowed.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Unverified Risk Point. Sustained 5%+ engagement YoY decline pricing power fades compounder thesis breaks PT ~$75 (52-week low).</w:t>
            </w:r>
          </w:p>
        </w:tc>
      </w:tr>
    </w:tbl>
    <w:p>
      <w:pPr>
        <w:spacing w:after="0" w:before="90"/>
      </w:pPr>
      <w:r>
        <w:rPr>
          <w:rFonts w:ascii="Roboto" w:cs="Roboto" w:eastAsia="Roboto" w:hAnsi="Roboto"/>
          <w:b w:val="false"/>
          <w:bCs w:val="false"/>
          <w:i w:val="false"/>
          <w:iCs w:val="false"/>
          <w:color w:val="212121"/>
          <w:sz w:val="2"/>
          <w:szCs w:val="2"/>
        </w:rPr>
        <w:t xml:space="preserve"/>
      </w:r>
    </w:p>
    <w:p>
      <w:pPr>
        <w:sectPr>
          <w:headerReference w:type="default" r:id="rId10"/>
          <w:footerReference w:type="default" r:id="rId11"/>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STEP C | Dual-Direction Consensus Check</w:t>
      </w:r>
    </w:p>
    <w:p>
      <w:pPr>
        <w:spacing w:after="45" w:before="190" w:line="320"/>
        <w:jc w:val="left"/>
      </w:pPr>
      <w:r>
        <w:rPr>
          <w:rFonts w:ascii="Roboto" w:cs="Roboto" w:eastAsia="Roboto" w:hAnsi="Roboto"/>
          <w:b/>
          <w:bCs/>
          <w:i w:val="false"/>
          <w:iCs w:val="false"/>
          <w:color w:val="000000"/>
          <w:sz w:val="24"/>
          <w:szCs w:val="24"/>
        </w:rPr>
        <w:t xml:space="preserve">C.1 Bull Information Asymmetry — Where the Market Is Too Bearish</w:t>
      </w:r>
    </w:p>
    <w:p>
      <w:pPr>
        <w:spacing w:after="90" w:before="0" w:line="280"/>
        <w:jc w:val="left"/>
      </w:pPr>
      <w:r>
        <w:rPr>
          <w:rFonts w:ascii="Roboto" w:cs="Roboto" w:eastAsia="Roboto" w:hAnsi="Roboto"/>
          <w:b w:val="false"/>
          <w:bCs w:val="false"/>
          <w:i w:val="false"/>
          <w:iCs w:val="false"/>
          <w:color w:val="212121"/>
          <w:sz w:val="20"/>
          <w:szCs w:val="20"/>
        </w:rPr>
        <w:t xml:space="preserve">If ads reach $8B by 2028. Ads revenue compounds from $1.5B (2025) to $3B (2026) to $5B (2027) to $7-8B (2028). This is not consensus — consensus 2028 is ~$5-6B. Two forces converge: (a) 190M ad-tier MAV (Nov 2025, household-adjusted), growing at 30-35% QoQ, is already the largest premium CTV ad inventory in the world. (b) Netflix Ads Suite deployment complete Q4 2025 replacing Microsoft; programmatic integrations with Trade Desk, Google DV360, Amazon DSP, Yahoo DSP now allow mid-market advertisers in. (c) Fill rates are improving; eCPMs already $21-22 UCAN on a controlled 4-8 ads/hour load. (d) Live sports inventory (NFL Christmas, WWE, MLB HR Derby, WBC 2026) creates peak-CPM premium inventory incremental to the base. At 70% incremental contribution margin per Bernstein, $3B more revenue in 2028 vs consensus = ~$2.1B more operating profit = ~30bps margin improvement plus $0.50 EPS. That alone re-rates the stock 15-20%.</w:t>
      </w:r>
    </w:p>
    <w:p>
      <w:pPr>
        <w:spacing w:after="90" w:before="0" w:line="280"/>
        <w:jc w:val="left"/>
      </w:pPr>
      <w:r>
        <w:rPr>
          <w:rFonts w:ascii="Roboto" w:cs="Roboto" w:eastAsia="Roboto" w:hAnsi="Roboto"/>
          <w:b w:val="false"/>
          <w:bCs w:val="false"/>
          <w:i w:val="false"/>
          <w:iCs w:val="false"/>
          <w:color w:val="212121"/>
          <w:sz w:val="20"/>
          <w:szCs w:val="20"/>
        </w:rPr>
        <w:t xml:space="preserve">Buyback math under-appreciated post Q1 2026 sell-off. The 10% drawdown after Q1 was content-amort optics plus the Hastings news; the market has not re-underwritten the $25B incremental authorization, which adds ~6% of market cap of absorptive buying before factoring FCF growth. Combined 2026 capacity ~$42.8B, pace $9-12B/yr = 2-3% annual share reduction regardless of operational outcome — this alone delivers a 10-12% 3-year EPS tailwind.</w:t>
      </w:r>
    </w:p>
    <w:p>
      <w:pPr>
        <w:spacing w:after="90" w:before="0" w:line="280"/>
        <w:jc w:val="left"/>
      </w:pPr>
      <w:r>
        <w:rPr>
          <w:rFonts w:ascii="Roboto" w:cs="Roboto" w:eastAsia="Roboto" w:hAnsi="Roboto"/>
          <w:b w:val="false"/>
          <w:bCs w:val="false"/>
          <w:i w:val="false"/>
          <w:iCs w:val="false"/>
          <w:color w:val="212121"/>
          <w:sz w:val="20"/>
          <w:szCs w:val="20"/>
        </w:rPr>
        <w:t xml:space="preserve">Non-English originals ROI under-modeled. KPop Demon Hunters (236M views, most-watched Netflix film ever; 4 songs in Billboard Hot 100 top-10) is treated as a lucky one-off, but it is the third in a row of KPDH / Squid Game / Stranger Things-scale local-for-global hits. Non-English content is 62% of Originals cash and ~33% of total viewing hours; content spend efficiency rose 1.7x to 2.3x from 2021 to 2024. The compounding moat is real but un-quantified in sell-side DCFs.</w:t>
      </w:r>
    </w:p>
    <w:p>
      <w:pPr>
        <w:spacing w:after="45" w:before="190" w:line="320"/>
        <w:jc w:val="left"/>
      </w:pPr>
      <w:r>
        <w:rPr>
          <w:rFonts w:ascii="Roboto" w:cs="Roboto" w:eastAsia="Roboto" w:hAnsi="Roboto"/>
          <w:b/>
          <w:bCs/>
          <w:i w:val="false"/>
          <w:iCs w:val="false"/>
          <w:color w:val="000000"/>
          <w:sz w:val="24"/>
          <w:szCs w:val="24"/>
        </w:rPr>
        <w:t xml:space="preserve">C.2 Bear Information Asymmetry — Where the Market Is Too Bullish</w:t>
      </w:r>
    </w:p>
    <w:p>
      <w:pPr>
        <w:spacing w:after="90" w:before="0" w:line="280"/>
        <w:jc w:val="left"/>
      </w:pPr>
      <w:r>
        <w:rPr>
          <w:rFonts w:ascii="Roboto" w:cs="Roboto" w:eastAsia="Roboto" w:hAnsi="Roboto"/>
          <w:b w:val="false"/>
          <w:bCs w:val="false"/>
          <w:i w:val="false"/>
          <w:iCs w:val="false"/>
          <w:color w:val="212121"/>
          <w:sz w:val="20"/>
          <w:szCs w:val="20"/>
        </w:rPr>
        <w:t xml:space="preserve">If engagement structurally softens while ads plateau. Global engagement hours YoY declines in two consecutive quarters AND UCAN ARM growth turns negative. These two together break the thesis because they invalidate both the content moat and the pricing power story in the same move. Early warning signs: (1) per-sub engagement fell from 2.2 hours/day (2023H1) to 1.8 hours/day (2025H2) — decline is real, even adjusting for international mix. (2) UCAN CTV viewership on Netflix dropped ~6% YoY in Jan-Feb 2026 (Nielsen The Gauge, though partly post-holiday base effect). (3) YouTube at 13.4% of total US TV time; Netflix at 8.8% — the gap has widened, not narrowed. (4) Short drama app DAU (DramaBox, ReelShort) exceeded Peacock and HBO Max mobile DAU in 2025. If a Q2 2026 or Q3 2026 print shows ARM stalling while engagement keeps softening, the core compounder thesis is broken, and the stock deserves to trade at 15-18x forward (not 24x).</w:t>
      </w:r>
    </w:p>
    <w:p>
      <w:pPr>
        <w:spacing w:after="90" w:before="0" w:line="280"/>
        <w:jc w:val="left"/>
      </w:pPr>
      <w:r>
        <w:rPr>
          <w:rFonts w:ascii="Roboto" w:cs="Roboto" w:eastAsia="Roboto" w:hAnsi="Roboto"/>
          <w:b w:val="false"/>
          <w:bCs w:val="false"/>
          <w:i w:val="false"/>
          <w:iCs w:val="false"/>
          <w:color w:val="212121"/>
          <w:sz w:val="20"/>
          <w:szCs w:val="20"/>
        </w:rPr>
        <w:t xml:space="preserve">2026 content amort step-up is not purely transitory. Management guide implies $19-20B cash spend (up from $17B actuals 2022-25), first crack in the 1.1x cash/amort, hold-the-line discipline story. Bernstein thinks $19B is more realistic than $20B, but even $19B is a structural 12%+ step-up. If 2027 does not normalize back toward $17-18B, the margin compounder thesis re-rates — OP margin stays flat at 31% instead of climbing to 33-34%.</w:t>
      </w:r>
    </w:p>
    <w:p>
      <w:pPr>
        <w:spacing w:after="90" w:before="0" w:line="280"/>
        <w:jc w:val="left"/>
      </w:pPr>
      <w:r>
        <w:rPr>
          <w:rFonts w:ascii="Roboto" w:cs="Roboto" w:eastAsia="Roboto" w:hAnsi="Roboto"/>
          <w:b w:val="false"/>
          <w:bCs w:val="false"/>
          <w:i w:val="false"/>
          <w:iCs w:val="false"/>
          <w:color w:val="212121"/>
          <w:sz w:val="20"/>
          <w:szCs w:val="20"/>
        </w:rPr>
        <w:t xml:space="preserve">Engagement propped by KPDH alone in Q3 2025. Bernstein notes Q3 2025 engagement growth was almost entirely carried by KPop Demon Hunters (&gt;500M viewing hours from a single film). Without a Q3 2026 equivalent, reported hours could print -5 to -8% YoY — market will treat this as structural, not "lumpy content cycle." This is the single most dangerous near-term fuse on the stock.</w:t>
      </w:r>
    </w:p>
    <w:p>
      <w:pPr>
        <w:spacing w:after="90" w:before="0" w:line="280"/>
        <w:jc w:val="left"/>
      </w:pPr>
      <w:r>
        <w:rPr>
          <w:rFonts w:ascii="Roboto" w:cs="Roboto" w:eastAsia="Roboto" w:hAnsi="Roboto"/>
          <w:b w:val="false"/>
          <w:bCs w:val="false"/>
          <w:i w:val="false"/>
          <w:iCs w:val="false"/>
          <w:color w:val="212121"/>
          <w:sz w:val="20"/>
          <w:szCs w:val="20"/>
        </w:rPr>
        <w:t xml:space="preserve">Hastings board exit is governance signal, possibly more. Reed Hastings not standing for re-election AND joining Anthropic's board = board-level view on AI disruption? Netflix 10-K already flags Sarandos / Peters as named key-person risk. Management stability is the quiet pillar under every growth story — not broken today, but incrementally weaker than 12 months ago.</w:t>
      </w:r>
    </w:p>
    <w:p>
      <w:pPr>
        <w:spacing w:after="45" w:before="190" w:line="320"/>
        <w:jc w:val="left"/>
      </w:pPr>
      <w:r>
        <w:rPr>
          <w:rFonts w:ascii="Roboto" w:cs="Roboto" w:eastAsia="Roboto" w:hAnsi="Roboto"/>
          <w:b/>
          <w:bCs/>
          <w:i w:val="false"/>
          <w:iCs w:val="false"/>
          <w:color w:val="000000"/>
          <w:sz w:val="24"/>
          <w:szCs w:val="24"/>
        </w:rPr>
        <w:t xml:space="preserve">C.3 Adjudication — Why We Still Go Long</w:t>
      </w:r>
    </w:p>
    <w:p>
      <w:pPr>
        <w:spacing w:after="90" w:before="0" w:line="280"/>
        <w:jc w:val="left"/>
      </w:pPr>
      <w:r>
        <w:rPr>
          <w:rFonts w:ascii="Roboto" w:cs="Roboto" w:eastAsia="Roboto" w:hAnsi="Roboto"/>
          <w:b w:val="false"/>
          <w:bCs w:val="false"/>
          <w:i w:val="false"/>
          <w:iCs w:val="false"/>
          <w:color w:val="212121"/>
          <w:sz w:val="20"/>
          <w:szCs w:val="20"/>
        </w:rPr>
        <w:t xml:space="preserve">Asymmetry favors the long. The bull case requires continued execution; the bear case requires simultaneous break of two independent variables. The probability of the bear breaking depends on: (a) a 10%+ UCAN ARM decline (which has never happened post-paid-sharing era), AND (b) sustained 5%+ engagement decline (which would cue management to accelerate live sports and new content investment — a known lever). In contrast, the bull requires only that ads and margin expansion stay on-track. Asymmetry is ~2:1 in favor of long.</w:t>
      </w:r>
    </w:p>
    <w:p>
      <w:pPr>
        <w:spacing w:after="90" w:before="0" w:line="280"/>
        <w:jc w:val="left"/>
      </w:pPr>
      <w:r>
        <w:rPr>
          <w:rFonts w:ascii="Roboto" w:cs="Roboto" w:eastAsia="Roboto" w:hAnsi="Roboto"/>
          <w:b w:val="false"/>
          <w:bCs w:val="false"/>
          <w:i w:val="false"/>
          <w:iCs w:val="false"/>
          <w:color w:val="212121"/>
          <w:sz w:val="20"/>
          <w:szCs w:val="20"/>
        </w:rPr>
        <w:t xml:space="preserve">Plus, $25B buyback authorization provides a ~5-6% downside cushion via EPS compounding alone. Plus, consensus is already modeling 31.9% 2026 margin — if Netflix delivers, stock trades above $100; if they beat by 100bps, stock is $120-125. The skew is not perfect but it is the cleanest setup in US internet large-cap at this multiple.</w:t>
      </w:r>
    </w:p>
    <w:p>
      <w:pPr>
        <w:sectPr>
          <w:headerReference w:type="default" r:id="rId12"/>
          <w:footerReference w:type="default" r:id="rId13"/>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STEP D | Crack Hunting</w:t>
      </w:r>
    </w:p>
    <w:p>
      <w:pPr>
        <w:spacing w:after="90" w:before="0" w:line="280"/>
        <w:jc w:val="left"/>
      </w:pPr>
      <w:r>
        <w:rPr>
          <w:rFonts w:ascii="Roboto" w:cs="Roboto" w:eastAsia="Roboto" w:hAnsi="Roboto"/>
          <w:b w:val="false"/>
          <w:bCs w:val="false"/>
          <w:i w:val="false"/>
          <w:iCs w:val="false"/>
          <w:color w:val="212121"/>
          <w:sz w:val="20"/>
          <w:szCs w:val="20"/>
        </w:rPr>
        <w:t xml:space="preserve">This is the asymmetric work. Each crack below is a testable symptom today, not a generic "risk factor." We spend more time here than defending positive views, because the market prices good news faster than bad news — finding cracks is where the edge comes from. The two highest-probability cracks (engagement erosion 40%, ad revenue quality 35%) both re-surface STEP B's weak-evidence assumptions (B2, B5); when they co-fire, the bear $75-77 scenario is what you get.</w:t>
      </w:r>
    </w:p>
    <w:p>
      <w:pPr>
        <w:spacing w:after="45" w:before="190" w:line="320"/>
        <w:jc w:val="left"/>
      </w:pPr>
      <w:r>
        <w:rPr>
          <w:rFonts w:ascii="Roboto" w:cs="Roboto" w:eastAsia="Roboto" w:hAnsi="Roboto"/>
          <w:b/>
          <w:bCs/>
          <w:i w:val="false"/>
          <w:iCs w:val="false"/>
          <w:color w:val="000000"/>
          <w:sz w:val="24"/>
          <w:szCs w:val="24"/>
        </w:rPr>
        <w:t xml:space="preserve">Crack #1 — Customer Quality: AVOD cannibalization</w:t>
      </w:r>
    </w:p>
    <w:p>
      <w:pPr>
        <w:spacing w:after="90" w:before="0" w:line="280"/>
        <w:jc w:val="left"/>
      </w:pPr>
      <w:r>
        <w:rPr>
          <w:rFonts w:ascii="Roboto" w:cs="Roboto" w:eastAsia="Roboto" w:hAnsi="Roboto"/>
          <w:b/>
          <w:bCs/>
          <w:i w:val="false"/>
          <w:iCs w:val="false"/>
          <w:color w:val="000000"/>
          <w:sz w:val="20"/>
          <w:szCs w:val="20"/>
        </w:rPr>
        <w:t xml:space="preserve">Paying users are re-stratifying down as AVOD (~$18.72 UCAN ARM) cannibalizes Standard ($20). </w:t>
      </w:r>
      <w:r>
        <w:rPr>
          <w:rFonts w:ascii="Roboto" w:cs="Roboto" w:eastAsia="Roboto" w:hAnsi="Roboto"/>
          <w:b w:val="false"/>
          <w:bCs w:val="false"/>
          <w:i w:val="false"/>
          <w:iCs w:val="false"/>
          <w:color w:val="212121"/>
          <w:sz w:val="20"/>
          <w:szCs w:val="20"/>
        </w:rPr>
        <w:t xml:space="preserve">60% of Q1 2026 sign-ups in ad-enabled markets chose the ads tier. AVOD share is rising faster than the blended ARM math requires — specifically, CPM uplift has to offset the $1.28 per-sub ARM gap to keep blended ARM flat. Probability this crack fires: 30%. If blended ARM dilution outpaces CPM growth for 2 consecutive quarters, FY27 revenue comes in $1.5B below guide, OP margin drops 80bps, and PT recalibrates to ~$95. This is not thesis-breaking by itself — but it removes the ARM lever that B2 depends on.</w:t>
      </w:r>
    </w:p>
    <w:p>
      <w:pPr>
        <w:spacing w:after="45" w:before="190" w:line="320"/>
        <w:jc w:val="left"/>
      </w:pPr>
      <w:r>
        <w:rPr>
          <w:rFonts w:ascii="Roboto" w:cs="Roboto" w:eastAsia="Roboto" w:hAnsi="Roboto"/>
          <w:b/>
          <w:bCs/>
          <w:i w:val="false"/>
          <w:iCs w:val="false"/>
          <w:color w:val="000000"/>
          <w:sz w:val="24"/>
          <w:szCs w:val="24"/>
        </w:rPr>
        <w:t xml:space="preserve">Crack #2 — Revenue Quality: Ad revenue not yet subscription-like</w:t>
      </w:r>
    </w:p>
    <w:p>
      <w:pPr>
        <w:spacing w:after="90" w:before="0" w:line="280"/>
        <w:jc w:val="left"/>
      </w:pPr>
      <w:r>
        <w:rPr>
          <w:rFonts w:ascii="Roboto" w:cs="Roboto" w:eastAsia="Roboto" w:hAnsi="Roboto"/>
          <w:b/>
          <w:bCs/>
          <w:i w:val="false"/>
          <w:iCs w:val="false"/>
          <w:color w:val="000000"/>
          <w:sz w:val="20"/>
          <w:szCs w:val="20"/>
        </w:rPr>
        <w:t xml:space="preserve">Ad revenue quality is programmatic-heavy, live-sports-lumpy, and not yet cycle-tested. </w:t>
      </w:r>
      <w:r>
        <w:rPr>
          <w:rFonts w:ascii="Roboto" w:cs="Roboto" w:eastAsia="Roboto" w:hAnsi="Roboto"/>
          <w:b w:val="false"/>
          <w:bCs w:val="false"/>
          <w:i w:val="false"/>
          <w:iCs w:val="false"/>
          <w:color w:val="212121"/>
          <w:sz w:val="20"/>
          <w:szCs w:val="20"/>
        </w:rPr>
        <w:t xml:space="preserve">The 2026 $3B ad guide leans on upfront commitments plus live-sports bursts (NFL Christmas ~$80-90M/game, WWE ~$500M/yr premium inventory). The programmatic stack just switched from Microsoft in Q4 2025 — no full upfront cycle has run yet on the new infrastructure. Probability: 35%. If Q3 and Q4 2026 ad run-rate prints below $700M/quarter, that is a guide slip; multiple compresses, PT ~$90. Not thesis-breaking alone, but fuel for a re-rating lower if it combines with Crack #3.</w:t>
      </w:r>
    </w:p>
    <w:p>
      <w:pPr>
        <w:spacing w:after="45" w:before="190" w:line="320"/>
        <w:jc w:val="left"/>
      </w:pPr>
      <w:r>
        <w:rPr>
          <w:rFonts w:ascii="Roboto" w:cs="Roboto" w:eastAsia="Roboto" w:hAnsi="Roboto"/>
          <w:b/>
          <w:bCs/>
          <w:i w:val="false"/>
          <w:iCs w:val="false"/>
          <w:color w:val="000000"/>
          <w:sz w:val="24"/>
          <w:szCs w:val="24"/>
        </w:rPr>
        <w:t xml:space="preserve">Crack #3 — Moat Durability: Engagement-per-sub erosion</w:t>
      </w:r>
    </w:p>
    <w:p>
      <w:pPr>
        <w:spacing w:after="90" w:before="0" w:line="280"/>
        <w:jc w:val="left"/>
      </w:pPr>
      <w:r>
        <w:rPr>
          <w:rFonts w:ascii="Roboto" w:cs="Roboto" w:eastAsia="Roboto" w:hAnsi="Roboto"/>
          <w:b/>
          <w:bCs/>
          <w:i w:val="false"/>
          <w:iCs w:val="false"/>
          <w:color w:val="000000"/>
          <w:sz w:val="20"/>
          <w:szCs w:val="20"/>
        </w:rPr>
        <w:t xml:space="preserve">Engagement-per-sub erosion vs YouTube and short-drama is the single biggest asymmetric risk. </w:t>
      </w:r>
      <w:r>
        <w:rPr>
          <w:rFonts w:ascii="Roboto" w:cs="Roboto" w:eastAsia="Roboto" w:hAnsi="Roboto"/>
          <w:b w:val="false"/>
          <w:bCs w:val="false"/>
          <w:i w:val="false"/>
          <w:iCs w:val="false"/>
          <w:color w:val="212121"/>
          <w:sz w:val="20"/>
          <w:szCs w:val="20"/>
        </w:rPr>
        <w:t xml:space="preserve">Per-sub daily hours fell 2.2 to 1.8 (2023H1 to 2025H2), an ~18% decline. YouTube is at 13.4% of US TV time vs Netflix 8.8% — the gap widened in 2025, not narrowed. DramaBox and ReelShort mobile DAU now exceed Peacock and Max mobile DAU. Probability this crack fires at thesis-breaking severity: 40% — the highest of any crack in the list. If engagement YoY declines &gt;5% for 2 consecutive quarters, the multiple re-rates to 18x and PT drops to ~$75 (52-week low territory). This is the THESIS-BREAKER. It is also why hard-stop rule (b) is structured as "2 consecutive quarters, sell regardless of price."</w:t>
      </w:r>
    </w:p>
    <w:p>
      <w:pPr>
        <w:spacing w:after="45" w:before="190" w:line="320"/>
        <w:jc w:val="left"/>
      </w:pPr>
      <w:r>
        <w:rPr>
          <w:rFonts w:ascii="Roboto" w:cs="Roboto" w:eastAsia="Roboto" w:hAnsi="Roboto"/>
          <w:b/>
          <w:bCs/>
          <w:i w:val="false"/>
          <w:iCs w:val="false"/>
          <w:color w:val="000000"/>
          <w:sz w:val="24"/>
          <w:szCs w:val="24"/>
        </w:rPr>
        <w:t xml:space="preserve">Crack #4 — Valuation Premise: H2 2026 margin recovery must land</w:t>
      </w:r>
    </w:p>
    <w:p>
      <w:pPr>
        <w:spacing w:after="90" w:before="0" w:line="280"/>
        <w:jc w:val="left"/>
      </w:pPr>
      <w:r>
        <w:rPr>
          <w:rFonts w:ascii="Roboto" w:cs="Roboto" w:eastAsia="Roboto" w:hAnsi="Roboto"/>
          <w:b/>
          <w:bCs/>
          <w:i w:val="false"/>
          <w:iCs w:val="false"/>
          <w:color w:val="000000"/>
          <w:sz w:val="20"/>
          <w:szCs w:val="20"/>
        </w:rPr>
        <w:t xml:space="preserve">H2 2026 OP margin MUST recover toward 31.5% full-year; requires content amort to moderate in Q3-Q4. </w:t>
      </w:r>
      <w:r>
        <w:rPr>
          <w:rFonts w:ascii="Roboto" w:cs="Roboto" w:eastAsia="Roboto" w:hAnsi="Roboto"/>
          <w:b w:val="false"/>
          <w:bCs w:val="false"/>
          <w:i w:val="false"/>
          <w:iCs w:val="false"/>
          <w:color w:val="212121"/>
          <w:sz w:val="20"/>
          <w:szCs w:val="20"/>
        </w:rPr>
        <w:t xml:space="preserve">Q2 2026 guide is 32.6% vs Q2 2025 34.1% — down 150bps — and management promises H2 greater than H1. If 2026 cash content prints at the $20B high end of guide, 2027 amort stays elevated and FY27 OP margin never reaches the 33%+ compounder math. Probability: 30%. If FY26 OP margin prints below 31%, multiple re-rates to 20x, PT ~$85, and the consensus compounder story downgrades to "mature media." This is exactly the scenario the Q1 2026 10% drawdown was pre-pricing before being partially reversed.</w:t>
      </w:r>
    </w:p>
    <w:p>
      <w:pPr>
        <w:spacing w:after="45" w:before="190" w:line="320"/>
        <w:jc w:val="left"/>
      </w:pPr>
      <w:r>
        <w:rPr>
          <w:rFonts w:ascii="Roboto" w:cs="Roboto" w:eastAsia="Roboto" w:hAnsi="Roboto"/>
          <w:b/>
          <w:bCs/>
          <w:i w:val="false"/>
          <w:iCs w:val="false"/>
          <w:color w:val="000000"/>
          <w:sz w:val="24"/>
          <w:szCs w:val="24"/>
        </w:rPr>
        <w:t xml:space="preserve">Crack #5 — Extreme Tail: Key-person + regulatory + AI</w:t>
      </w:r>
    </w:p>
    <w:p>
      <w:pPr>
        <w:spacing w:after="90" w:before="0" w:line="280"/>
        <w:jc w:val="left"/>
      </w:pPr>
      <w:r>
        <w:rPr>
          <w:rFonts w:ascii="Roboto" w:cs="Roboto" w:eastAsia="Roboto" w:hAnsi="Roboto"/>
          <w:b/>
          <w:bCs/>
          <w:i w:val="false"/>
          <w:iCs w:val="false"/>
          <w:color w:val="000000"/>
          <w:sz w:val="20"/>
          <w:szCs w:val="20"/>
        </w:rPr>
        <w:t xml:space="preserve">Three low-probability, high-severity tails sit under the thesis — individually unhedgeable, collectively sized via portfolio risk budget. </w:t>
      </w:r>
      <w:r>
        <w:rPr>
          <w:rFonts w:ascii="Roboto" w:cs="Roboto" w:eastAsia="Roboto" w:hAnsi="Roboto"/>
          <w:b w:val="false"/>
          <w:bCs w:val="false"/>
          <w:i w:val="false"/>
          <w:iCs w:val="false"/>
          <w:color w:val="212121"/>
          <w:sz w:val="20"/>
          <w:szCs w:val="20"/>
        </w:rPr>
        <w:t xml:space="preserve">(a) Ted Sarandos unplanned departure — named key-person risk in 10-K, chief content architect since 2020. Hastings' board exit in Q1 2026 sets governance precedent. Probability 5-7%. Event-driven 15-20% drawdown, eventually stabilizes if successor is credible. (b) Regulatory: EU 30% local-content quota (AVMSD in force) plus France 20% / Italy 16% / Belgium 9.5% revenue-investment levies expand. Probability 10-15%. Not a cliff event — a 100-200bps OP margin compounding drag over 3 years; PT ~$95-100. (c) AI-generated content commoditizes prestige IP (multi-year). Netflix 10-K flags AI copyright as "uncertain." Hastings joining Anthropic's board is a signal that AI matters more than Netflix implies externally. Long-duration re-rating, beyond memo horizon; thesis survives but multiple compounds slower.</w:t>
      </w:r>
    </w:p>
    <w:p>
      <w:pPr>
        <w:spacing w:after="90" w:before="0" w:line="280"/>
        <w:jc w:val="left"/>
      </w:pPr>
      <w:r>
        <w:rPr>
          <w:rFonts w:ascii="Roboto" w:cs="Roboto" w:eastAsia="Roboto" w:hAnsi="Roboto"/>
          <w:b w:val="false"/>
          <w:bCs w:val="false"/>
          <w:i w:val="false"/>
          <w:iCs w:val="false"/>
          <w:color w:val="212121"/>
          <w:sz w:val="20"/>
          <w:szCs w:val="20"/>
        </w:rPr>
        <w:t xml:space="preserve">Crack triangulation. The two cracks with highest probability (#3 engagement erosion 40%, #2 ad revenue quality 35%) both surface in STEP B weak-evidence assumptions (B5, B1). They co-fire in exactly one scenario — Bear — where they compound into the ~$75-77 stock. This is why position sizing starts at 3% and scales only on drawdowns that preserve the crack_list preconditions (engagement-YoY holding, ad run-rate on path). We do NOT scale on price alone.</w:t>
      </w:r>
    </w:p>
    <w:p>
      <w:pPr>
        <w:sectPr>
          <w:headerReference w:type="default" r:id="rId14"/>
          <w:footerReference w:type="default" r:id="rId15"/>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Non-Consensus Bets</w:t>
      </w:r>
    </w:p>
    <w:p>
      <w:pPr>
        <w:spacing w:after="45" w:before="190" w:line="320"/>
        <w:jc w:val="left"/>
      </w:pPr>
      <w:r>
        <w:rPr>
          <w:rFonts w:ascii="Roboto" w:cs="Roboto" w:eastAsia="Roboto" w:hAnsi="Roboto"/>
          <w:b/>
          <w:bCs/>
          <w:i w:val="false"/>
          <w:iCs w:val="false"/>
          <w:color w:val="000000"/>
          <w:sz w:val="24"/>
          <w:szCs w:val="24"/>
        </w:rPr>
        <w:t xml:space="preserve">Bet #1 — Ads reaches $7-8B by 2028, not $5-6B</w:t>
      </w:r>
    </w:p>
    <w:p>
      <w:pPr>
        <w:spacing w:after="90" w:before="0" w:line="280"/>
        <w:jc w:val="left"/>
      </w:pPr>
      <w:r>
        <w:rPr>
          <w:rFonts w:ascii="Roboto" w:cs="Roboto" w:eastAsia="Roboto" w:hAnsi="Roboto"/>
          <w:b/>
          <w:bCs/>
          <w:i w:val="false"/>
          <w:iCs w:val="false"/>
          <w:color w:val="000000"/>
          <w:sz w:val="20"/>
          <w:szCs w:val="20"/>
        </w:rPr>
        <w:t xml:space="preserve">Consensus catches up after the upfront season in Q2-Q3 2026 once ad-agency commitments for fall 2026 are visible. </w:t>
      </w:r>
      <w:r>
        <w:rPr>
          <w:rFonts w:ascii="Roboto" w:cs="Roboto" w:eastAsia="Roboto" w:hAnsi="Roboto"/>
          <w:b w:val="false"/>
          <w:bCs w:val="false"/>
          <w:i w:val="false"/>
          <w:iCs w:val="false"/>
          <w:color w:val="212121"/>
          <w:sz w:val="20"/>
          <w:szCs w:val="20"/>
        </w:rPr>
        <w:t xml:space="preserve">The trigger is a Q3 2026 earnings call where management raises 2027 ad guidance to $4.5B+ (current implicit is $3.5B). This single guide revision is worth ~15% of multiple re-rating given the 2x consensus gap on 2028 exit ad revenue.</w:t>
      </w:r>
    </w:p>
    <w:p>
      <w:pPr>
        <w:spacing w:after="45" w:before="190" w:line="320"/>
        <w:jc w:val="left"/>
      </w:pPr>
      <w:r>
        <w:rPr>
          <w:rFonts w:ascii="Roboto" w:cs="Roboto" w:eastAsia="Roboto" w:hAnsi="Roboto"/>
          <w:b/>
          <w:bCs/>
          <w:i w:val="false"/>
          <w:iCs w:val="false"/>
          <w:color w:val="000000"/>
          <w:sz w:val="24"/>
          <w:szCs w:val="24"/>
        </w:rPr>
        <w:t xml:space="preserve">Bet #2 — WBD termination fee + $25B buyback is not fully in the stock</w:t>
      </w:r>
    </w:p>
    <w:p>
      <w:pPr>
        <w:spacing w:after="90" w:before="0" w:line="280"/>
        <w:jc w:val="left"/>
      </w:pPr>
      <w:r>
        <w:rPr>
          <w:rFonts w:ascii="Roboto" w:cs="Roboto" w:eastAsia="Roboto" w:hAnsi="Roboto"/>
          <w:b/>
          <w:bCs/>
          <w:i w:val="false"/>
          <w:iCs w:val="false"/>
          <w:color w:val="000000"/>
          <w:sz w:val="20"/>
          <w:szCs w:val="20"/>
        </w:rPr>
        <w:t xml:space="preserve">The 10% Q1 sell-off was primarily content amort step-up plus Hastings news — the market has not re-underwritten the capital return lever. </w:t>
      </w:r>
      <w:r>
        <w:rPr>
          <w:rFonts w:ascii="Roboto" w:cs="Roboto" w:eastAsia="Roboto" w:hAnsi="Roboto"/>
          <w:b w:val="false"/>
          <w:bCs w:val="false"/>
          <w:i w:val="false"/>
          <w:iCs w:val="false"/>
          <w:color w:val="212121"/>
          <w:sz w:val="20"/>
          <w:szCs w:val="20"/>
        </w:rPr>
        <w:t xml:space="preserve">At $9.5B 2025 FCF and $11B 2026 FCF guide, plus $2.8B termination fee in cash, the total buyback capacity is $60B+ over 3 years — ~15% of current market cap. Pace $9-12B/yr delivers 2-3% annual share reduction mechanically, before any operational tailwind.</w:t>
      </w:r>
    </w:p>
    <w:p>
      <w:pPr>
        <w:spacing w:after="45" w:before="190" w:line="320"/>
        <w:jc w:val="left"/>
      </w:pPr>
      <w:r>
        <w:rPr>
          <w:rFonts w:ascii="Roboto" w:cs="Roboto" w:eastAsia="Roboto" w:hAnsi="Roboto"/>
          <w:b/>
          <w:bCs/>
          <w:i w:val="false"/>
          <w:iCs w:val="false"/>
          <w:color w:val="000000"/>
          <w:sz w:val="24"/>
          <w:szCs w:val="24"/>
        </w:rPr>
        <w:t xml:space="preserve">Bet #3 — India is smaller than Street thinks</w:t>
      </w:r>
    </w:p>
    <w:p>
      <w:pPr>
        <w:spacing w:after="90" w:before="0" w:line="280"/>
        <w:jc w:val="left"/>
      </w:pPr>
      <w:r>
        <w:rPr>
          <w:rFonts w:ascii="Roboto" w:cs="Roboto" w:eastAsia="Roboto" w:hAnsi="Roboto"/>
          <w:b/>
          <w:bCs/>
          <w:i w:val="false"/>
          <w:iCs w:val="false"/>
          <w:color w:val="000000"/>
          <w:sz w:val="20"/>
          <w:szCs w:val="20"/>
        </w:rPr>
        <w:t xml:space="preserve">Street models India as 60-80M sub opportunity by 2030; we think 40-60M. </w:t>
      </w:r>
      <w:r>
        <w:rPr>
          <w:rFonts w:ascii="Roboto" w:cs="Roboto" w:eastAsia="Roboto" w:hAnsi="Roboto"/>
          <w:b w:val="false"/>
          <w:bCs w:val="false"/>
          <w:i w:val="false"/>
          <w:iCs w:val="false"/>
          <w:color w:val="212121"/>
          <w:sz w:val="20"/>
          <w:szCs w:val="20"/>
        </w:rPr>
        <w:t xml:space="preserve">Netflix India has only ~400 Indian-language titles vs Japan 1,200+ and Korea 800+. JioHotstar (300M subs from IPL) owns cricket, Warner licenses, and 320,000 hours of local content — 6x Netflix's India library. India is a 10-year, 3-5% of revenue story, not a "next 100M subs" story. This is the tempering bet — if wrong, it is upside; does not threaten core thesis.</w:t>
      </w:r>
    </w:p>
    <w:p>
      <w:pPr>
        <w:spacing w:after="45" w:before="190" w:line="320"/>
        <w:jc w:val="left"/>
      </w:pPr>
      <w:r>
        <w:rPr>
          <w:rFonts w:ascii="Roboto" w:cs="Roboto" w:eastAsia="Roboto" w:hAnsi="Roboto"/>
          <w:b/>
          <w:bCs/>
          <w:i w:val="false"/>
          <w:iCs w:val="false"/>
          <w:color w:val="000000"/>
          <w:sz w:val="24"/>
          <w:szCs w:val="24"/>
        </w:rPr>
        <w:t xml:space="preserve">Bet #4 (Contrarian near-term) — Q3 2026 engagement could spook</w:t>
      </w:r>
    </w:p>
    <w:p>
      <w:pPr>
        <w:spacing w:after="90" w:before="0" w:line="280"/>
        <w:jc w:val="left"/>
      </w:pPr>
      <w:r>
        <w:rPr>
          <w:rFonts w:ascii="Roboto" w:cs="Roboto" w:eastAsia="Roboto" w:hAnsi="Roboto"/>
          <w:b/>
          <w:bCs/>
          <w:i w:val="false"/>
          <w:iCs w:val="false"/>
          <w:color w:val="000000"/>
          <w:sz w:val="20"/>
          <w:szCs w:val="20"/>
        </w:rPr>
        <w:t xml:space="preserve">Q3 2025 engagement was propped by KPop Demon Hunters alone (&gt;500M viewing hours from a single film). </w:t>
      </w:r>
      <w:r>
        <w:rPr>
          <w:rFonts w:ascii="Roboto" w:cs="Roboto" w:eastAsia="Roboto" w:hAnsi="Roboto"/>
          <w:b w:val="false"/>
          <w:bCs w:val="false"/>
          <w:i w:val="false"/>
          <w:iCs w:val="false"/>
          <w:color w:val="212121"/>
          <w:sz w:val="20"/>
          <w:szCs w:val="20"/>
        </w:rPr>
        <w:t xml:space="preserve">Without an equivalent breakout in Q3 2026, reported hours could decline 5-8%. Management may attribute to "lumpy content cycle" but the market will treat it as weakness. Use as a buying opportunity IF shown in isolation — not if combined with ARM weakness, which would fire Crack #3 instead.</w:t>
      </w:r>
    </w:p>
    <w:p>
      <w:pPr>
        <w:sectPr>
          <w:headerReference w:type="default" r:id="rId16"/>
          <w:footerReference w:type="default" r:id="rId17"/>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What the Market Is Missing</w:t>
      </w:r>
    </w:p>
    <w:p>
      <w:pPr>
        <w:spacing w:after="45" w:before="190" w:line="320"/>
        <w:jc w:val="left"/>
      </w:pPr>
      <w:r>
        <w:rPr>
          <w:rFonts w:ascii="Roboto" w:cs="Roboto" w:eastAsia="Roboto" w:hAnsi="Roboto"/>
          <w:b/>
          <w:bCs/>
          <w:i w:val="false"/>
          <w:iCs w:val="false"/>
          <w:color w:val="000000"/>
          <w:sz w:val="24"/>
          <w:szCs w:val="24"/>
        </w:rPr>
        <w:t xml:space="preserve">Misperception 1: "YouTube is crushing Netflix"</w:t>
      </w:r>
    </w:p>
    <w:p>
      <w:pPr>
        <w:spacing w:after="90" w:before="0" w:line="280"/>
        <w:jc w:val="left"/>
      </w:pPr>
      <w:r>
        <w:rPr>
          <w:rFonts w:ascii="Roboto" w:cs="Roboto" w:eastAsia="Roboto" w:hAnsi="Roboto"/>
          <w:b/>
          <w:bCs/>
          <w:i w:val="false"/>
          <w:iCs w:val="false"/>
          <w:color w:val="000000"/>
          <w:sz w:val="20"/>
          <w:szCs w:val="20"/>
        </w:rPr>
        <w:t xml:space="preserve">Why wrong: YouTube at 13.4% vs Netflix 8.8% of total US TV time (Nielsen Gauge Dec 2025) ignores the economic substance. </w:t>
      </w:r>
      <w:r>
        <w:rPr>
          <w:rFonts w:ascii="Roboto" w:cs="Roboto" w:eastAsia="Roboto" w:hAnsi="Roboto"/>
          <w:b w:val="false"/>
          <w:bCs w:val="false"/>
          <w:i w:val="false"/>
          <w:iCs w:val="false"/>
          <w:color w:val="212121"/>
          <w:sz w:val="20"/>
          <w:szCs w:val="20"/>
        </w:rPr>
        <w:t xml:space="preserve">YouTube hours are UGC-heavy, monetize at a fraction of Netflix's premium CPM. YouTube is not taking Netflix's advertisers — it is taking different advertisers at much lower unit economics. Netflix is still expanding premium monetizable hours even as YouTube expands total hours. The correct frame is premium-CTV eCPM at $21-22 on Netflix vs sub-$10 blended YouTube CPMs.</w:t>
      </w:r>
    </w:p>
    <w:p>
      <w:pPr>
        <w:spacing w:after="45" w:before="190" w:line="320"/>
        <w:jc w:val="left"/>
      </w:pPr>
      <w:r>
        <w:rPr>
          <w:rFonts w:ascii="Roboto" w:cs="Roboto" w:eastAsia="Roboto" w:hAnsi="Roboto"/>
          <w:b/>
          <w:bCs/>
          <w:i w:val="false"/>
          <w:iCs w:val="false"/>
          <w:color w:val="000000"/>
          <w:sz w:val="24"/>
          <w:szCs w:val="24"/>
        </w:rPr>
        <w:t xml:space="preserve">Misperception 2: "Ads will dilute margins because AVOD ARM &lt; Standard ARM"</w:t>
      </w:r>
    </w:p>
    <w:p>
      <w:pPr>
        <w:spacing w:after="90" w:before="0" w:line="280"/>
        <w:jc w:val="left"/>
      </w:pPr>
      <w:r>
        <w:rPr>
          <w:rFonts w:ascii="Roboto" w:cs="Roboto" w:eastAsia="Roboto" w:hAnsi="Roboto"/>
          <w:b/>
          <w:bCs/>
          <w:i w:val="false"/>
          <w:iCs w:val="false"/>
          <w:color w:val="000000"/>
          <w:sz w:val="20"/>
          <w:szCs w:val="20"/>
        </w:rPr>
        <w:t xml:space="preserve">Why wrong: AVOD UCAN ARM is ~$18.72 vs Standard ~$20 — yes, below. But contribution economics flip the conclusion. </w:t>
      </w:r>
      <w:r>
        <w:rPr>
          <w:rFonts w:ascii="Roboto" w:cs="Roboto" w:eastAsia="Roboto" w:hAnsi="Roboto"/>
          <w:b w:val="false"/>
          <w:bCs w:val="false"/>
          <w:i w:val="false"/>
          <w:iCs w:val="false"/>
          <w:color w:val="212121"/>
          <w:sz w:val="20"/>
          <w:szCs w:val="20"/>
        </w:rPr>
        <w:t xml:space="preserve">Incremental ad revenue has ~70% contribution margin per Bernstein; net incremental profit per AVOD user is HIGHER than Standard once Ads Suite scale passes this year's threshold. The ARM comparison is a surface-level narrative; the contribution-margin comparison is what actually drives the P&amp;L. This is the single most common sell-side mistake on NFLX right now.</w:t>
      </w:r>
    </w:p>
    <w:p>
      <w:pPr>
        <w:spacing w:after="45" w:before="190" w:line="320"/>
        <w:jc w:val="left"/>
      </w:pPr>
      <w:r>
        <w:rPr>
          <w:rFonts w:ascii="Roboto" w:cs="Roboto" w:eastAsia="Roboto" w:hAnsi="Roboto"/>
          <w:b/>
          <w:bCs/>
          <w:i w:val="false"/>
          <w:iCs w:val="false"/>
          <w:color w:val="000000"/>
          <w:sz w:val="24"/>
          <w:szCs w:val="24"/>
        </w:rPr>
        <w:t xml:space="preserve">Misperception 3: "WBD withdrawal was a failure / disciplined miss"</w:t>
      </w:r>
    </w:p>
    <w:p>
      <w:pPr>
        <w:spacing w:after="90" w:before="0" w:line="280"/>
        <w:jc w:val="left"/>
      </w:pPr>
      <w:r>
        <w:rPr>
          <w:rFonts w:ascii="Roboto" w:cs="Roboto" w:eastAsia="Roboto" w:hAnsi="Roboto"/>
          <w:b/>
          <w:bCs/>
          <w:i w:val="false"/>
          <w:iCs w:val="false"/>
          <w:color w:val="000000"/>
          <w:sz w:val="20"/>
          <w:szCs w:val="20"/>
        </w:rPr>
        <w:t xml:space="preserve">Why wrong: Netflix avoided paying ~$82B for a declining legacy TV asset at peak M&amp;A premium, and collected $2.8B on the way out. </w:t>
      </w:r>
      <w:r>
        <w:rPr>
          <w:rFonts w:ascii="Roboto" w:cs="Roboto" w:eastAsia="Roboto" w:hAnsi="Roboto"/>
          <w:b w:val="false"/>
          <w:bCs w:val="false"/>
          <w:i w:val="false"/>
          <w:iCs w:val="false"/>
          <w:color w:val="212121"/>
          <w:sz w:val="20"/>
          <w:szCs w:val="20"/>
        </w:rPr>
        <w:t xml:space="preserve">Board authorized $25B in incremental buyback. WBD content licensing to Netflix continues post Paramount-WBD close (Netflix still buys content rights, not equity). This was capital discipline, not capital allocation failure — the classic "Netflix does not need Paramount-WBD, Paramount-WBD needs Netflix's distribution."</w:t>
      </w:r>
    </w:p>
    <w:p>
      <w:pPr>
        <w:spacing w:after="45" w:before="190" w:line="320"/>
        <w:jc w:val="left"/>
      </w:pPr>
      <w:r>
        <w:rPr>
          <w:rFonts w:ascii="Roboto" w:cs="Roboto" w:eastAsia="Roboto" w:hAnsi="Roboto"/>
          <w:b/>
          <w:bCs/>
          <w:i w:val="false"/>
          <w:iCs w:val="false"/>
          <w:color w:val="000000"/>
          <w:sz w:val="24"/>
          <w:szCs w:val="24"/>
        </w:rPr>
        <w:t xml:space="preserve">Misperception 4: "Content amort step-up means margins compress"</w:t>
      </w:r>
    </w:p>
    <w:p>
      <w:pPr>
        <w:spacing w:after="90" w:before="0" w:line="280"/>
        <w:jc w:val="left"/>
      </w:pPr>
      <w:r>
        <w:rPr>
          <w:rFonts w:ascii="Roboto" w:cs="Roboto" w:eastAsia="Roboto" w:hAnsi="Roboto"/>
          <w:b/>
          <w:bCs/>
          <w:i w:val="false"/>
          <w:iCs w:val="false"/>
          <w:color w:val="000000"/>
          <w:sz w:val="20"/>
          <w:szCs w:val="20"/>
        </w:rPr>
        <w:t xml:space="preserve">Why wrong: The 10% content amort growth in 2026 reflects 2023-2024 production strike backlog hitting the 2026 P&amp;L. </w:t>
      </w:r>
      <w:r>
        <w:rPr>
          <w:rFonts w:ascii="Roboto" w:cs="Roboto" w:eastAsia="Roboto" w:hAnsi="Roboto"/>
          <w:b w:val="false"/>
          <w:bCs w:val="false"/>
          <w:i w:val="false"/>
          <w:iCs w:val="false"/>
          <w:color w:val="212121"/>
          <w:sz w:val="20"/>
          <w:szCs w:val="20"/>
        </w:rPr>
        <w:t xml:space="preserve">It is a transitory timing issue, not a structural rerating of cost base. H2 2026 margins improve. 2027 content amort normalizes to ~$17B growth. Consensus has this mostly correct, but the Q1 sell-off suggests the market was positioned for a more alarming narrative. This is the gap we are leaning into at $92.82.</w:t>
      </w:r>
    </w:p>
    <w:p>
      <w:pPr>
        <w:sectPr>
          <w:headerReference w:type="default" r:id="rId18"/>
          <w:footerReference w:type="default" r:id="rId1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AI: Net Positive for Netflix, Not Net Negative</w:t>
      </w:r>
    </w:p>
    <w:p>
      <w:pPr>
        <w:spacing w:after="90" w:before="0" w:line="280"/>
        <w:jc w:val="left"/>
      </w:pPr>
      <w:r>
        <w:rPr>
          <w:rFonts w:ascii="Roboto" w:cs="Roboto" w:eastAsia="Roboto" w:hAnsi="Roboto"/>
          <w:b w:val="false"/>
          <w:bCs w:val="false"/>
          <w:i w:val="false"/>
          <w:iCs w:val="false"/>
          <w:color w:val="212121"/>
          <w:sz w:val="20"/>
          <w:szCs w:val="20"/>
        </w:rPr>
        <w:t xml:space="preserve">Reed Hastings going to Anthropic. Hastings joined Anthropic's board and announced leaving Netflix's board — Street read this as "management worried about AI disruption." Our read: Hastings is personally positioning to think about AI through a non-Netflix lens, but his departure is governance, not strategy. Netflix's AI strategy is already mature and working:</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InterPositive acquisition (Q1 2026) — AI VFX for original film production. Already deployed in Argentine Original "El Eternauta" building-collapse scene, 10x faster than traditional pipeline.</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Sarandos' strategic frame: "10% better &gt; 50% cheaper." Netflix uses AI to multiply the productivity of human creators, not to replace them. Prestige premium content remains scarce and structurally defensible.</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Natural-language "conversational discovery" UI in testing. Dynamic creative ads Q2 2026 global launch.</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AI democratizes low-end / mid-end content (YouTube / TikTok / short drama), compressing margins for casual creators. Netflix plays at the top of the stack where prestige + data + global distribution still matters.</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Net: 5-year AI timeline is additive (productivity) for Netflix, disruptive for mid-tier streamers (Max, Paramount+) and UGC ad-economy players who face commoditization.</w:t>
      </w:r>
    </w:p>
    <w:p>
      <w:pPr>
        <w:spacing w:after="50" w:before="160" w:line="360"/>
        <w:jc w:val="left"/>
      </w:pPr>
      <w:r>
        <w:rPr>
          <w:rFonts w:ascii="Roboto" w:cs="Roboto" w:eastAsia="Roboto" w:hAnsi="Roboto"/>
          <w:b w:val="false"/>
          <w:bCs w:val="false"/>
          <w:i w:val="false"/>
          <w:iCs w:val="false"/>
          <w:color w:val="103455"/>
          <w:sz w:val="28"/>
          <w:szCs w:val="28"/>
        </w:rPr>
        <w:t xml:space="preserve">Capital Allocation — Where The Edge Is</w:t>
      </w:r>
    </w:p>
    <w:p>
      <w:pPr>
        <w:spacing w:after="90" w:before="0" w:line="280"/>
        <w:jc w:val="left"/>
      </w:pPr>
      <w:r>
        <w:rPr>
          <w:rFonts w:ascii="Roboto" w:cs="Roboto" w:eastAsia="Roboto" w:hAnsi="Roboto"/>
          <w:b w:val="false"/>
          <w:bCs w:val="false"/>
          <w:i w:val="false"/>
          <w:iCs w:val="false"/>
          <w:color w:val="212121"/>
          <w:sz w:val="20"/>
          <w:szCs w:val="20"/>
        </w:rPr>
        <w:t xml:space="preserve">The $25B authorization math. $25B incremental buyback authorization + $15B remaining from Dec 2024 + $2.8B WBD fee = $42.8B buyback capacity. At current $391B market cap, this is ~11% of shares. Pace of execution has been $6-9B/yr recently; could accelerate to $12B+/yr post-WBD fee. Implied annualized share reduction: 2-3% even before factoring FCF growth. Bernstein's decomposition: EPS growth 92% from earnings, 6% from buybacks historically — but the post-WBD step-up makes buybacks increasingly material to the EPS compounding algorithm going forward.</w:t>
      </w:r>
    </w:p>
    <w:p>
      <w:pPr>
        <w:spacing w:after="90" w:before="0" w:line="280"/>
        <w:jc w:val="left"/>
      </w:pPr>
      <w:r>
        <w:rPr>
          <w:rFonts w:ascii="Roboto" w:cs="Roboto" w:eastAsia="Roboto" w:hAnsi="Roboto"/>
          <w:b w:val="false"/>
          <w:bCs w:val="false"/>
          <w:i w:val="false"/>
          <w:iCs w:val="false"/>
          <w:color w:val="212121"/>
          <w:sz w:val="20"/>
          <w:szCs w:val="20"/>
        </w:rPr>
        <w:t xml:space="preserve">Other capital decisions. No dividends planned; management considers FCF reinvestment plus buyback more flexible. Content spend discipline proven (2022 $17B hold; 2025 actual $17B vs $18B guide; 2026 guide ~$19-20B reflects strike backlog). Live sports discipline proven (walked away from NBA, F1; contained NFL Christmas within existing budget). M&amp;A discipline proven (WBD withdrawal at $110B when Paramount stepped up; $2.8B termination fee collected on exit).</w:t>
      </w:r>
    </w:p>
    <w:p>
      <w:pPr>
        <w:sectPr>
          <w:headerReference w:type="default" r:id="rId20"/>
          <w:footerReference w:type="default" r:id="rId21"/>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STEP E | Conclusion</w:t>
      </w:r>
    </w:p>
    <w:p>
      <w:pPr>
        <w:spacing w:after="45" w:before="190" w:line="320"/>
        <w:jc w:val="left"/>
      </w:pPr>
      <w:r>
        <w:rPr>
          <w:rFonts w:ascii="Roboto" w:cs="Roboto" w:eastAsia="Roboto" w:hAnsi="Roboto"/>
          <w:b/>
          <w:bCs/>
          <w:i w:val="false"/>
          <w:iCs w:val="false"/>
          <w:color w:val="000000"/>
          <w:sz w:val="24"/>
          <w:szCs w:val="24"/>
        </w:rPr>
        <w:t xml:space="preserve">E.1 Probability-Weighted Scenarios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Scenario</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Prob.</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2027E EPS</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P/E applied</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12M PT</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Return vs $92.82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Bull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Base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Bear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$4.30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Weighted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Roboto" w:hAnsi="Roboto"/>
          <w:b w:val="false"/>
          <w:bCs w:val="false"/>
          <w:i w:val="false"/>
          <w:iCs w:val="false"/>
          <w:color w:val="212121"/>
          <w:sz w:val="20"/>
          <w:szCs w:val="20"/>
        </w:rPr>
        <w:t xml:space="preserve">Scenario anchors. Bull: ad revenue $4.5B+ in 2026 and $8B in 2027; FY27 OP margin 34%; multiple expands modestly. Base: ad revenue $3B in 2026 and $5B in 2027; FY27 OP margin 33%; 23x is below the 5-year average of ~32x, in line with post-Q1 2026 consensus re-rating. Bear: ad revenue $2.5B in 2026 and $3.5B in 2027; UCAN ARM flat; engagement YoY persistently negative; multiple compresses to 18x as "mature media." Weighted expected return +23% vs 12M; R/R 2.1:1 on the bull/bear skew clears the HF-sleeve bar for a 3-5% position.</w:t>
      </w:r>
    </w:p>
    <w:p>
      <w:pPr>
        <w:spacing w:after="45" w:before="190" w:line="320"/>
        <w:jc w:val="left"/>
      </w:pPr>
      <w:r>
        <w:rPr>
          <w:rFonts w:ascii="Roboto" w:cs="Roboto" w:eastAsia="Roboto" w:hAnsi="Roboto"/>
          <w:b/>
          <w:bCs/>
          <w:i w:val="false"/>
          <w:iCs w:val="false"/>
          <w:color w:val="000000"/>
          <w:sz w:val="24"/>
          <w:szCs w:val="24"/>
        </w:rPr>
        <w:t xml:space="preserve">E.2 Trigger KPIs — Next 2-3 Quarters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Quarter</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KPI</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Decision rule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Q2 2026 (Jul)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Q2 OP margin vs 32.6% guide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Miss &gt;150bps trim 50bps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Q2 2026 (Jul)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Ad run-rate (implied quarterly)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&lt;$600M flag; &gt;$800M add 50bps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Q2 2026 (Jul)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Global engagement hrs YoY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 or worse red flag, full re-review</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Q3 2026 (Oct)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UCAN ARM YoY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Turns negative trim 150bps (B2 fails)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Q3 2026 (Oct)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2027 ad guidance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&gt;$4.5B add 50bps; &lt;$3.5B trim 50bps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Q3 2026 (Oct)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Engagement ex-KPDH base effect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Isolated miss = buy-the-dip; if paired with ARM weakness = EXIT</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Q4 2026 (Jan 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NFL Christmas viewership YoY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Soft vs 2024 ~65M mild concern on live-sports ROI</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Q4 2026 (Jan 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2027 OP margin + cash content guide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OP &gt;32% AND cash content &lt;$19B ADD; OP &lt;31% trim to 1.5%</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45" w:before="190" w:line="320"/>
        <w:jc w:val="left"/>
      </w:pPr>
      <w:r>
        <w:rPr>
          <w:rFonts w:ascii="Roboto" w:cs="Roboto" w:eastAsia="Roboto" w:hAnsi="Roboto"/>
          <w:b/>
          <w:bCs/>
          <w:i w:val="false"/>
          <w:iCs w:val="false"/>
          <w:color w:val="000000"/>
          <w:sz w:val="24"/>
          <w:szCs w:val="24"/>
        </w:rPr>
        <w:t xml:space="preserve">E.3 Position Sizing + Exit Rules</w:t>
      </w:r>
    </w:p>
    <w:p>
      <w:pPr>
        <w:spacing w:after="90" w:before="0" w:line="280"/>
        <w:jc w:val="left"/>
      </w:pPr>
      <w:r>
        <w:rPr>
          <w:rFonts w:ascii="Roboto" w:cs="Roboto" w:eastAsia="Roboto" w:hAnsi="Roboto"/>
          <w:b/>
          <w:bCs/>
          <w:i w:val="false"/>
          <w:iCs w:val="false"/>
          <w:color w:val="000000"/>
          <w:sz w:val="20"/>
          <w:szCs w:val="20"/>
        </w:rPr>
        <w:t xml:space="preserve">Entry. </w:t>
      </w:r>
      <w:r>
        <w:rPr>
          <w:rFonts w:ascii="Roboto" w:cs="Roboto" w:eastAsia="Roboto" w:hAnsi="Roboto"/>
          <w:b w:val="false"/>
          <w:bCs w:val="false"/>
          <w:i w:val="false"/>
          <w:iCs w:val="false"/>
          <w:color w:val="212121"/>
          <w:sz w:val="20"/>
          <w:szCs w:val="20"/>
        </w:rPr>
        <w:t xml:space="preserve">Initial 3% position at $92.82 or lower (current level). Add 50bps at $85 if the crack_list is clean. Add another 50bps at $78 only if engagement-YoY and ad run-rate are both on-track — i.e. the drawdown is multiple-only, not fundamental. Best entries historically have been post-earnings drawdowns like the Q1 2026 10% move, which is now partially reversed.</w:t>
      </w:r>
    </w:p>
    <w:p>
      <w:pPr>
        <w:spacing w:after="90" w:before="0" w:line="280"/>
        <w:jc w:val="left"/>
      </w:pPr>
      <w:r>
        <w:rPr>
          <w:rFonts w:ascii="Roboto" w:cs="Roboto" w:eastAsia="Roboto" w:hAnsi="Roboto"/>
          <w:b/>
          <w:bCs/>
          <w:i w:val="false"/>
          <w:iCs w:val="false"/>
          <w:color w:val="000000"/>
          <w:sz w:val="20"/>
          <w:szCs w:val="20"/>
        </w:rPr>
        <w:t xml:space="preserve">Trim rules. </w:t>
      </w:r>
      <w:r>
        <w:rPr>
          <w:rFonts w:ascii="Roboto" w:cs="Roboto" w:eastAsia="Roboto" w:hAnsi="Roboto"/>
          <w:b w:val="false"/>
          <w:bCs w:val="false"/>
          <w:i w:val="false"/>
          <w:iCs w:val="false"/>
          <w:color w:val="212121"/>
          <w:sz w:val="20"/>
          <w:szCs w:val="20"/>
        </w:rPr>
        <w:t xml:space="preserve">Trim 50bps at $120 (base PT hit). Trim another 50bps at $140 (bull case triggered). Exit position at $160+ or if thesis invalidates at any price.</w:t>
      </w:r>
    </w:p>
    <w:p>
      <w:pPr>
        <w:spacing w:after="90" w:before="0" w:line="280"/>
        <w:jc w:val="left"/>
      </w:pPr>
      <w:r>
        <w:rPr>
          <w:rFonts w:ascii="Roboto" w:cs="Roboto" w:eastAsia="Roboto" w:hAnsi="Roboto"/>
          <w:b/>
          <w:bCs/>
          <w:i w:val="false"/>
          <w:iCs w:val="false"/>
          <w:color w:val="000000"/>
          <w:sz w:val="20"/>
          <w:szCs w:val="20"/>
        </w:rPr>
        <w:t xml:space="preserve">Hard stops — sell regardless of price. </w:t>
      </w:r>
      <w:r>
        <w:rPr>
          <w:rFonts w:ascii="Roboto" w:cs="Roboto" w:eastAsia="Roboto" w:hAnsi="Roboto"/>
          <w:b w:val="false"/>
          <w:bCs w:val="false"/>
          <w:i w:val="false"/>
          <w:iCs w:val="false"/>
          <w:color w:val="212121"/>
          <w:sz w:val="20"/>
          <w:szCs w:val="20"/>
        </w:rPr>
        <w:t xml:space="preserve">(a) UCAN ARM YoY turns negative in any reported quarter — B2 breaks, AVOD dilution has outrun ARPU capture. (b) Global engagement hours YoY declines in 2 consecutive quarters — Crack #3 fires at thesis-breaking severity. (c) Q2 or Q3 2026 reported OP margin misses guide by &gt;200bps — content cost escalation is structural, not timing. (d) Non-WBD-sized M&amp;A bid at premium — management discipline break on capital allocation. (e) Management announces stoppage or material blurring of engagement metric disclosure — the quiet leading signal that the engagement story is about to break.</w:t>
      </w:r>
    </w:p>
    <w:p>
      <w:pPr>
        <w:spacing w:after="90" w:before="0" w:line="280"/>
        <w:jc w:val="left"/>
      </w:pPr>
      <w:r>
        <w:rPr>
          <w:rFonts w:ascii="Roboto" w:cs="Roboto" w:eastAsia="Roboto" w:hAnsi="Roboto"/>
          <w:b/>
          <w:bCs/>
          <w:i w:val="false"/>
          <w:iCs w:val="false"/>
          <w:color w:val="000000"/>
          <w:sz w:val="20"/>
          <w:szCs w:val="20"/>
        </w:rPr>
        <w:t xml:space="preserve">Portfolio-level framing. </w:t>
      </w:r>
      <w:r>
        <w:rPr>
          <w:rFonts w:ascii="Roboto" w:cs="Roboto" w:eastAsia="Roboto" w:hAnsi="Roboto"/>
          <w:b w:val="false"/>
          <w:bCs w:val="false"/>
          <w:i w:val="false"/>
          <w:iCs w:val="false"/>
          <w:color w:val="212121"/>
          <w:sz w:val="20"/>
          <w:szCs w:val="20"/>
        </w:rPr>
        <w:t xml:space="preserve">This is the HF sleeve's largest US internet name. Treat engagement YoY and UCAN ARM as the two "if broken, exit" variables — the scenario where they break together collapses both pricing power and moat simultaneously. Everything else is a size-adjust, not a thesis-break.</w:t>
      </w:r>
    </w:p>
    <w:p>
      <w:pPr>
        <w:spacing w:after="45" w:before="190" w:line="320"/>
        <w:jc w:val="left"/>
      </w:pPr>
      <w:r>
        <w:rPr>
          <w:rFonts w:ascii="Roboto" w:cs="Roboto" w:eastAsia="Roboto" w:hAnsi="Roboto"/>
          <w:b/>
          <w:bCs/>
          <w:i w:val="false"/>
          <w:iCs w:val="false"/>
          <w:color w:val="000000"/>
          <w:sz w:val="24"/>
          <w:szCs w:val="24"/>
        </w:rPr>
        <w:t xml:space="preserve">E.4 PM Summary</w:t>
      </w:r>
    </w:p>
    <w:p>
      <w:pPr>
        <w:spacing w:after="90" w:before="0" w:line="280"/>
        <w:jc w:val="left"/>
      </w:pPr>
      <w:r>
        <w:rPr>
          <w:rFonts w:ascii="Roboto" w:cs="Roboto" w:eastAsia="Roboto" w:hAnsi="Roboto"/>
          <w:b w:val="false"/>
          <w:bCs w:val="false"/>
          <w:i w:val="false"/>
          <w:iCs w:val="false"/>
          <w:color w:val="212121"/>
          <w:sz w:val="20"/>
          <w:szCs w:val="20"/>
        </w:rPr>
        <w:t xml:space="preserve">Netflix is a rare setup: a large-cap compound story trading at below-historical forward P/E (24x vs 5-yr avg 32x), with a new earnings lever (ads) scaling 2x annually for 2 more years, and a capital return mechanism ($25B buyback, ~11% of cap) that alone covers 5-6% of market cap of absorptive buying. Consensus is modestly optimistic on revenue but not aggressive enough on ads. Buy-side narrative is centered on the wrong mental model — YouTube panic, ARM dilution, WBD regret. We take the opposite side. Long 3% NFLX at $92.82, PT $120 (+29%), weighted expected return +23%, R/R 2.1:1.</w:t>
      </w:r>
    </w:p>
    <w:p>
      <w:pPr>
        <w:spacing w:after="90" w:before="0" w:line="280"/>
        <w:jc w:val="left"/>
      </w:pPr>
      <w:r>
        <w:rPr>
          <w:rFonts w:ascii="Roboto" w:cs="Roboto" w:eastAsia="Roboto" w:hAnsi="Roboto"/>
          <w:b w:val="false"/>
          <w:bCs w:val="false"/>
          <w:i w:val="false"/>
          <w:iCs w:val="false"/>
          <w:color w:val="212121"/>
          <w:sz w:val="20"/>
          <w:szCs w:val="20"/>
        </w:rPr>
        <w:t xml:space="preserve">Long-term framing. Netflix is moving from Phase 2 (maturing compounder) into Phase 2.5 where ads plus live sports plus games plus selected international markets provide enough optionality that we think it compounds at 12-15% IRR through 2028. Against a backdrop where media beta and tech multiples are compressing, Netflix's unique ability to combine top-line resilience + margin expansion + capital return is scarce.</w:t>
      </w:r>
    </w:p>
    <w:p>
      <w:pPr>
        <w:spacing w:after="90" w:before="0" w:line="280"/>
        <w:jc w:val="left"/>
      </w:pPr>
      <w:r>
        <w:rPr>
          <w:rFonts w:ascii="Roboto" w:cs="Roboto" w:eastAsia="Roboto" w:hAnsi="Roboto"/>
          <w:b w:val="false"/>
          <w:bCs w:val="false"/>
          <w:i w:val="false"/>
          <w:iCs w:val="false"/>
          <w:color w:val="212121"/>
          <w:sz w:val="20"/>
          <w:szCs w:val="20"/>
        </w:rPr>
        <w:t xml:space="preserve">Next 90 days watch-list. Q2 2026 earnings (July) is the next decision gate. Then Q3 2026 earnings (October), NFL Christmas 2026 viewership data (January 2027), and 2027 full-year guidance (January 2027). If STEP B weak-evidence assumptions B2 and B5 both fire together at any of these gates, we execute hard-stop. If both hold, we scale to 5% on the next clean drawdown.</w:t>
      </w:r>
    </w:p>
    <w:sectPr>
      <w:headerReference w:type="default" r:id="rId22"/>
      <w:footerReference w:type="default" r:id="rId23"/>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Orchid Asia buy-side internal memo. Not for external distribution.</w:t>
    </w:r>
  </w:p>
  <w:p>
    <w:pPr>
      <w:spacing w:after="0" w:before="0" w:line="150"/>
      <w:jc w:val="left"/>
    </w:pPr>
    <w:r>
      <w:rPr>
        <w:rFonts w:ascii="Roboto" w:cs="Roboto" w:eastAsia="Roboto" w:hAnsi="Roboto"/>
        <w:b w:val="false"/>
        <w:bCs w:val="false"/>
        <w:i w:val="false"/>
        <w:iCs w:val="false"/>
        <w:color w:val="8C97A3"/>
        <w:sz w:val="10"/>
        <w:szCs w:val="10"/>
      </w:rPr>
      <w:t xml:space="preserve">* Orchid Asia Research — HF sleeve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HF Investment Case Memo</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2026-04-24T06:06:05.238Z</dcterms:created>
  <dcterms:modified xsi:type="dcterms:W3CDTF">2026-04-24T06:06:05.239Z</dcterms:modified>
</cp:coreProperties>
</file>

<file path=docProps/custom.xml><?xml version="1.0" encoding="utf-8"?>
<Properties xmlns="http://schemas.openxmlformats.org/officeDocument/2006/custom-properties" xmlns:vt="http://schemas.openxmlformats.org/officeDocument/2006/docPropsVTypes"/>
</file>