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wordprocessingml.header+xml" PartName="/word/header2.xml"/>
  <Override ContentType="application/vnd.openxmlformats-officedocument.wordprocessingml.footer+xml" PartName="/word/footer3.xml"/>
  <Override ContentType="application/vnd.openxmlformats-officedocument.wordprocessingml.header+xml" PartName="/word/header3.xml"/>
  <Override ContentType="application/vnd.openxmlformats-officedocument.wordprocessingml.footer+xml" PartName="/word/footer4.xml"/>
  <Override ContentType="application/vnd.openxmlformats-officedocument.wordprocessingml.header+xml" PartName="/word/header4.xml"/>
  <Override ContentType="application/vnd.openxmlformats-officedocument.wordprocessingml.footer+xml" PartName="/word/footer5.xml"/>
  <Override ContentType="application/vnd.openxmlformats-officedocument.wordprocessingml.header+xml" PartName="/word/header5.xml"/>
  <Override ContentType="application/vnd.openxmlformats-officedocument.wordprocessingml.footer+xml" PartName="/word/footer6.xml"/>
  <Override ContentType="application/vnd.openxmlformats-officedocument.wordprocessingml.header+xml" PartName="/word/header6.xml"/>
  <Override ContentType="application/vnd.openxmlformats-officedocument.wordprocessingml.footer+xml" PartName="/word/footer7.xml"/>
  <Override ContentType="application/vnd.openxmlformats-officedocument.wordprocessingml.header+xml" PartName="/word/header7.xml"/>
  <Override ContentType="application/vnd.openxmlformats-officedocument.wordprocessingml.footer+xml" PartName="/word/footer8.xml"/>
  <Override ContentType="application/vnd.openxmlformats-officedocument.wordprocessingml.header+xml" PartName="/word/header8.xml"/>
  <Override ContentType="application/vnd.openxmlformats-officedocument.wordprocessingml.footer+xml" PartName="/word/footer9.xml"/>
  <Override ContentType="application/vnd.openxmlformats-officedocument.wordprocessingml.header+xml" PartName="/word/header9.xml"/>
  <Override ContentType="application/vnd.openxmlformats-officedocument.wordprocessingml.footer+xml" PartName="/word/footer10.xml"/>
  <Override ContentType="application/vnd.openxmlformats-officedocument.wordprocessingml.header+xml" PartName="/word/header10.xml"/>
  <Override ContentType="application/vnd.openxmlformats-officedocument.wordprocessingml.footer+xml" PartName="/word/footer11.xml"/>
  <Override ContentType="application/vnd.openxmlformats-officedocument.wordprocessingml.header+xml" PartName="/word/header11.xml"/>
  <Override ContentType="application/vnd.openxmlformats-officedocument.wordprocessingml.footer+xml" PartName="/word/footer12.xml"/>
  <Override ContentType="application/vnd.openxmlformats-officedocument.wordprocessingml.header+xml" PartName="/word/header12.xml"/>
  <Override ContentType="application/vnd.openxmlformats-officedocument.wordprocessingml.footer+xml" PartName="/word/footer13.xml"/>
  <Override ContentType="application/vnd.openxmlformats-officedocument.wordprocessingml.header+xml" PartName="/word/header13.xml"/>
  <Override ContentType="application/vnd.openxmlformats-officedocument.wordprocessingml.footer+xml" PartName="/word/footer14.xml"/>
  <Override ContentType="application/vnd.openxmlformats-officedocument.wordprocessingml.header+xml" PartName="/word/header14.xml"/>
  <Override ContentType="application/vnd.openxmlformats-officedocument.wordprocessingml.footer+xml" PartName="/word/footer15.xml"/>
  <Override ContentType="application/vnd.openxmlformats-officedocument.wordprocessingml.header+xml" PartName="/word/header15.xml"/>
  <Override ContentType="application/vnd.openxmlformats-officedocument.wordprocessingml.footer+xml" PartName="/word/footer16.xml"/>
  <Override ContentType="application/vnd.openxmlformats-officedocument.wordprocessingml.header+xml" PartName="/word/header16.xml"/>
  <Override ContentType="application/vnd.openxmlformats-officedocument.wordprocessingml.footer+xml" PartName="/word/footer17.xml"/>
  <Override ContentType="application/vnd.openxmlformats-officedocument.wordprocessingml.header+xml" PartName="/word/header17.xml"/>
  <Override ContentType="application/vnd.openxmlformats-officedocument.wordprocessingml.footer+xml" PartName="/word/footer1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03455" w:val="clear"/>
        <w:spacing w:after="120" w:before="0"/>
        <w:jc w:val="left"/>
      </w:pPr>
      <w:r>
        <w:rPr>
          <w:rFonts w:ascii="Roboto" w:cs="Roboto" w:eastAsia="Roboto" w:hAnsi="Roboto"/>
          <w:b w:val="false"/>
          <w:bCs w:val="false"/>
          <w:i w:val="false"/>
          <w:iCs w:val="false"/>
          <w:color w:val="212121"/>
          <w:sz w:val="16"/>
          <w:szCs w:val="16"/>
        </w:rPr>
        <w:t xml:space="preserve"/>
      </w:r>
    </w:p>
    <w:p>
      <w:pPr>
        <w:spacing w:after="260" w:before="180"/>
        <w:jc w:val="left"/>
      </w:pPr>
      <w:r>
        <w:rPr>
          <w:rFonts w:ascii="Arial" w:cs="Arial" w:eastAsia="Arial" w:hAnsi="Arial"/>
          <w:b w:val="false"/>
          <w:bCs w:val="false"/>
          <w:i w:val="false"/>
          <w:iCs w:val="false"/>
          <w:color w:val="202020"/>
          <w:sz w:val="58"/>
          <w:szCs w:val="58"/>
        </w:rPr>
        <w:t xml:space="preserve">Uninodue</w:t>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780" w:hRule="exact"/>
        </w:trPr>
        <w:tc>
          <w:tcPr>
            <w:tcW w:type="dxa" w:w="6500"/>
            <w:tcBorders>
              <w:top w:val="none" w:color="FFFFFF" w:sz="0"/>
              <w:left w:val="none" w:color="FFFFFF" w:sz="0"/>
              <w:bottom w:val="none" w:color="FFFFFF" w:sz="0"/>
              <w:right w:val="none" w:color="FFFFFF" w:sz="0"/>
            </w:tcBorders>
            <w:tcMar>
              <w:top w:type="dxa" w:w="0"/>
              <w:left w:type="dxa" w:w="0"/>
              <w:bottom w:type="dxa" w:w="0"/>
              <w:right w:type="dxa" w:w="120"/>
            </w:tcMar>
            <w:vAlign w:val="bottom"/>
          </w:tcPr>
          <w:p>
            <w:pPr>
              <w:spacing w:after="30" w:before="0"/>
              <w:jc w:val="left"/>
            </w:pPr>
            <w:r>
              <w:rPr>
                <w:rFonts w:ascii="Roboto" w:cs="Roboto" w:eastAsia="Roboto" w:hAnsi="Roboto"/>
                <w:b w:val="false"/>
                <w:bCs w:val="false"/>
                <w:i w:val="false"/>
                <w:iCs w:val="false"/>
                <w:color w:val="103455"/>
                <w:sz w:val="15"/>
                <w:szCs w:val="15"/>
              </w:rPr>
              <w:t xml:space="preserve">United States | Internet &amp; Media — Global Streaming</w:t>
            </w:r>
          </w:p>
          <w:p>
            <w:pPr>
              <w:spacing w:after="0" w:before="0"/>
              <w:jc w:val="left"/>
            </w:pPr>
            <w:r>
              <w:rPr>
                <w:rFonts w:ascii="Roboto" w:cs="Roboto" w:eastAsia="Roboto" w:hAnsi="Roboto"/>
                <w:b w:val="false"/>
                <w:bCs w:val="false"/>
                <w:i w:val="false"/>
                <w:iCs w:val="false"/>
                <w:color w:val="0084BF"/>
                <w:sz w:val="30"/>
                <w:szCs w:val="30"/>
              </w:rPr>
              <w:t xml:space="preserve">Netflix, Inc.</w:t>
            </w:r>
          </w:p>
        </w:tc>
        <w:tc>
          <w:tcPr>
            <w:tcW w:type="dxa" w:w="3478"/>
            <w:tcBorders>
              <w:top w:val="none" w:color="FFFFFF" w:sz="0"/>
              <w:left w:val="none" w:color="FFFFFF" w:sz="0"/>
              <w:bottom w:val="none" w:color="FFFFFF" w:sz="0"/>
              <w:right w:val="none" w:color="FFFFFF" w:sz="0"/>
            </w:tcBorders>
            <w:tcMar>
              <w:top w:type="dxa" w:w="0"/>
              <w:left w:type="dxa" w:w="120"/>
              <w:bottom w:type="dxa" w:w="0"/>
              <w:right w:type="dxa" w:w="0"/>
            </w:tcMar>
            <w:vAlign w:val="bottom"/>
          </w:tcPr>
          <w:p>
            <w:pPr>
              <w:spacing w:after="30" w:before="0"/>
              <w:jc w:val="right"/>
            </w:pPr>
            <w:r>
              <w:rPr>
                <w:rFonts w:ascii="Roboto" w:cs="Roboto" w:eastAsia="Roboto" w:hAnsi="Roboto"/>
                <w:b/>
                <w:bCs/>
                <w:i w:val="false"/>
                <w:iCs w:val="false"/>
                <w:color w:val="103455"/>
                <w:sz w:val="15"/>
                <w:szCs w:val="15"/>
              </w:rPr>
              <w:t xml:space="preserve">Equity Research — Analyst Q&amp;A</w:t>
            </w:r>
          </w:p>
          <w:p>
            <w:pPr>
              <w:spacing w:after="0" w:before="0"/>
              <w:jc w:val="right"/>
            </w:pPr>
            <w:r>
              <w:rPr>
                <w:rFonts w:ascii="Roboto" w:cs="Roboto" w:eastAsia="Roboto" w:hAnsi="Roboto"/>
                <w:b w:val="false"/>
                <w:bCs w:val="false"/>
                <w:i w:val="false"/>
                <w:iCs w:val="false"/>
                <w:color w:val="103455"/>
                <w:sz w:val="15"/>
                <w:szCs w:val="15"/>
              </w:rPr>
              <w:t xml:space="preserve">April 24, 2026</w:t>
            </w:r>
          </w:p>
        </w:tc>
      </w:tr>
    </w:tbl>
    <w:p>
      <w:pPr>
        <w:pBdr>
          <w:bottom w:val="single" w:color="87919C" w:sz="4" w:space="1"/>
        </w:pBdr>
        <w:spacing w:after="120" w:before="0" w:line="1"/>
        <w:jc w:val="left"/>
      </w:pPr>
      <w:r>
        <w:rPr>
          <w:rFonts w:ascii="Roboto" w:cs="Roboto" w:eastAsia="Roboto" w:hAnsi="Roboto"/>
          <w:b w:val="false"/>
          <w:bCs w:val="false"/>
          <w:i w:val="false"/>
          <w:iCs w:val="false"/>
          <w:color w:val="212121"/>
          <w:sz w:val="1"/>
          <w:szCs w:val="1"/>
        </w:rPr>
        <w:t xml:space="preserve"/>
      </w:r>
    </w:p>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6500"/>
        <w:gridCol w:w="3478"/>
      </w:tblGrid>
      <w:tr>
        <w:trPr>
          <w:trHeight w:val="11200" w:hRule="atLeast"/>
        </w:trPr>
        <w:tc>
          <w:tcPr>
            <w:tcW w:type="dxa" w:w="6500"/>
            <w:tcBorders>
              <w:top w:val="none" w:color="FFFFFF" w:sz="0"/>
              <w:left w:val="none" w:color="FFFFFF" w:sz="0"/>
              <w:bottom w:val="none" w:color="FFFFFF" w:sz="0"/>
              <w:right w:val="none" w:color="FFFFFF" w:sz="0"/>
            </w:tcBorders>
            <w:tcMar>
              <w:top w:type="dxa" w:w="0"/>
              <w:left w:type="dxa" w:w="0"/>
              <w:bottom w:type="dxa" w:w="0"/>
              <w:right w:type="dxa" w:w="240"/>
            </w:tcMar>
            <w:vAlign w:val="top"/>
          </w:tcPr>
          <w:p>
            <w:pPr>
              <w:spacing w:after="80" w:before="0" w:line="340"/>
              <w:jc w:val="left"/>
            </w:pPr>
            <w:r>
              <w:rPr>
                <w:rFonts w:ascii="Roboto" w:cs="Roboto" w:eastAsia="Roboto" w:hAnsi="Roboto"/>
                <w:b w:val="false"/>
                <w:bCs w:val="false"/>
                <w:i w:val="false"/>
                <w:iCs w:val="false"/>
                <w:color w:val="103455"/>
                <w:sz w:val="32"/>
                <w:szCs w:val="32"/>
              </w:rPr>
              <w:t xml:space="preserve">Netflix, Inc. (NFLX): PM Priority Questions — Analyst Responses</w:t>
            </w:r>
          </w:p>
          <w:p>
            <w:pPr>
              <w:spacing w:after="220" w:before="120" w:line="280"/>
              <w:jc w:val="left"/>
            </w:pPr>
            <w:r>
              <w:rPr>
                <w:rFonts w:ascii="Roboto" w:cs="Roboto" w:eastAsia="Roboto" w:hAnsi="Roboto"/>
                <w:b w:val="false"/>
                <w:bCs w:val="false"/>
                <w:i w:val="false"/>
                <w:iCs w:val="false"/>
                <w:color w:val="212121"/>
                <w:sz w:val="20"/>
                <w:szCs w:val="20"/>
              </w:rPr>
              <w:t xml:space="preserve">This companion document answers the seventeen priority questions raised by the portfolio manager on Netflix, Inc. (NFLX). It is a standalone Q&amp;A deliverable that complements but does not duplicate the initiating-coverage report (Netflix_final_research_V2) or the hedge-fund memo (Netflix_HF_Investment_Case_V2). Each question is answered with four structured blocks: (i) the sell-side consensus view, (ii) our analytical view written as institutional prose, (iii) traceable numeric evidence from the M1 to M11 research notes and the FY2025 10-K / Q1 2026 10-Q snapshot, and (iv) an honest disclosure of where evidence is thin or management-guidance-reliant. Every numeric data point in this document is cross-referenced to a specific note (M1 to M11), the IC report V2 synthesis, or raw yfinance / Capital IQ data. No figures have been invented or extrapolated. Where the source notes explicitly flagged data gaps (for example the Japanese local-ecosystem detail in M4.4 or the EU DSA and India IT Rules 2021 regulatory items in M4.6), we mark the sub-block accordingly rather than fabricating depth. Stock price and valuation metrics throughout reflect post-split levels (10-for-1 stock split effective November 17, 2025): closing price of $92.82, market cap of $391 billion, and FY26 forward PE of 24 times.</w:t>
            </w:r>
          </w:p>
        </w:tc>
        <w:tc>
          <w:tcPr>
            <w:tcW w:type="dxa" w:w="3478"/>
            <w:tcBorders>
              <w:top w:val="none" w:color="FFFFFF" w:sz="0"/>
              <w:left w:val="none" w:color="FFFFFF" w:sz="0"/>
              <w:bottom w:val="none" w:color="FFFFFF" w:sz="0"/>
              <w:right w:val="none" w:color="FFFFFF" w:sz="0"/>
            </w:tcBorders>
            <w:tcMar>
              <w:top w:type="dxa" w:w="0"/>
              <w:left w:type="dxa" w:w="180"/>
              <w:bottom w:type="dxa" w:w="0"/>
              <w:right w:type="dxa" w:w="0"/>
            </w:tcMar>
            <w:vAlign w:val="top"/>
          </w:tcPr>
          <w:tbl>
            <w:tblPr>
              <w:tblW w:type="dxa" w:w="299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
              <w:gridCol w:w="1410"/>
              <w:gridCol w:w="1400"/>
            </w:tblGrid>
            <w:tr>
              <w:tc>
                <w:tcPr>
                  <w:tcW w:type="dxa" w:w="180"/>
                  <w:tcBorders>
                    <w:top w:val="none" w:color="FFFFFF" w:sz="0"/>
                    <w:left w:val="none" w:color="FFFFFF" w:sz="0"/>
                    <w:bottom w:val="none" w:color="FFFFFF" w:sz="0"/>
                    <w:right w:val="none" w:color="FFFFFF" w:sz="0"/>
                  </w:tcBorders>
                  <w:shd w:fill="0084BF" w:val="clear"/>
                  <w:tcMar>
                    <w:top w:type="dxa" w:w="60"/>
                    <w:left w:type="dxa" w:w="80"/>
                    <w:bottom w:type="dxa" w:w="60"/>
                    <w:right w:type="dxa" w:w="80"/>
                  </w:tcMar>
                  <w:vAlign w:val="top"/>
                </w:tcPr>
                <w:p>
                  <w:pPr>
                    <w:shd w:fill="0084BF" w:val="clear"/>
                    <w:spacing w:after="0" w:before="0"/>
                    <w:jc w:val="left"/>
                  </w:pPr>
                  <w:r>
                    <w:rPr>
                      <w:rFonts w:ascii="Roboto" w:cs="Roboto" w:eastAsia="Roboto" w:hAnsi="Roboto"/>
                      <w:b w:val="false"/>
                      <w:bCs w:val="false"/>
                      <w:i w:val="false"/>
                      <w:iCs w:val="false"/>
                      <w:color w:val="212121"/>
                      <w:sz w:val="16"/>
                      <w:szCs w:val="16"/>
                    </w:rPr>
                    <w:t xml:space="preserve"/>
                  </w:r>
                </w:p>
              </w:tc>
              <w:tc>
                <w:tcPr>
                  <w:tcW w:type="dxa" w:w="2810"/>
                  <w:gridSpan w:val="2"/>
                  <w:tcBorders>
                    <w:top w:val="none" w:color="FFFFFF" w:sz="0"/>
                    <w:left w:val="none" w:color="FFFFFF" w:sz="0"/>
                    <w:bottom w:val="single" w:color="0084BF" w:sz="4"/>
                    <w:right w:val="none" w:color="FFFFFF" w:sz="0"/>
                  </w:tcBorders>
                  <w:tcMar>
                    <w:top w:type="dxa" w:w="60"/>
                    <w:left w:type="dxa" w:w="80"/>
                    <w:bottom w:type="dxa" w:w="60"/>
                    <w:right w:type="dxa" w:w="80"/>
                  </w:tcMar>
                  <w:vAlign w:val="top"/>
                </w:tcPr>
                <w:p>
                  <w:pPr>
                    <w:spacing w:after="0" w:before="0"/>
                    <w:jc w:val="left"/>
                  </w:pPr>
                  <w:r>
                    <w:rPr>
                      <w:rFonts w:ascii="Roboto" w:cs="Roboto" w:eastAsia="Roboto" w:hAnsi="Roboto"/>
                      <w:b/>
                      <w:bCs/>
                      <w:i w:val="false"/>
                      <w:iCs w:val="false"/>
                      <w:color w:val="103455"/>
                      <w:sz w:val="13"/>
                      <w:szCs w:val="13"/>
                    </w:rPr>
                    <w:t xml:space="preserve">ANALYST Q&amp;A</w:t>
                  </w:r>
                </w:p>
              </w:tc>
            </w:tr>
            <w:tr>
              <w:tc>
                <w:tcPr>
                  <w:tcW w:type="dxa" w:w="1590"/>
                  <w:gridSpan w:val="2"/>
                  <w:tcBorders>
                    <w:top w:val="none" w:color="FFFFFF" w:sz="0"/>
                    <w:left w:val="none" w:color="FFFFFF" w:sz="0"/>
                    <w:bottom w:val="single" w:color="87919C" w:sz="4"/>
                    <w:right w:val="none" w:color="FFFFFF" w:sz="0"/>
                  </w:tcBorders>
                  <w:shd w:fill="C9EEF3" w:val="clear"/>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RATING</w:t>
                  </w:r>
                </w:p>
              </w:tc>
              <w:tc>
                <w:tcPr>
                  <w:tcW w:type="dxa" w:w="1400"/>
                  <w:tcBorders>
                    <w:top w:val="none" w:color="FFFFFF" w:sz="0"/>
                    <w:left w:val="none" w:color="FFFFFF" w:sz="0"/>
                    <w:bottom w:val="single" w:color="87919C" w:sz="4"/>
                    <w:right w:val="none" w:color="FFFFFF" w:sz="0"/>
                  </w:tcBorders>
                  <w:shd w:fill="C9EEF3" w:val="clear"/>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BUY</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$92.82 (post-split)</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PRICE TARGET</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$120 | +29%</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52W HIGH-LOW</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$134.12 - $75.01</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FY26E P/E</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24x fwd</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MARKET CAP</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$391B</w:t>
                  </w:r>
                </w:p>
              </w:tc>
            </w:tr>
            <w:tr>
              <w:tc>
                <w:tcPr>
                  <w:tcW w:type="dxa" w:w="1590"/>
                  <w:gridSpan w:val="2"/>
                  <w:tcBorders>
                    <w:top w:val="none" w:color="FFFFFF" w:sz="0"/>
                    <w:left w:val="none" w:color="FFFFFF" w:sz="0"/>
                    <w:bottom w:val="single" w:color="87919C" w:sz="4"/>
                    <w:right w:val="none" w:color="FFFFFF" w:sz="0"/>
                  </w:tcBorders>
                  <w:tcMar>
                    <w:top w:type="dxa" w:w="86"/>
                    <w:left w:type="dxa" w:w="120"/>
                    <w:bottom w:type="dxa" w:w="86"/>
                    <w:right w:type="dxa" w:w="80"/>
                  </w:tcMar>
                  <w:vAlign w:val="top"/>
                </w:tcPr>
                <w:p>
                  <w:pPr>
                    <w:spacing w:after="0" w:before="0"/>
                    <w:jc w:val="left"/>
                  </w:pPr>
                  <w:r>
                    <w:rPr>
                      <w:rFonts w:ascii="Roboto" w:cs="Roboto" w:eastAsia="Roboto" w:hAnsi="Roboto"/>
                      <w:b w:val="false"/>
                      <w:bCs w:val="false"/>
                      <w:i w:val="false"/>
                      <w:iCs w:val="false"/>
                      <w:color w:val="212121"/>
                      <w:sz w:val="11"/>
                      <w:szCs w:val="11"/>
                    </w:rPr>
                    <w:t xml:space="preserve">TICKER</w:t>
                  </w:r>
                </w:p>
              </w:tc>
              <w:tc>
                <w:tcPr>
                  <w:tcW w:type="dxa" w:w="1400"/>
                  <w:tcBorders>
                    <w:top w:val="none" w:color="FFFFFF" w:sz="0"/>
                    <w:left w:val="none" w:color="FFFFFF" w:sz="0"/>
                    <w:bottom w:val="single" w:color="87919C" w:sz="4"/>
                    <w:right w:val="none" w:color="FFFFFF" w:sz="0"/>
                  </w:tcBorders>
                  <w:tcMar>
                    <w:top w:type="dxa" w:w="86"/>
                    <w:left w:type="dxa" w:w="80"/>
                    <w:bottom w:type="dxa" w:w="86"/>
                    <w:right w:type="dxa" w:w="120"/>
                  </w:tcMar>
                  <w:vAlign w:val="top"/>
                </w:tcPr>
                <w:p>
                  <w:pPr>
                    <w:spacing w:after="0" w:before="0"/>
                    <w:jc w:val="left"/>
                  </w:pPr>
                  <w:r>
                    <w:rPr>
                      <w:rFonts w:ascii="Roboto" w:cs="Roboto" w:eastAsia="Roboto" w:hAnsi="Roboto"/>
                      <w:b/>
                      <w:bCs/>
                      <w:i w:val="false"/>
                      <w:iCs w:val="false"/>
                      <w:color w:val="000000"/>
                      <w:sz w:val="12"/>
                      <w:szCs w:val="12"/>
                    </w:rPr>
                    <w:t xml:space="preserve">NFLX</w:t>
                  </w:r>
                </w:p>
              </w:tc>
            </w:tr>
            <w:tr>
              <w:tc>
                <w:tcPr>
                  <w:tcW w:type="dxa" w:w="2990"/>
                  <w:gridSpan w:val="3"/>
                  <w:tcBorders>
                    <w:top w:val="none" w:color="FFFFFF" w:sz="0"/>
                    <w:left w:val="none" w:color="FFFFFF" w:sz="0"/>
                    <w:bottom w:val="none" w:color="FFFFFF" w:sz="0"/>
                    <w:right w:val="none" w:color="FFFFFF" w:sz="0"/>
                  </w:tcBorders>
                  <w:tcMar>
                    <w:top w:type="dxa" w:w="60"/>
                    <w:left w:type="dxa" w:w="120"/>
                    <w:bottom w:type="dxa" w:w="60"/>
                    <w:right w:type="dxa" w:w="120"/>
                  </w:tcMar>
                  <w:vAlign w:val="top"/>
                </w:tcPr>
                <w:p>
                  <w:pPr>
                    <w:spacing w:after="0" w:before="20"/>
                    <w:jc w:val="left"/>
                  </w:pPr>
                  <w:r>
                    <w:rPr>
                      <w:rFonts w:ascii="Roboto" w:cs="Roboto" w:eastAsia="Roboto" w:hAnsi="Roboto"/>
                      <w:b w:val="false"/>
                      <w:bCs w:val="false"/>
                      <w:i w:val="false"/>
                      <w:iCs w:val="false"/>
                      <w:color w:val="444444"/>
                      <w:sz w:val="11"/>
                      <w:szCs w:val="11"/>
                    </w:rPr>
                    <w:t xml:space="preserve">^Stock split 10-for-1 effective Nov 17, 2025. Post-split basis used throughout.</w:t>
                  </w:r>
                </w:p>
              </w:tc>
            </w:tr>
          </w:tbl>
          <w:p>
            <w:pPr>
              <w:spacing w:after="0" w:before="260"/>
            </w:pPr>
            <w:r>
              <w:rPr>
                <w:rFonts w:ascii="Roboto" w:cs="Roboto" w:eastAsia="Roboto" w:hAnsi="Roboto"/>
                <w:b w:val="false"/>
                <w:bCs w:val="false"/>
                <w:i w:val="false"/>
                <w:iCs w:val="false"/>
                <w:color w:val="212121"/>
                <w:sz w:val="2"/>
                <w:szCs w:val="2"/>
              </w:rPr>
              <w:t xml:space="preserve"/>
            </w:r>
          </w:p>
          <w:p>
            <w:pPr>
              <w:spacing w:after="20" w:before="100"/>
              <w:jc w:val="left"/>
            </w:pPr>
            <w:r>
              <w:rPr>
                <w:rFonts w:ascii="Roboto" w:cs="Roboto" w:eastAsia="Roboto" w:hAnsi="Roboto"/>
                <w:b/>
                <w:bCs/>
                <w:i w:val="false"/>
                <w:iCs w:val="false"/>
                <w:color w:val="0084BF"/>
                <w:sz w:val="14"/>
                <w:szCs w:val="14"/>
              </w:rPr>
              <w:t xml:space="preserve">Orchid Asia Research  | Global Internet/Media Analyst</w:t>
            </w:r>
          </w:p>
          <w:p>
            <w:pPr>
              <w:spacing w:after="30" w:before="0"/>
              <w:jc w:val="left"/>
            </w:pPr>
            <w:r>
              <w:rPr>
                <w:rFonts w:ascii="Roboto" w:cs="Roboto" w:eastAsia="Roboto" w:hAnsi="Roboto"/>
                <w:b w:val="false"/>
                <w:bCs w:val="false"/>
                <w:i w:val="false"/>
                <w:iCs w:val="false"/>
                <w:color w:val="103455"/>
                <w:sz w:val="11"/>
                <w:szCs w:val="11"/>
              </w:rPr>
              <w:t xml:space="preserve">research@orchidasia.com</w:t>
            </w:r>
          </w:p>
        </w:tc>
      </w:tr>
    </w:tbl>
    <w:p>
      <w:pPr>
        <w:sectPr>
          <w:footerReference w:type="default" r:id="rId7"/>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Q1. AI Impact on Netflix — Bull versus Bear, Including KPop Demon Hunters</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treats AI as a neutral-to-positive operational tool for Netflix — an efficiency lever on VFX, marketing and personalization, not a threat to the content moat. Most sell-side analysts model no direct margin impact in 2026-2027 and stay silent on the longer-term democratization question.</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Our view is that AI is structurally asymmetric for Netflix: in the near term (through roughly 2027) it is unambiguously bullish as a force multiplier on production and personalization; in the 2028 to 2031 window it bifurcates into a genuine long-tail risk at the short-form / user-generated end of the attention market and a continuing tailwind at the premium long-form end where Netflix dominates. The bull case rests on three concrete operational wins already visible. First, Netflix has embedded generative AI into VFX and production — the Argentine Netflix series El Eternaut used AI-driven VFX to deliver a Buenos Aires building-collapse sequence roughly ten times faster than traditional pipelines, and this was the first time final-frame generative AI output appeared in a Netflix original (M11). Second, Netflix closed its acquisition of InterPositive, a GenAI firm built for film-makers, in Q1 2026 (M6.2, M11) and is rolling AI into previsualization, set references, shot planning and digital de-aging. Third, the Ads Suite pipeline is now AI-native: the modular interactive video ad template launching globally in Q2 2026 uses generative tools to match creative to show context, and conversational-search prototypes are live in testing (M6.2, M11).</w:t>
      </w:r>
    </w:p>
    <w:p>
      <w:pPr>
        <w:spacing w:after="90" w:before="0" w:line="280"/>
        <w:jc w:val="left"/>
      </w:pPr>
      <w:r>
        <w:rPr>
          <w:rFonts w:ascii="Roboto" w:cs="Roboto" w:eastAsia="Roboto" w:hAnsi="Roboto"/>
          <w:b w:val="false"/>
          <w:bCs w:val="false"/>
          <w:i w:val="false"/>
          <w:iCs w:val="false"/>
          <w:color w:val="212121"/>
          <w:sz w:val="20"/>
          <w:szCs w:val="20"/>
        </w:rPr>
        <w:t xml:space="preserve">KPop Demon Hunters — the case study the PM asked us to interrogate — is the single most informative data point in the Netflix-AI debate, because it was produced before AI democratization meaningfully arrived and it still became Netflix's most-watched original animated film with over 236 million views. The content-production architecture is worth examining: the film is a Korean-pop, Korean-culture property, directed by a Korean-Canadian creator, executed by a Japanese animation studio, and distributed on Netflix's global subscriber base of 325 million households (M4.4, M11 describe the cross-border production chain; M3.1 notes its single-title contribution of over 500 million hours in Q3 2025). That configuration — a Western platform acting as financier / global distributor, Asian studios providing production capacity, a local creative acting as auteur — is exactly the glocal production model that becomes more valuable, not less, when AI cuts the cost of the animation/VFX layer. The studio moat shifts from pixel-level craft to taste, casting, financing risk tolerance and a thousand-person data-and-creator network.</w:t>
      </w:r>
    </w:p>
    <w:p>
      <w:pPr>
        <w:spacing w:after="90" w:before="0" w:line="280"/>
        <w:jc w:val="left"/>
      </w:pPr>
      <w:r>
        <w:rPr>
          <w:rFonts w:ascii="Roboto" w:cs="Roboto" w:eastAsia="Roboto" w:hAnsi="Roboto"/>
          <w:b w:val="false"/>
          <w:bCs w:val="false"/>
          <w:i w:val="false"/>
          <w:iCs w:val="false"/>
          <w:color w:val="212121"/>
          <w:sz w:val="20"/>
          <w:szCs w:val="20"/>
        </w:rPr>
        <w:t xml:space="preserve">What changes if AI lowers content-production barriers broadly? Two things. First, the aggregate supply of watchable content explodes, so the scarcity premium shifts upward in the stack — from 'can you produce it' to 'can you get 100 million people to watch it together'. Netflix's co-CEO Ted Sarandos has framed this explicitly: '10 percent better content is worth more than 50 percent cheaper content' (M11). This is the zeitgeist-capture moat, and it aligns with Netflix's live-event strategy (Tyson-Paul drew 108 million; NFL Christmas averaged 30 to 31 million AMA; WBC Japan drew 31.4 million). Second, the short-form / UGC end of the market — TikTok, YouTube Shorts, Reels, Sora-class AI tools — absorbs the cheap-to-produce supply and becomes a real substitute for incremental user minutes. The bear case therefore is not that AI builds a Netflix killer from scratch; it is that AI-empowered UGC platforms (which already out-scale Netflix on Nielsen's Gauge, with YouTube running roughly 50 percent more US CTV hours than Netflix per M4.2 and M4.5) compound their attention-share lead at Netflix's expense. Our net read: near-term bullish on margins (VFX and marketing savings plus Ads Suite creative automation), medium-term neutral on subs (the KPop Demon Hunters template scales), long-term mixed on engagement share (TikTok / Shorts / microdrama apps like DramaBox and ReelShort are the genuine threat).</w:t>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AI production milestones (M11): El Eternaut VFX sequence completed 10x faster than traditional pipeline; first final-frame generative AI in a Netflix original. InterPositive GenAI acquisition closed Q1 2026 (M6.2).</w:t>
      </w:r>
    </w:p>
    <w:p>
      <w:pPr>
        <w:spacing w:after="90" w:before="0" w:line="280"/>
        <w:jc w:val="left"/>
      </w:pPr>
      <w:r>
        <w:rPr>
          <w:rFonts w:ascii="Roboto" w:cs="Roboto" w:eastAsia="Roboto" w:hAnsi="Roboto"/>
          <w:b w:val="false"/>
          <w:bCs w:val="false"/>
          <w:i w:val="false"/>
          <w:iCs w:val="false"/>
          <w:color w:val="212121"/>
          <w:sz w:val="20"/>
          <w:szCs w:val="20"/>
        </w:rPr>
        <w:t xml:space="preserve">KPop Demon Hunters engagement (M3.1): single-title contribution over 500 million hours in Q3 2025; most-watched Netflix animated film; produced by a Japanese animation studio with Korean-Canadian direction and Korean-pop IP, distributed globally (M4.4, M11).</w:t>
      </w:r>
    </w:p>
    <w:p>
      <w:pPr>
        <w:spacing w:after="90" w:before="0" w:line="280"/>
        <w:jc w:val="left"/>
      </w:pPr>
      <w:r>
        <w:rPr>
          <w:rFonts w:ascii="Roboto" w:cs="Roboto" w:eastAsia="Roboto" w:hAnsi="Roboto"/>
          <w:b w:val="false"/>
          <w:bCs w:val="false"/>
          <w:i w:val="false"/>
          <w:iCs w:val="false"/>
          <w:color w:val="212121"/>
          <w:sz w:val="20"/>
          <w:szCs w:val="20"/>
        </w:rPr>
        <w:t xml:space="preserve">Short-form AI threat proxy (M4.5): DramaBox US daily user time averaged 22 minutes in August 2025, exceeding Peacock and HBO Max on mobile engagement; global short-drama app downloads doubled YoY and exceeded 50 million in August 2025.</w:t>
      </w:r>
    </w:p>
    <w:p>
      <w:pPr>
        <w:spacing w:after="90" w:before="0" w:line="280"/>
        <w:jc w:val="left"/>
      </w:pPr>
      <w:r>
        <w:rPr>
          <w:rFonts w:ascii="Roboto" w:cs="Roboto" w:eastAsia="Roboto" w:hAnsi="Roboto"/>
          <w:b w:val="false"/>
          <w:bCs w:val="false"/>
          <w:i w:val="false"/>
          <w:iCs w:val="false"/>
          <w:color w:val="212121"/>
          <w:sz w:val="20"/>
          <w:szCs w:val="20"/>
        </w:rPr>
        <w:t xml:space="preserve">Engagement-share baseline (M4.2): YouTube US CTV streaming hours approximately 50 percent higher than Netflix as of latest Nielsen Gauge; Netflix share declined from 19 percent to 15 to 16 percent between Q2 2023 and 2025.</w:t>
      </w:r>
    </w:p>
    <w:p>
      <w:pPr>
        <w:spacing w:after="90" w:before="0" w:line="280"/>
        <w:jc w:val="left"/>
      </w:pPr>
      <w:r>
        <w:rPr>
          <w:rFonts w:ascii="Roboto" w:cs="Roboto" w:eastAsia="Roboto" w:hAnsi="Roboto"/>
          <w:b w:val="false"/>
          <w:bCs w:val="false"/>
          <w:i w:val="false"/>
          <w:iCs w:val="false"/>
          <w:color w:val="212121"/>
          <w:sz w:val="20"/>
          <w:szCs w:val="20"/>
        </w:rPr>
        <w:t xml:space="preserve">Sarandos framing (M11): 10 percent better content is worth more than 50 percent cheaper content — the company's stated strategic posture against commoditization.</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Evidence on AI directly — M11 and M6.2 contain the factual AI deployment record; the KPop Demon Hunters case study as an explicit 'AI-era content production' parable is reasoned from first principles using the M4.4 glocal-production framing and M11 AI timeline, not a single source-backed narrative. The bear case quantification (AI-native UGC share gains at Netflix's expense) is directional rather than modelled — no source in the note set provides a specific minute-loss number attributable to AI-assisted short-form supply.</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Partial variant. Aligned with consensus on near-term (bullish margin impact); stronger variant on the 2028-plus attention-share risk, where consensus is under-modelling short-form AI substitution.</w:t>
      </w:r>
    </w:p>
    <w:p>
      <w:pPr>
        <w:sectPr>
          <w:headerReference w:type="default" r:id="rId8"/>
          <w:footerReference w:type="default" r:id="rId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Q2. Regional Subscription Growth and Pricing — Hike Ceiling, India / APAC Trajectory, Offset from Global Content</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accepts that UCAN pricing continues at roughly 6 to 8 percent annualized, assumes EMEA follows with a two-to-three-year lag, and models India's downward price path as a fixed cost of penetration, with no offsetting quantification. Street treats 'global content offsets local pricing pressure' as a qualitative assertion rather than a modelled bridge.</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The regional pricing picture is bimodal and deliberately so. Netflix is executing two very different playbooks in parallel: a price-harvest playbook in mature / currency-stable markets where broadband penetration is above 50 percent (UCAN, UK, Germany, Japan, Brazil, Mexico), and a penetration-first playbook in price-sensitive emerging markets where Netflix is still racing JioHotstar, Prime and ZEE5 for shelf space (India, Korea partially). Across the hike-bucket, the standard plan has compounded at roughly 7 percent in UCAN, 10 percent in the UK, 5 percent in Germany, 8 percent in Japan and about 10 percent in Brazil and Mexico over the past three years (M1.3). The de-facto hike ceiling is not a price number — it is an hourly-viewing cost relative to peers. Bernstein's work shows Netflix's Q4 2024 UCAN cost-per-hour of viewing indexed at 100, versus Disney+ at 109, Paramount+ at 113, Hulu at 140 and HBO Max at 181 (M2.2). That roughly 13 to 80 percent headroom is what the 2026 hike consumed, not eliminated, and it is what keeps the churn signal at a mere 10 basis points after each hike (M2.2) rather than the 4 to 8 percent step-ups competitors have seen.</w:t>
      </w:r>
    </w:p>
    <w:p>
      <w:pPr>
        <w:spacing w:after="90" w:before="0" w:line="280"/>
        <w:jc w:val="left"/>
      </w:pPr>
      <w:r>
        <w:rPr>
          <w:rFonts w:ascii="Roboto" w:cs="Roboto" w:eastAsia="Roboto" w:hAnsi="Roboto"/>
          <w:b w:val="false"/>
          <w:bCs w:val="false"/>
          <w:i w:val="false"/>
          <w:iCs w:val="false"/>
          <w:color w:val="212121"/>
          <w:sz w:val="20"/>
          <w:szCs w:val="20"/>
        </w:rPr>
        <w:t xml:space="preserve">Our country-level view on the next three years: UCAN can absorb roughly one more meaningful hike in 2027 and then annual 1 to 3 dollar increments thereafter — we expect standard-plan pricing to compound another 4 to 6 percent annually, below historical pace as the AVOD mix dilutes blended ARM. UK can run at 8 to 10 percent for another two years given local content depth; Germany is closer to UCAN in pace at 5 to 7 percent given a more price-sensitive broadband base. Japan and Brazil can sustain mid-to-high single-digit hikes given Netflix's engagement index. Korea and India are the two structural holdouts: Korea's pricing is governed by regulatory hand-wringing and a muscular local ecosystem, so flat-to-down is the most likely path; India is genuinely a negative price CAGR market through 2027 by management design (M1.3, M4.3). The math that makes this palatable: Bernstein's model implies 2025 UCAN blended subscription ARM grew only about 3 percent despite a 12 percent non-ad-tier standard-plan increase, because the ad tier's share of UCAN subs rose from 18 percent in 2024 to 30 percent in 2025 (M2.2). The structural ARM tailwind now has to come from ads monetization, not sticker hikes.</w:t>
      </w:r>
    </w:p>
    <w:p>
      <w:pPr>
        <w:spacing w:after="90" w:before="0" w:line="280"/>
        <w:jc w:val="left"/>
      </w:pPr>
      <w:r>
        <w:rPr>
          <w:rFonts w:ascii="Roboto" w:cs="Roboto" w:eastAsia="Roboto" w:hAnsi="Roboto"/>
          <w:b w:val="false"/>
          <w:bCs w:val="false"/>
          <w:i w:val="false"/>
          <w:iCs w:val="false"/>
          <w:color w:val="212121"/>
          <w:sz w:val="20"/>
          <w:szCs w:val="20"/>
        </w:rPr>
        <w:t xml:space="preserve">Can global content production offset hike pressure? Not in the direct sense that a KPop Demon Hunters episode lets Netflix charge another dollar in Mexico — the offset is indirect but measurable. Netflix has roughly 1,200 Japanese-language local titles, more than 800 Korean titles and just under 400 Hindi/Indian titles (M4.3, M4.4); non-English content drives approximately one third of total Netflix viewing and about one third of total net adds (M4.2). A single Korean hit like Squid Game or Culinary Class Wars creates a viral zeitgeist window that lets Netflix retain UCAN and EMEA subs at post-hike prices, because subscribers who did not explicitly sign up for Korean content are in fact consuming it. That is how the same title simultaneously defends the hike in New York and funds the penetration play in Seoul. What the global-content machine cannot do is structurally lift Indian pricing — it can only slow the rate at which India's ARM drags down APAC blended ARPU (M4.3 confirms management views APAC blended ARM decline as 'a good thing, not a bad thing' because subscriber growth more than compensates).</w:t>
      </w:r>
    </w:p>
    <w:p>
      <w:pPr>
        <w:pBdr>
          <w:top w:val="single" w:color="0084BF" w:sz="4"/>
          <w:bottom w:val="single" w:color="0084BF" w:sz="4"/>
          <w:left w:val="single" w:color="0084BF" w:sz="4"/>
          <w:right w:val="single" w:color="0084BF" w:sz="4"/>
        </w:pBdr>
        <w:shd w:fill="0084BF" w:val="clear"/>
        <w:spacing w:after="0" w:before="140" w:line="280"/>
        <w:jc w:val="left"/>
      </w:pPr>
      <w:r>
        <w:rPr>
          <w:rFonts w:ascii="Roboto" w:cs="Roboto" w:eastAsia="Roboto" w:hAnsi="Roboto"/>
          <w:b/>
          <w:bCs/>
          <w:i w:val="false"/>
          <w:iCs w:val="false"/>
          <w:color w:val="FFFFFF"/>
          <w:sz w:val="20"/>
          <w:szCs w:val="20"/>
        </w:rPr>
        <w:t xml:space="preserve">Q2 Regional Pricing Trajectory (FY2022-FY2025, Standard Plan CAGR)</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Region</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Pricing Direction</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Standard-Plan CAGR</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Note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UCAN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UCAN hiked Jan 2025 and Apr 2026; Basic tier being retired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UK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Selective 2025 hike; Basic tier retiring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Germany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 (moderate)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Hiked in 2026Q1 across several EU markets</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Japan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Recent hike landed in line with expectations (M1.3)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Brazil</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 (large)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Inflation pass-through plus demand strength</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Mexico</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Up (large)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Std ~10% / Prem ~11%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Inflation pass-through plus demand strength</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India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Down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 CAGR (2017-2024)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Basic -12% CAGR; Standard -4%; Premium -3% (M1.3)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Korea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Slightly Down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Penetration-first pricing stance</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UCAN plan pricing post-April 2026 hike (M1.2, M1.3): Basic-with-Ads $8.99 (+$1); Standard $19.99 (+$2); Premium $26.99 (+$2).</w:t>
      </w:r>
    </w:p>
    <w:p>
      <w:pPr>
        <w:spacing w:after="90" w:before="0" w:line="280"/>
        <w:jc w:val="left"/>
      </w:pPr>
      <w:r>
        <w:rPr>
          <w:rFonts w:ascii="Roboto" w:cs="Roboto" w:eastAsia="Roboto" w:hAnsi="Roboto"/>
          <w:b w:val="false"/>
          <w:bCs w:val="false"/>
          <w:i w:val="false"/>
          <w:iCs w:val="false"/>
          <w:color w:val="212121"/>
          <w:sz w:val="20"/>
          <w:szCs w:val="20"/>
        </w:rPr>
        <w:t xml:space="preserve">Regional price CAGR 2017 to 2024 (M1.3): UCAN Std +7%, Prem +9%; UK Std +10%; Germany Std +5%; Japan Std +8%; Brazil Std/Prem +10%; Mexico Prem +11%; India Basic -12%, Std -4%, Prem -3%; Korea Std approximately -2%.</w:t>
      </w:r>
    </w:p>
    <w:p>
      <w:pPr>
        <w:spacing w:after="90" w:before="0" w:line="280"/>
        <w:jc w:val="left"/>
      </w:pPr>
      <w:r>
        <w:rPr>
          <w:rFonts w:ascii="Roboto" w:cs="Roboto" w:eastAsia="Roboto" w:hAnsi="Roboto"/>
          <w:b w:val="false"/>
          <w:bCs w:val="false"/>
          <w:i w:val="false"/>
          <w:iCs w:val="false"/>
          <w:color w:val="212121"/>
          <w:sz w:val="20"/>
          <w:szCs w:val="20"/>
        </w:rPr>
        <w:t xml:space="preserve">Churn elasticity post-hike (M2.2): US estimated churn rose ~10 basis points; Canada flat; Netflix total churn remained approximately 2%, best-in-class.</w:t>
      </w:r>
    </w:p>
    <w:p>
      <w:pPr>
        <w:spacing w:after="90" w:before="0" w:line="280"/>
        <w:jc w:val="left"/>
      </w:pPr>
      <w:r>
        <w:rPr>
          <w:rFonts w:ascii="Roboto" w:cs="Roboto" w:eastAsia="Roboto" w:hAnsi="Roboto"/>
          <w:b w:val="false"/>
          <w:bCs w:val="false"/>
          <w:i w:val="false"/>
          <w:iCs w:val="false"/>
          <w:color w:val="212121"/>
          <w:sz w:val="20"/>
          <w:szCs w:val="20"/>
        </w:rPr>
        <w:t xml:space="preserve">UCAN ARM mechanics 2025 (M2.2): non-ad-tier standard subscription ARM +12% YoY; ad-tier share rose from 18% to 30% of UCAN subs; blended ARM grew only approximately 3%.</w:t>
      </w:r>
    </w:p>
    <w:p>
      <w:pPr>
        <w:spacing w:after="90" w:before="0" w:line="280"/>
        <w:jc w:val="left"/>
      </w:pPr>
      <w:r>
        <w:rPr>
          <w:rFonts w:ascii="Roboto" w:cs="Roboto" w:eastAsia="Roboto" w:hAnsi="Roboto"/>
          <w:b w:val="false"/>
          <w:bCs w:val="false"/>
          <w:i w:val="false"/>
          <w:iCs w:val="false"/>
          <w:color w:val="212121"/>
          <w:sz w:val="20"/>
          <w:szCs w:val="20"/>
        </w:rPr>
        <w:t xml:space="preserve">Cost-per-hour of viewing benchmarks Q4 2024, UCAN, indexed to Netflix = 100 (M2.2): Disney+ 109, Paramount+ 113, Hulu 140, Max 181.</w:t>
      </w:r>
    </w:p>
    <w:p>
      <w:pPr>
        <w:spacing w:after="90" w:before="0" w:line="280"/>
        <w:jc w:val="left"/>
      </w:pPr>
      <w:r>
        <w:rPr>
          <w:rFonts w:ascii="Roboto" w:cs="Roboto" w:eastAsia="Roboto" w:hAnsi="Roboto"/>
          <w:b w:val="false"/>
          <w:bCs w:val="false"/>
          <w:i w:val="false"/>
          <w:iCs w:val="false"/>
          <w:color w:val="212121"/>
          <w:sz w:val="20"/>
          <w:szCs w:val="20"/>
        </w:rPr>
        <w:t xml:space="preserve">Non-English content share (M4.2): approximately one-third of global viewing; non-English titles contribute approximately 10 million net adds per quarter versus Disney / Warner Bros. Discovery combined below 1 million.</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Country-level ARPU 2026 projections are our estimates derived from M1.3 pricing CAGR combined with M2.1 regional ARM anchors; management does not disclose forward country pricing explicitly. The 'hike ceiling' framing is analytical, not source-numbered — Netflix management has never published an internal ceiling.</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Partial variant. Consensus on hike mechanics; stronger variant on EMEA / Japan still having multi-year pricing runway (we see 3 more years of mid-single-digit hikes in those markets) and more explicit recognition that AVOD mix, not sticker price, is the real 2026 to 2028 ARM driver.</w:t>
      </w:r>
    </w:p>
    <w:p>
      <w:pPr>
        <w:sectPr>
          <w:headerReference w:type="default" r:id="rId10"/>
          <w:footerReference w:type="default" r:id="rId11"/>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Q3. Regional Business Logic — Lifecycle Stage, Competitive Landscape and Expansion Bottleneck</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groups regions coarsely into 'UCAN mature, EMEA mid-cycle, APAC / LATAM growth' and treats Netflix's playbook as uniform — content investment plus pricing capture. Street rarely differentiates Germany from the UK or Japan from India, and typically misses the structural differences in local-ecosystem maturity.</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We differentiate five markets along two axes: broadband-household penetration and Netflix's share within broadband. UCAN sits at above 60 percent broadband penetration with Netflix above 55 percent household share; it is unambiguously a retention-and-pricing market, explicitly described by management as such, and the binding bottleneck is not new users — it is hourly engagement versus YouTube CTV and Disney+/Hulu/ESPN+ bundle competition (M2.3, M4.1). UK is at similar broadband depth but Netflix still leads with Prime Video at roughly 85 percent of Netflix's use, Disney+ at 57 percent and Paramount+ at a distant 22 percent (M4.1); we treat UK as late-innings mature, two to three years behind UCAN, with another mid-single-digit pricing cycle left. Germany is more nuanced — Prime Video is tied with Netflix at 100 percent relative use, Disney+ at 63 percent, and local streamers RTL+ and Joyn at 40 and 38 percent. Germany is therefore at late-growth-to-early-maturity with penetration still expanding (at roughly 30-percent-plus broadband penetration, M4.1).</w:t>
      </w:r>
    </w:p>
    <w:p>
      <w:pPr>
        <w:spacing w:after="90" w:before="0" w:line="280"/>
        <w:jc w:val="left"/>
      </w:pPr>
      <w:r>
        <w:rPr>
          <w:rFonts w:ascii="Roboto" w:cs="Roboto" w:eastAsia="Roboto" w:hAnsi="Roboto"/>
          <w:b w:val="false"/>
          <w:bCs w:val="false"/>
          <w:i w:val="false"/>
          <w:iCs w:val="false"/>
          <w:color w:val="212121"/>
          <w:sz w:val="20"/>
          <w:szCs w:val="20"/>
        </w:rPr>
        <w:t xml:space="preserve">Japan and India are the two bottleneck stories, and they are not the same story. Japan has Netflix at less than 20 percent broadband penetration, a household viewing-time base structurally at 50 to 66 percent of US levels, a richer local ecosystem than any other top-tier Netflix market, and a cultural preference for linear TV among older cohorts (M4.1, M4.4). The bottleneck is a combination of (a) competing local platforms (U-NEXT, TVer, WOWOW, Amazon Prime JP — although the note set does not quantify their share), and (b) viewing-time cap per household. The unlock Netflix has found in Japan is event-driven: the World Baseball Classic live stream drove Netflix Japan's largest single-day sign-up in history and its highest quarterly net add print, while the 1,200-plus local titles (including anime) gave Netflix the localized content stock to convert sign-ups into long-tail subscribers (M4.4). India is structurally different — broadband penetration below 30 percent overall, Netflix household share at only 10 to 15 percent, an ARPU ceiling imposed by consumer willingness to pay rather than content-library gaps, and the Disney-Reliance JioHotstar merger creating a dominant bundled competitor with sports and vernacular content at a lower price point.</w:t>
      </w:r>
    </w:p>
    <w:p>
      <w:pPr>
        <w:spacing w:after="90" w:before="0" w:line="280"/>
        <w:jc w:val="left"/>
      </w:pPr>
      <w:r>
        <w:rPr>
          <w:rFonts w:ascii="Roboto" w:cs="Roboto" w:eastAsia="Roboto" w:hAnsi="Roboto"/>
          <w:b w:val="false"/>
          <w:bCs w:val="false"/>
          <w:i w:val="false"/>
          <w:iCs w:val="false"/>
          <w:color w:val="212121"/>
          <w:sz w:val="20"/>
          <w:szCs w:val="20"/>
        </w:rPr>
        <w:t xml:space="preserve">The expansion bottleneck answer therefore differs by market: in UCAN it is engagement-share (the ceiling is set by how many hours per day Netflix can win back from YouTube and TikTok); in UK it is local content-cost inflation as BBC / Sky retain premium UK IP; in Germany it is local-language library depth relative to the local ecosystem's catalogue; in Japan it is Netflix's inability to fully break the linear / local-platform habit among older cohorts; in India it is a two-sided constraint — pricing (India's price-per-sub CAGR was negative 5 percent 2017 to 2024) and local content library (Netflix India has below 400 local-language titles versus 1,200-plus in Japan and 800-plus in Korea per M4.3). None of the bottlenecks are 'penetration ceiling' in the abstract sense — they are all specific, and the playbook differs market by market.</w:t>
      </w:r>
    </w:p>
    <w:p>
      <w:pPr>
        <w:pBdr>
          <w:top w:val="single" w:color="0084BF" w:sz="4"/>
          <w:bottom w:val="single" w:color="0084BF" w:sz="4"/>
          <w:left w:val="single" w:color="0084BF" w:sz="4"/>
          <w:right w:val="single" w:color="0084BF" w:sz="4"/>
        </w:pBdr>
        <w:shd w:fill="0084BF" w:val="clear"/>
        <w:spacing w:after="0" w:before="140" w:line="280"/>
        <w:jc w:val="left"/>
      </w:pPr>
      <w:r>
        <w:rPr>
          <w:rFonts w:ascii="Roboto" w:cs="Roboto" w:eastAsia="Roboto" w:hAnsi="Roboto"/>
          <w:b/>
          <w:bCs/>
          <w:i w:val="false"/>
          <w:iCs w:val="false"/>
          <w:color w:val="FFFFFF"/>
          <w:sz w:val="20"/>
          <w:szCs w:val="20"/>
        </w:rPr>
        <w:t xml:space="preserve">Q3 Regional Lifecycle Stage Matrix</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gridCol w:w="100"/>
      </w:tblGrid>
      <w:tr>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Market</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Broadband Hh Penetration</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Stage</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Main Bottleneck</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Primary Competitor(s)</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US / Canada (UCAN)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~60%+ (M2.3)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Retention / Pricing harvest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Engagement ceiling vs YouTube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YouTube CTV, Disney+/Hulu/ESPN+</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UK</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~60% (M4.1)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Mature, last pricing innings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Local content cost inflation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Sky (Comcast), Amazon Prime Video, Disney+</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Germany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 (M4.1)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Late growth / early maturity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Penetration ceiling, local lang depth</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Amazon Prime tied #1, RTL+, Joyn</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Japan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&lt;20% (M4.1)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Penetration build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Local ecosystem (U-NEXT/TVer) plus cultural viewing hours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U-NEXT, TVer, Amazon Prime JP</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India</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&lt;30%, ~10-15% Netflix hh (M4.3)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Penetration race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Content-library depth plus pricing floor</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JioHotstar, Prime Video, ZEE5</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Broadband household penetration for Netflix service (M2.3, M4.1): UCAN &gt;60%; UK approximately 60%; Germany approximately 30%+; Japan &lt;20%; India &lt;30% overall, Netflix household share 10 to 15%.</w:t>
      </w:r>
    </w:p>
    <w:p>
      <w:pPr>
        <w:spacing w:after="90" w:before="0" w:line="280"/>
        <w:jc w:val="left"/>
      </w:pPr>
      <w:r>
        <w:rPr>
          <w:rFonts w:ascii="Roboto" w:cs="Roboto" w:eastAsia="Roboto" w:hAnsi="Roboto"/>
          <w:b w:val="false"/>
          <w:bCs w:val="false"/>
          <w:i w:val="false"/>
          <w:iCs w:val="false"/>
          <w:color w:val="212121"/>
          <w:sz w:val="20"/>
          <w:szCs w:val="20"/>
        </w:rPr>
        <w:t xml:space="preserve">UK competitive SVOD share (M4.1, Netflix = 100): Prime Video 85, Disney+ 57, Paramount+ 22.</w:t>
      </w:r>
    </w:p>
    <w:p>
      <w:pPr>
        <w:spacing w:after="90" w:before="0" w:line="280"/>
        <w:jc w:val="left"/>
      </w:pPr>
      <w:r>
        <w:rPr>
          <w:rFonts w:ascii="Roboto" w:cs="Roboto" w:eastAsia="Roboto" w:hAnsi="Roboto"/>
          <w:b w:val="false"/>
          <w:bCs w:val="false"/>
          <w:i w:val="false"/>
          <w:iCs w:val="false"/>
          <w:color w:val="212121"/>
          <w:sz w:val="20"/>
          <w:szCs w:val="20"/>
        </w:rPr>
        <w:t xml:space="preserve">Germany competitive SVOD share (M4.1, Netflix = 100): Prime Video 100 (tied #1), Disney+ 63, RTL+ 40, Joyn 38.</w:t>
      </w:r>
    </w:p>
    <w:p>
      <w:pPr>
        <w:spacing w:after="90" w:before="0" w:line="280"/>
        <w:jc w:val="left"/>
      </w:pPr>
      <w:r>
        <w:rPr>
          <w:rFonts w:ascii="Roboto" w:cs="Roboto" w:eastAsia="Roboto" w:hAnsi="Roboto"/>
          <w:b w:val="false"/>
          <w:bCs w:val="false"/>
          <w:i w:val="false"/>
          <w:iCs w:val="false"/>
          <w:color w:val="212121"/>
          <w:sz w:val="20"/>
          <w:szCs w:val="20"/>
        </w:rPr>
        <w:t xml:space="preserve">Japan hours profile (M4.1, M4.4): household viewing roughly 50 to 66% of US levels; 1,200-plus Japanese local-language titles on Netflix.</w:t>
      </w:r>
    </w:p>
    <w:p>
      <w:pPr>
        <w:spacing w:after="90" w:before="0" w:line="280"/>
        <w:jc w:val="left"/>
      </w:pPr>
      <w:r>
        <w:rPr>
          <w:rFonts w:ascii="Roboto" w:cs="Roboto" w:eastAsia="Roboto" w:hAnsi="Roboto"/>
          <w:b w:val="false"/>
          <w:bCs w:val="false"/>
          <w:i w:val="false"/>
          <w:iCs w:val="false"/>
          <w:color w:val="212121"/>
          <w:sz w:val="20"/>
          <w:szCs w:val="20"/>
        </w:rPr>
        <w:t xml:space="preserve">India local content depth (M4.3): fewer than 400 Indian local-language titles versus more than 1,200 in Japan and 800-plus in Korea; price CAGR 2017 to 2024 negative 5%.</w:t>
      </w:r>
    </w:p>
    <w:p>
      <w:pPr>
        <w:spacing w:after="90" w:before="0" w:line="280"/>
        <w:jc w:val="left"/>
      </w:pPr>
      <w:r>
        <w:rPr>
          <w:rFonts w:ascii="Roboto" w:cs="Roboto" w:eastAsia="Roboto" w:hAnsi="Roboto"/>
          <w:b w:val="false"/>
          <w:bCs w:val="false"/>
          <w:i w:val="false"/>
          <w:iCs w:val="false"/>
          <w:color w:val="212121"/>
          <w:sz w:val="20"/>
          <w:szCs w:val="20"/>
        </w:rPr>
        <w:t xml:space="preserve">Japan event-driven unlock (M4.4): 2026 WBC live stream drove the largest single-day sign-up day in Netflix Japan history and the highest-ever quarterly net add print for the region.</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Competitive share within Japan (U-NEXT, TVer, WOWOW, Amazon Prime JP) is not quantified in M4.4 — the note set explicitly flags this gap. Germany penetration percentage ('30%+') is a coarse estimate from M4.1 and not a precise disclosed figure.</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Partial variant. Consensus is correct in coarse grouping; we add granularity on Japan (ecosystem bottleneck vs penetration), Germany (tied with Amazon vs uncontested), and India (dual content-library + pricing constraint, not just pricing).</w:t>
      </w:r>
    </w:p>
    <w:p>
      <w:pPr>
        <w:sectPr>
          <w:headerReference w:type="default" r:id="rId12"/>
          <w:footerReference w:type="default" r:id="rId13"/>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Q4. Short-Form, Short Drama and TikTok — Will Time Share Keep Shifting from Long Form?</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acknowledges TikTok and YouTube Shorts as secular headwinds but stops short of quantifying the engagement loss. Most sell-side models assume Netflix's per-subscriber hours stabilise; few explicitly model mobile short drama apps like DramaBox or ReelShort as streaming competitors.</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Time share has already shifted, is continuing to shift, and the short-drama vertical is a new and underestimated front. Netflix's US share of CTV streaming hours, per Nielsen's Gauge, declined from 19 percent in Q2 2023 to a low of 15 percent in Q2 2025 before recovering to approximately 16 percent; the losing counter-party has been YouTube, whose US streaming hours now exceed Netflix by approximately 50 percent (M4.2, M4.5). Global per-subscriber daily engagement has drifted from 2.2 hours per day in H1 2023 to 1.8 hours per day in H2 2025 (adjusted for paid-sharing, M3.1), even as total hours grew with the subscriber base. In the US market specifically, average daily viewing per subscriber has plateaued at approximately 60 minutes for several years (M4.5). The short-drama threat is newer and sharper: DramaBox and ReelShort downloads doubled year-on-year to over 50 million in August 2025, and DramaBox US users averaged 22 minutes per day — higher than Peacock or HBO Max on mobile (M4.5).</w:t>
      </w:r>
    </w:p>
    <w:p>
      <w:pPr>
        <w:spacing w:after="90" w:before="0" w:line="280"/>
        <w:jc w:val="left"/>
      </w:pPr>
      <w:r>
        <w:rPr>
          <w:rFonts w:ascii="Roboto" w:cs="Roboto" w:eastAsia="Roboto" w:hAnsi="Roboto"/>
          <w:b w:val="false"/>
          <w:bCs w:val="false"/>
          <w:i w:val="false"/>
          <w:iCs w:val="false"/>
          <w:color w:val="212121"/>
          <w:sz w:val="20"/>
          <w:szCs w:val="20"/>
        </w:rPr>
        <w:t xml:space="preserve">We believe time share continues to shift for three reasons. First, short-form consumption is demographically driven by Gen Z and younger Millennials, whose preference for vertical, infinite-scroll formats is not transient; it is how the device / app layer has trained them. Second, AI-generated short content (Sora-class tools) will continue to lower the cost of short-form supply far faster than long-form, so the volume pipeline into TikTok and Shorts keeps growing. Third, short drama (microdrama) is specifically eating into scripted-drama time budgets — a TV subscriber who watches a 20-minute DramaBox cycle on the train is not watching a 42-minute Netflix drama later. That said, Netflix's defensive response is credible and not a distraction: the vertical-video feed built into the Netflix mobile app is a lead-generation funnel for long-form discovery, not an attempt to build a competing short-form platform (M4.5). This is the right answer competitively — attempting to clone TikTok would be expensive and unlikely to win, whereas redirecting TikTok-trained mobile behaviour into Netflix discovery is capital-efficient.</w:t>
      </w:r>
    </w:p>
    <w:p>
      <w:pPr>
        <w:spacing w:after="90" w:before="0" w:line="280"/>
        <w:jc w:val="left"/>
      </w:pPr>
      <w:r>
        <w:rPr>
          <w:rFonts w:ascii="Roboto" w:cs="Roboto" w:eastAsia="Roboto" w:hAnsi="Roboto"/>
          <w:b w:val="false"/>
          <w:bCs w:val="false"/>
          <w:i w:val="false"/>
          <w:iCs w:val="false"/>
          <w:color w:val="212121"/>
          <w:sz w:val="20"/>
          <w:szCs w:val="20"/>
        </w:rPr>
        <w:t xml:space="preserve">The competitive-threat assessment is therefore nuanced: short-form platforms will continue to capture incremental minutes, but Netflix's attention share at the 'zeitgeist moment' layer — the ability to get 100 million-plus viewers on a single title like KPop Demon Hunters or a live event like Tyson-Paul (108 million viewers, M3.1) — is not directly substitutable by TikTok. Netflix's long-form moat is structurally in shared-experience, social-conversation-generating premium content, which is the opposite of the individualized, fragmented attention mode of short-form. The risk is not that TikTok kills Netflix; the risk is that Netflix increasingly competes only for the 'special-event' share of the attention day while short-form wins the long tail, which over time compresses per-subscriber hours and constrains pricing power. Our base case: per-subscriber hours decline another 10 to 15 percent over five years, offset by international subscriber growth, but the hourly engagement moat that underpins hike-ceiling arithmetic gets 20-percent thinner by 2030.</w:t>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Netflix US CTV share (M4.2, M4.5): 19% in Q2 2023 to 15% in Q2 2025, recovered to approximately 16%. YouTube now ~50% higher than Netflix in US streaming hours.</w:t>
      </w:r>
    </w:p>
    <w:p>
      <w:pPr>
        <w:spacing w:after="90" w:before="0" w:line="280"/>
        <w:jc w:val="left"/>
      </w:pPr>
      <w:r>
        <w:rPr>
          <w:rFonts w:ascii="Roboto" w:cs="Roboto" w:eastAsia="Roboto" w:hAnsi="Roboto"/>
          <w:b w:val="false"/>
          <w:bCs w:val="false"/>
          <w:i w:val="false"/>
          <w:iCs w:val="false"/>
          <w:color w:val="212121"/>
          <w:sz w:val="20"/>
          <w:szCs w:val="20"/>
        </w:rPr>
        <w:t xml:space="preserve">Global engagement trend (M3.1): daily per-sub engagement 2.2 hours in H1 2023 down to 1.8 hours in H2 2025 (paid-sharing adjusted).</w:t>
      </w:r>
    </w:p>
    <w:p>
      <w:pPr>
        <w:spacing w:after="90" w:before="0" w:line="280"/>
        <w:jc w:val="left"/>
      </w:pPr>
      <w:r>
        <w:rPr>
          <w:rFonts w:ascii="Roboto" w:cs="Roboto" w:eastAsia="Roboto" w:hAnsi="Roboto"/>
          <w:b w:val="false"/>
          <w:bCs w:val="false"/>
          <w:i w:val="false"/>
          <w:iCs w:val="false"/>
          <w:color w:val="212121"/>
          <w:sz w:val="20"/>
          <w:szCs w:val="20"/>
        </w:rPr>
        <w:t xml:space="preserve">US per-sub engagement (M3.1): stable at approximately 60 minutes per day for multiple years.</w:t>
      </w:r>
    </w:p>
    <w:p>
      <w:pPr>
        <w:spacing w:after="90" w:before="0" w:line="280"/>
        <w:jc w:val="left"/>
      </w:pPr>
      <w:r>
        <w:rPr>
          <w:rFonts w:ascii="Roboto" w:cs="Roboto" w:eastAsia="Roboto" w:hAnsi="Roboto"/>
          <w:b w:val="false"/>
          <w:bCs w:val="false"/>
          <w:i w:val="false"/>
          <w:iCs w:val="false"/>
          <w:color w:val="212121"/>
          <w:sz w:val="20"/>
          <w:szCs w:val="20"/>
        </w:rPr>
        <w:t xml:space="preserve">Short-drama app metrics (M4.5): DramaBox + ReelShort global downloads doubled YoY, exceeded 50 million in Aug 2025; DramaBox US users averaged 22 minutes per day, exceeding Peacock and HBO Max on mobile; US accounts for roughly half of global short-drama in-app purchase revenue.</w:t>
      </w:r>
    </w:p>
    <w:p>
      <w:pPr>
        <w:spacing w:after="90" w:before="0" w:line="280"/>
        <w:jc w:val="left"/>
      </w:pPr>
      <w:r>
        <w:rPr>
          <w:rFonts w:ascii="Roboto" w:cs="Roboto" w:eastAsia="Roboto" w:hAnsi="Roboto"/>
          <w:b w:val="false"/>
          <w:bCs w:val="false"/>
          <w:i w:val="false"/>
          <w:iCs w:val="false"/>
          <w:color w:val="212121"/>
          <w:sz w:val="20"/>
          <w:szCs w:val="20"/>
        </w:rPr>
        <w:t xml:space="preserve">Netflix's defensive moves (M4.5): in-app vertical-video feed testing underway; games portfolio now 100-plus titles including Squid Game: Unleashed (top Action App in 107 countries) and GTA trilogy; games users show better retention.</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Direct hour-substitution between TikTok and Netflix at the individual-user level is not quantified — the evidence is system-level (aggregate Gauge share) and platform-level (DramaBox minutes). Our '10-15% per-sub hour decline over 5 years' is a directional estimate, not a sourced projection.</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Strong variant. Consensus under-models short-form threat. We are more concerned about the five-year engagement erosion and its consequence for pricing power.</w:t>
      </w:r>
    </w:p>
    <w:p>
      <w:pPr>
        <w:sectPr>
          <w:headerReference w:type="default" r:id="rId14"/>
          <w:footerReference w:type="default" r:id="rId15"/>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Q5. India Strategic Value — User Growth, Content Export or Profit? JioHotstar / Prime / ZEE5 Threats. Ads Tier Friction.</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treats India as a user-growth story with no near-term profit contribution, vaguely acknowledging competition from the Disney-Reliance combined entity without differentiating threat vectors by competitor.</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India's strategic value to Netflix is not profit and not content export — it is user growth and optionality. Netflix has roughly 9 million Indian subscribers as of 2024 H2 (the most recent disclosed snapshot per M4.3), a broadband household share of only 10 to 15 percent, and a price CAGR 2017 to 2024 of negative 5 percent. Management has explicitly framed APAC blended ARM decline as 'a good thing, not a bad thing' because Indian subscriber growth compensates in dollars (M4.3). India contributed the second-largest share of paid net adds and the third-largest share of revenue growth percentage in Q2 2025 (M4.3), which is meaningful, but the absolute economics remain sub-scale. Netflix India has not become the long-term leader because of three reinforcing constraints. First, pricing: the Indian consumer's willingness to pay for streaming is capped roughly one-third below the levels that make Netflix's original-content cost structure payback-positive. Second, local content library: Netflix India has under 400 local-language titles versus 1,200-plus in Japan and 800-plus in Korea (M4.3), and the Indian market is genuinely multi-linguistic (Hindi, Tamil, Telugu, Bengali, Marathi, and several others), so the library-depth problem multiplies by language. Third, platform positioning: Netflix is still perceived in India as a premium / Western brand rather than a mass-market entertainment hub, which management has acknowledged as a multi-year repositioning.</w:t>
      </w:r>
    </w:p>
    <w:p>
      <w:pPr>
        <w:spacing w:after="90" w:before="0" w:line="280"/>
        <w:jc w:val="left"/>
      </w:pPr>
      <w:r>
        <w:rPr>
          <w:rFonts w:ascii="Roboto" w:cs="Roboto" w:eastAsia="Roboto" w:hAnsi="Roboto"/>
          <w:b w:val="false"/>
          <w:bCs w:val="false"/>
          <w:i w:val="false"/>
          <w:iCs w:val="false"/>
          <w:color w:val="212121"/>
          <w:sz w:val="20"/>
          <w:szCs w:val="20"/>
        </w:rPr>
        <w:t xml:space="preserve">The three competitor threats are differentiated. JioHotstar (the Disney-Reliance merged entity) is the existential threat — combining Disney's global content, Reliance's telco distribution, bundled cricket rights (critical in India) and sub-thirty-rupees-per-month pricing. This is not a threat Netflix can match on pricing; Netflix management's stated posture is to focus on local content quality and resonance (M4.3) rather than trying to compete on bundled price. Amazon Prime Video is the mid-tier threat: it leverages the Prime shopping bundle (free-with-Prime positioning), has deeper local original investment than Netflix in several vernacular languages, and is available at a lower effective standalone price. ZEE5 is the value / regional-language threat — very strong catalogue depth in Tamil, Telugu, Marathi and Bengali, offering the library breadth Netflix does not have. The Netflix response has effectively been to pick premium urban mass (Mumbai, Bangalore, Delhi English-speaking middle class plus Hindi mass hits like Heeramandi) and leave the value and regional-language tiers to competitors, which caps long-term market share at a middle-single-digit to low-double-digit level in our view.</w:t>
      </w:r>
    </w:p>
    <w:p>
      <w:pPr>
        <w:spacing w:after="90" w:before="0" w:line="280"/>
        <w:jc w:val="left"/>
      </w:pPr>
      <w:r>
        <w:rPr>
          <w:rFonts w:ascii="Roboto" w:cs="Roboto" w:eastAsia="Roboto" w:hAnsi="Roboto"/>
          <w:b w:val="false"/>
          <w:bCs w:val="false"/>
          <w:i w:val="false"/>
          <w:iCs w:val="false"/>
          <w:color w:val="212121"/>
          <w:sz w:val="20"/>
          <w:szCs w:val="20"/>
        </w:rPr>
        <w:t xml:space="preserve">Why has the ads tier not scaled in India? The answer is simple and structural: Netflix does not offer an ad-supported plan in India (M4.3). The ads tier launched in 12 markets in 2022 and the list is US, Canada, UK, France, Germany, Italy, Spain, Australia, Japan, Korea, Brazil and Mexico — India is not on it. Netflix's alternative strategy in India has been the direct subscription-price cut (negative 5 percent CAGR) to drive penetration rather than introducing a complex advertising layer. The implicit reasoning is that India's ad-tech market is dominated by Google / Meta / the JioHotstar ad stack, CPM levels are structurally lower than any other Netflix ads market by several multiples, and localized ad-sales infrastructure would be expensive to build. Introducing ads in India would likely yield low single-digit dollar ARM uplift per subscriber at best — insufficient to justify the build-out. Our conclusion: India ads is not on the 24-month roadmap. India remains a penetration play with no near-term profitability and modest content-export value (Heeramandi is a notable local-for-global hit but has not moved global engagement numbers the way Squid Game or KPop Demon Hunters did).</w:t>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India subscriber base (M4.3, Bernstein estimate as of Q2 2024): approximately 9 million; broadband household share 10-15%.</w:t>
      </w:r>
    </w:p>
    <w:p>
      <w:pPr>
        <w:spacing w:after="90" w:before="0" w:line="280"/>
        <w:jc w:val="left"/>
      </w:pPr>
      <w:r>
        <w:rPr>
          <w:rFonts w:ascii="Roboto" w:cs="Roboto" w:eastAsia="Roboto" w:hAnsi="Roboto"/>
          <w:b w:val="false"/>
          <w:bCs w:val="false"/>
          <w:i w:val="false"/>
          <w:iCs w:val="false"/>
          <w:color w:val="212121"/>
          <w:sz w:val="20"/>
          <w:szCs w:val="20"/>
        </w:rPr>
        <w:t xml:space="preserve">India pricing trajectory (M1.3, M4.3): 2017 to 2024 price CAGR negative 5%; Basic -12% CAGR, Standard -4%, Premium -3%.</w:t>
      </w:r>
    </w:p>
    <w:p>
      <w:pPr>
        <w:spacing w:after="90" w:before="0" w:line="280"/>
        <w:jc w:val="left"/>
      </w:pPr>
      <w:r>
        <w:rPr>
          <w:rFonts w:ascii="Roboto" w:cs="Roboto" w:eastAsia="Roboto" w:hAnsi="Roboto"/>
          <w:b w:val="false"/>
          <w:bCs w:val="false"/>
          <w:i w:val="false"/>
          <w:iCs w:val="false"/>
          <w:color w:val="212121"/>
          <w:sz w:val="20"/>
          <w:szCs w:val="20"/>
        </w:rPr>
        <w:t xml:space="preserve">India local-content depth (M4.3): fewer than 400 Indian local-language titles versus Japan 1,200+ and Korea 800+.</w:t>
      </w:r>
    </w:p>
    <w:p>
      <w:pPr>
        <w:spacing w:after="90" w:before="0" w:line="280"/>
        <w:jc w:val="left"/>
      </w:pPr>
      <w:r>
        <w:rPr>
          <w:rFonts w:ascii="Roboto" w:cs="Roboto" w:eastAsia="Roboto" w:hAnsi="Roboto"/>
          <w:b w:val="false"/>
          <w:bCs w:val="false"/>
          <w:i w:val="false"/>
          <w:iCs w:val="false"/>
          <w:color w:val="212121"/>
          <w:sz w:val="20"/>
          <w:szCs w:val="20"/>
        </w:rPr>
        <w:t xml:space="preserve">India growth contribution Q2 2025 (M4.3): ranked #2 in paid net adds, #3 in revenue growth percentage.</w:t>
      </w:r>
    </w:p>
    <w:p>
      <w:pPr>
        <w:spacing w:after="90" w:before="0" w:line="280"/>
        <w:jc w:val="left"/>
      </w:pPr>
      <w:r>
        <w:rPr>
          <w:rFonts w:ascii="Roboto" w:cs="Roboto" w:eastAsia="Roboto" w:hAnsi="Roboto"/>
          <w:b w:val="false"/>
          <w:bCs w:val="false"/>
          <w:i w:val="false"/>
          <w:iCs w:val="false"/>
          <w:color w:val="212121"/>
          <w:sz w:val="20"/>
          <w:szCs w:val="20"/>
        </w:rPr>
        <w:t xml:space="preserve">Ads-tier geographic scope (M4.3): live in 12 markets — US, Canada, UK, France, Germany, Italy, Spain, Australia, Japan, Korea, Brazil, Mexico. India is NOT on the list.</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JioHotstar-specific subscriber and pricing data is not quantified in the note set — we rely on M4.3's qualitative management framing ('strong-on-strong competition' and 'no differential insight'). India ARPU level and the competitive share breakdown between JioHotstar, Prime and ZEE5 are not sourced in M4.3 and represent an analytical gap.</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Aligned with consensus. India is a long-duration penetration play, not a near-term profit market; ads tier will not scale in India on a 24-month horizon.</w:t>
      </w:r>
    </w:p>
    <w:p>
      <w:pPr>
        <w:sectPr>
          <w:headerReference w:type="default" r:id="rId16"/>
          <w:footerReference w:type="default" r:id="rId17"/>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Q6. Japan versus India — Why Japan's Local Ecosystem Prevents the Korea Playbook and Regional Leadership</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does not systematically differentiate the Japan and India problem sets and rarely explains why Korea's 'local-for-global' playbook has not replicated in Japan.</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Japan and India look superficially similar — both are large Netflix international markets where the company is under-penetrated — but they are structurally different problems. The Japan problem is competitive and cultural: Japan has a uniquely mature and sticky local streaming ecosystem (U-NEXT, TVer, WOWOW, Amazon Prime JP) that has existed for a decade, commands strong relationships with Japanese rights-holders, and benefits from Japanese viewers' higher trust for local-brand services. Additionally, Japanese household TV viewing hours are structurally at 50 to 66 percent of US levels (M4.1, M4.4), which caps streaming-minute absorption. The India problem is penetration and willingness-to-pay: broadband is under-developed, internet households are still scaling, and consumer willingness to pay is capped at sub-Premium levels. Japan is a content ecosystem problem; India is a socio-economic affordability problem.</w:t>
      </w:r>
    </w:p>
    <w:p>
      <w:pPr>
        <w:spacing w:after="90" w:before="0" w:line="280"/>
        <w:jc w:val="left"/>
      </w:pPr>
      <w:r>
        <w:rPr>
          <w:rFonts w:ascii="Roboto" w:cs="Roboto" w:eastAsia="Roboto" w:hAnsi="Roboto"/>
          <w:b w:val="false"/>
          <w:bCs w:val="false"/>
          <w:i w:val="false"/>
          <w:iCs w:val="false"/>
          <w:color w:val="212121"/>
          <w:sz w:val="20"/>
          <w:szCs w:val="20"/>
        </w:rPr>
        <w:t xml:space="preserve">Why has Korea's local-for-global playbook not replicated in Japan? Korea succeeded because of three conditions that Japan only partly satisfies. First, Korean content has an unusual combination of distinctive aesthetic (Hallyu / K-pop / K-drama visual grammar), mid-budget economics that allow Netflix to finance globally-exportable titles, and a creative community that is institutionally comfortable selling global rights to Netflix. Japan's creative ecosystem is more fragmented (anime is dominated by committees and vertical studios with complex rights-holding structures; live-action film has a Japan-preferring distribution culture), so Netflix cannot simply write large checks to single producers and acquire world-wide distribution cleanly. Second, Korean content travels well culturally — the Korean middle-class aesthetic resonates with emerging-market middle classes globally and with younger Western viewers — whereas Japanese live-action drama has more subtle cultural gates. Netflix's Japanese hits that travel globally are overwhelmingly anime (Alice in Borderland aside), which is a different production model than Korean K-drama. Third, Japan's audience-side engagement baseline is lower (viewing hours 50 to 66 percent of US), so a big Japanese local hit does not create the Q3 2025 KPop Demon Hunters-scale engagement spike the way a Korean hit can.</w:t>
      </w:r>
    </w:p>
    <w:p>
      <w:pPr>
        <w:spacing w:after="90" w:before="0" w:line="280"/>
        <w:jc w:val="left"/>
      </w:pPr>
      <w:r>
        <w:rPr>
          <w:rFonts w:ascii="Roboto" w:cs="Roboto" w:eastAsia="Roboto" w:hAnsi="Roboto"/>
          <w:b w:val="false"/>
          <w:bCs w:val="false"/>
          <w:i w:val="false"/>
          <w:iCs w:val="false"/>
          <w:color w:val="212121"/>
          <w:sz w:val="20"/>
          <w:szCs w:val="20"/>
        </w:rPr>
        <w:t xml:space="preserve">Netflix is not passive about this — the company is running a different playbook in Japan. The Japan runway is content localization plus large-scale live events to create episodic engagement spikes rather than continuous engagement. The 2026 World Baseball Classic live stream in March was the largest-ever single-day sign-up day for Netflix Japan and the highest-ever quarterly net add print (M4.4). Netflix's 1,200+ Japanese local-language titles (more than Korea or India) is a massive installed base, but it is a penetration tool, not a global-hit factory. Our read: Netflix will not become the regional streaming leader in Japan — U-NEXT remains the incumbent leader in paid premium, Amazon Prime has distribution scale — but Netflix can credibly reach the number two or three slot with 20 percent-plus household penetration by 2030, which is sufficient to be profitable and strategically important as an anime-and-live-events hub rather than a dominant streaming platform in the Korean sense.</w:t>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Japan viewing-time structure (M4.1, M4.4): Japanese household TV viewing approximately 50 to 66% of US levels.</w:t>
      </w:r>
    </w:p>
    <w:p>
      <w:pPr>
        <w:spacing w:after="90" w:before="0" w:line="280"/>
        <w:jc w:val="left"/>
      </w:pPr>
      <w:r>
        <w:rPr>
          <w:rFonts w:ascii="Roboto" w:cs="Roboto" w:eastAsia="Roboto" w:hAnsi="Roboto"/>
          <w:b w:val="false"/>
          <w:bCs w:val="false"/>
          <w:i w:val="false"/>
          <w:iCs w:val="false"/>
          <w:color w:val="212121"/>
          <w:sz w:val="20"/>
          <w:szCs w:val="20"/>
        </w:rPr>
        <w:t xml:space="preserve">Netflix Japan local-language title depth (M4.4): 1,200-plus Japanese local titles, ahead of Korea's 800+.</w:t>
      </w:r>
    </w:p>
    <w:p>
      <w:pPr>
        <w:spacing w:after="90" w:before="0" w:line="280"/>
        <w:jc w:val="left"/>
      </w:pPr>
      <w:r>
        <w:rPr>
          <w:rFonts w:ascii="Roboto" w:cs="Roboto" w:eastAsia="Roboto" w:hAnsi="Roboto"/>
          <w:b w:val="false"/>
          <w:bCs w:val="false"/>
          <w:i w:val="false"/>
          <w:iCs w:val="false"/>
          <w:color w:val="212121"/>
          <w:sz w:val="20"/>
          <w:szCs w:val="20"/>
        </w:rPr>
        <w:t xml:space="preserve">Japan event-driven engagement (M4.4): 2026 WBC live stream drove largest single-day sign-up in Netflix Japan history and highest-ever quarterly net-add print.</w:t>
      </w:r>
    </w:p>
    <w:p>
      <w:pPr>
        <w:spacing w:after="90" w:before="0" w:line="280"/>
        <w:jc w:val="left"/>
      </w:pPr>
      <w:r>
        <w:rPr>
          <w:rFonts w:ascii="Roboto" w:cs="Roboto" w:eastAsia="Roboto" w:hAnsi="Roboto"/>
          <w:b w:val="false"/>
          <w:bCs w:val="false"/>
          <w:i w:val="false"/>
          <w:iCs w:val="false"/>
          <w:color w:val="212121"/>
          <w:sz w:val="20"/>
          <w:szCs w:val="20"/>
        </w:rPr>
        <w:t xml:space="preserve">Japan pricing progress (M1.3, M4.4): recent price hike landed in line with expectations; Std plan CAGR approximately 8%.</w:t>
      </w:r>
    </w:p>
    <w:p>
      <w:pPr>
        <w:spacing w:after="90" w:before="0" w:line="280"/>
        <w:jc w:val="left"/>
      </w:pPr>
      <w:r>
        <w:rPr>
          <w:rFonts w:ascii="Roboto" w:cs="Roboto" w:eastAsia="Roboto" w:hAnsi="Roboto"/>
          <w:b w:val="false"/>
          <w:bCs w:val="false"/>
          <w:i w:val="false"/>
          <w:iCs w:val="false"/>
          <w:color w:val="212121"/>
          <w:sz w:val="20"/>
          <w:szCs w:val="20"/>
        </w:rPr>
        <w:t xml:space="preserve">KPop Demon Hunters (M3.1, M4.4): Japanese animation studio produced; most-watched Netflix animated film; single-title Q3 2025 contribution of 500 million-plus hours.</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Direct U-NEXT / TVer / WOWOW / Amazon Prime JP share breakdown for Japan is NOT quantified in the note set — M4.4 explicitly flags this gap. Our competitive-structure reasoning relies on M4.4's management commentary and directional framing, not specific market-share numbers.</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Strong variant relative to consensus, which does not differentiate Japan / India dynamics. Our view: Netflix Japan capped at #2 or #3 position, not regional leader.</w:t>
      </w:r>
    </w:p>
    <w:p>
      <w:pPr>
        <w:sectPr>
          <w:headerReference w:type="default" r:id="rId18"/>
          <w:footerReference w:type="default" r:id="rId1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Q7. Ads Suite versus YouTube — Quantifying the Revenue Mechanic and Comparison with Disney+</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accepts Netflix management's $3 billion 2026 ad revenue target but treats the longer-term ad math as uncertain. Street generally does not quantify CPM / fill-rate / programmatic mix in sufficient detail to cross-check management's doubling trajectory, and comparisons with YouTube or Disney+ are typically qualitative.</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The mechanics differ fundamentally. YouTube's advertising business is a programmatic, largely self-serve engine monetizing user-generated content at scale; its CPM is mid-teens, its inventory is nearly infinite, and its creator-revenue-share model (approximately 55/45 to creators) makes it inherently lower-margin than Netflix at the gross level but higher-margin at the operating level because there is no content amortization. Netflix Ads Suite is the opposite: premium, curated long-form inventory with a UCAN eCPM of roughly $22 (Bernstein estimate, M3.3), no creator revenue share (Netflix owns or licenses the content), and an incremental-contribution-margin of approximately 70 percent (M5.2) because content costs are already sunk. For Netflix, advertising is a gross-margin-accretive overlay on existing content spend; for YouTube, advertising is the core economic engine.</w:t>
      </w:r>
    </w:p>
    <w:p>
      <w:pPr>
        <w:spacing w:after="90" w:before="0" w:line="280"/>
        <w:jc w:val="left"/>
      </w:pPr>
      <w:r>
        <w:rPr>
          <w:rFonts w:ascii="Roboto" w:cs="Roboto" w:eastAsia="Roboto" w:hAnsi="Roboto"/>
          <w:b w:val="false"/>
          <w:bCs w:val="false"/>
          <w:i w:val="false"/>
          <w:iCs w:val="false"/>
          <w:color w:val="212121"/>
          <w:sz w:val="20"/>
          <w:szCs w:val="20"/>
        </w:rPr>
        <w:t xml:space="preserve">Can the Netflix ad impact be quantified for revenue? Yes, with reasonable precision for 2026 and with wider error bars beyond. The Bernstein model reverse-engineers UCAN ad-tier ARM: 2 hours per day viewing, 8 ad plays per hour, eCPM of approximately $21 in 2024 rising to $22.05 in 2025, yielding per-sub monthly ad revenue of approximately $10.22 in 2024 and $10.73 in 2025 (M3.3). Combined with the $6.99 to $7.99 monthly subscription floor, that is a blended ad-tier ARM of $17.21 in 2024 scaling to $18.72 in 2025 — still below standard-tier ARM because fill rates are incomplete. If fill rates move from roughly 70 percent to 90 percent, eCPM moves up 10 percent, and ad-tier MAU reaches management's suggested 190 million in Q1 2026 (M7 confirms 190M MAU and 60% of new sign-ups in ads-enabled markets), the $3 billion 2026 target is modest. Bernstein's model reaches $8 billion as early as 2027 (M7.3). Netflix's ad-tech stack completion (the in-house Ads Suite fully replaced Microsoft at end-2024), DSP integrations (Yahoo, Amazon, Google, AJA), and the interactive-ad product launching Q2 2026 are the levers that bridge from $1.5 billion in 2025 to $8 billion in 2027.</w:t>
      </w:r>
    </w:p>
    <w:p>
      <w:pPr>
        <w:spacing w:after="90" w:before="0" w:line="280"/>
        <w:jc w:val="left"/>
      </w:pPr>
      <w:r>
        <w:rPr>
          <w:rFonts w:ascii="Roboto" w:cs="Roboto" w:eastAsia="Roboto" w:hAnsi="Roboto"/>
          <w:b w:val="false"/>
          <w:bCs w:val="false"/>
          <w:i w:val="false"/>
          <w:iCs w:val="false"/>
          <w:color w:val="212121"/>
          <w:sz w:val="20"/>
          <w:szCs w:val="20"/>
        </w:rPr>
        <w:t xml:space="preserve">Comparison with Disney+: Disney+'s ad tier is in a comparable lifecycle stage but with weaker structural economics. Disney's ad-tier audience is approximately 45 million worldwide versus Netflix's 190 million Q1 2026 ad-tier MAU; CPM levels are similar to Netflix's high teens to low-$20s because both sell premium inventory to the same advertiser cohort; Disney's ad-tier acceleration has been faster in percentage terms from a smaller base, and its Hulu + ESPN+ bundle allows Disney to cross-sell ad inventory across sports, premium scripted and general entertainment (a real advantage Netflix does not yet match). Disney+ also benefits from its existing Hulu ad-sales infrastructure, which predates the ad tier. Netflix's counter is scale and premium inventory quality: 190 million ad-tier users globally are a fundamentally different supply than 45 million Disney ones, and live-events inventory (NFL Christmas reached 30-31 million AMA per game; Tyson-Paul 108 million; WBC 31.4 million) is the marquee premium inventory that attracts brand-budget dollars that otherwise went to linear TV. We expect Netflix to over-deliver consensus on 2026-2027 ad revenue by $500 million to $1 billion.</w:t>
      </w:r>
    </w:p>
    <w:p>
      <w:pPr>
        <w:pBdr>
          <w:top w:val="single" w:color="0084BF" w:sz="4"/>
          <w:bottom w:val="single" w:color="0084BF" w:sz="4"/>
          <w:left w:val="single" w:color="0084BF" w:sz="4"/>
          <w:right w:val="single" w:color="0084BF" w:sz="4"/>
        </w:pBdr>
        <w:shd w:fill="0084BF" w:val="clear"/>
        <w:spacing w:after="0" w:before="140" w:line="280"/>
        <w:jc w:val="left"/>
      </w:pPr>
      <w:r>
        <w:rPr>
          <w:rFonts w:ascii="Roboto" w:cs="Roboto" w:eastAsia="Roboto" w:hAnsi="Roboto"/>
          <w:b/>
          <w:bCs/>
          <w:i w:val="false"/>
          <w:iCs w:val="false"/>
          <w:color w:val="FFFFFF"/>
          <w:sz w:val="20"/>
          <w:szCs w:val="20"/>
        </w:rPr>
        <w:t xml:space="preserve">Q7 Ads Business Structural Comparison</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gridCol w:w="100"/>
      </w:tblGrid>
      <w:tr>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Dimension</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Netflix Ads Suite</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YouTube Advertising</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Disney+ Advertising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2025 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~$1.5B (disclosed)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~$36B (2024 YouTube Ads)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Not separately disclosed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2026E revenue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~$3.0B (mgmt)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Continued high-teens growth</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Ad-tier scaling; unstated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Ad-tier MAU / audience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~190M (Q1 2026, or 70M Ads-tier MAU per M3.1)</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2B+ logged-in users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Ad-tier ~45M WW (est)</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Content type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Premium long-form, live events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UGC + creators + Shorts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Premium long-form, Hulu + ESPN bundle</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CPM level</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UCAN eCPM ~$22 (Bernstein, M3.3)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Mid-teens blended</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High-teens to low-$20s</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Programmatic mix</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Approaching 50%+ of ex-sports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~90%+</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Hulu programmatic mature; D+ scaling</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Incremental margin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~70% (M5.2)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Mature, high 50s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Positive but dilutive initially</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Netflix ad revenue trajectory (M3.3, M6.1): 2024 exit ~$1B; 2025 actual &gt;$1.5B, up 2.5x; 2026 guidance ~$3B (doubling).</w:t>
      </w:r>
    </w:p>
    <w:p>
      <w:pPr>
        <w:spacing w:after="90" w:before="0" w:line="280"/>
        <w:jc w:val="left"/>
      </w:pPr>
      <w:r>
        <w:rPr>
          <w:rFonts w:ascii="Roboto" w:cs="Roboto" w:eastAsia="Roboto" w:hAnsi="Roboto"/>
          <w:b w:val="false"/>
          <w:bCs w:val="false"/>
          <w:i w:val="false"/>
          <w:iCs w:val="false"/>
          <w:color w:val="212121"/>
          <w:sz w:val="20"/>
          <w:szCs w:val="20"/>
        </w:rPr>
        <w:t xml:space="preserve">UCAN ad-tier economics (Bernstein model, M3.3): 2024 eCPM approximately $21; 2025 approximately $22.05; ad ARM $10.22 (2024) to $10.73 (2025); blended ad-tier ARM $17.21 (2024) to $18.72 (2025).</w:t>
      </w:r>
    </w:p>
    <w:p>
      <w:pPr>
        <w:spacing w:after="90" w:before="0" w:line="280"/>
        <w:jc w:val="left"/>
      </w:pPr>
      <w:r>
        <w:rPr>
          <w:rFonts w:ascii="Roboto" w:cs="Roboto" w:eastAsia="Roboto" w:hAnsi="Roboto"/>
          <w:b w:val="false"/>
          <w:bCs w:val="false"/>
          <w:i w:val="false"/>
          <w:iCs w:val="false"/>
          <w:color w:val="212121"/>
          <w:sz w:val="20"/>
          <w:szCs w:val="20"/>
        </w:rPr>
        <w:t xml:space="preserve">Programmatic mix target (M3.3): approximately 50%+ of non-sports live ad inventory; integrations live with TTD, Google/DV360, Amazon DSP, Yahoo DSP.</w:t>
      </w:r>
    </w:p>
    <w:p>
      <w:pPr>
        <w:spacing w:after="90" w:before="0" w:line="280"/>
        <w:jc w:val="left"/>
      </w:pPr>
      <w:r>
        <w:rPr>
          <w:rFonts w:ascii="Roboto" w:cs="Roboto" w:eastAsia="Roboto" w:hAnsi="Roboto"/>
          <w:b w:val="false"/>
          <w:bCs w:val="false"/>
          <w:i w:val="false"/>
          <w:iCs w:val="false"/>
          <w:color w:val="212121"/>
          <w:sz w:val="20"/>
          <w:szCs w:val="20"/>
        </w:rPr>
        <w:t xml:space="preserve">Advertiser roster (M3.3): 4,000+ advertisers in 2025, up 70% YoY.</w:t>
      </w:r>
    </w:p>
    <w:p>
      <w:pPr>
        <w:spacing w:after="90" w:before="0" w:line="280"/>
        <w:jc w:val="left"/>
      </w:pPr>
      <w:r>
        <w:rPr>
          <w:rFonts w:ascii="Roboto" w:cs="Roboto" w:eastAsia="Roboto" w:hAnsi="Roboto"/>
          <w:b w:val="false"/>
          <w:bCs w:val="false"/>
          <w:i w:val="false"/>
          <w:iCs w:val="false"/>
          <w:color w:val="212121"/>
          <w:sz w:val="20"/>
          <w:szCs w:val="20"/>
        </w:rPr>
        <w:t xml:space="preserve">Incremental margin (M5.2): approximately 70% contribution margin on incremental ad revenue.</w:t>
      </w:r>
    </w:p>
    <w:p>
      <w:pPr>
        <w:spacing w:after="90" w:before="0" w:line="280"/>
        <w:jc w:val="left"/>
      </w:pPr>
      <w:r>
        <w:rPr>
          <w:rFonts w:ascii="Roboto" w:cs="Roboto" w:eastAsia="Roboto" w:hAnsi="Roboto"/>
          <w:b w:val="false"/>
          <w:bCs w:val="false"/>
          <w:i w:val="false"/>
          <w:iCs w:val="false"/>
          <w:color w:val="212121"/>
          <w:sz w:val="20"/>
          <w:szCs w:val="20"/>
        </w:rPr>
        <w:t xml:space="preserve">Bernstein bull-case ad trajectory (M7.1, M7.3): $4B+ as early as 2025 per some scenarios; $8B+ by 2027.</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Ad-tier monthly active viewer numbers bounce between 70 million (M3.1, older disclosure) and 190 million (M7 Ads tier MAU in Q1 2026 ads-enabled markets) — we rely on the 190 million figure for current run-rate. Disney+ comparisons use external estimates since the note set does not directly benchmark Disney+ ads business; Q7 Disney+ numbers are inferred rather than sourced.</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Partial variant. We are more bullish on 2026-2027 ad acceleration than consensus and see the marginal dollar of ad revenue as 70% incremental margin — this is under-modeled.</w:t>
      </w:r>
    </w:p>
    <w:p>
      <w:pPr>
        <w:sectPr>
          <w:headerReference w:type="default" r:id="rId20"/>
          <w:footerReference w:type="default" r:id="rId21"/>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Q8. Content Cost and Margins — Original versus Licensed ROI, Hours per Dollar of Amortization</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accepts the overall content-spend-efficiency ratio (roughly $1 content spend yielding $2.3 revenue as of 2024) and treats the Original versus Licensed split as a strategic choice rather than an ROI question. Sell-side rarely compares Year-1 amortization or engagement-per-dollar between the two buckets.</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The starting point is FY2025 content amortization of $16.42 billion total, split approximately $8.71 billion Licensed (53 percent) and $7.71 billion Originals / Produced (47 percent) (M1.4, M5.3). The split has been moving towards Originals over time: Produced content's share of content-assets net carrying value rose from roughly 40 percent in 2019 to 63 percent in 2025 ($20.64 billion out of $32.78 billion, M5.3). This tilt is intentional and serves long-term economics — Originals carry IP ownership, which means global distribution rights, no licensor termination risk, and long-tail monetization. Originals amortize slower in Year 1 (approximately 40 percent) versus Licensed (approximately 50 percent), both reaching 90 percent amortized within 4 years (M5.3). The practical consequence: a Licensed title delivers more engagement per dollar of amortization in Year 1 but has a steeper decline; an Original delivers slightly less engagement per dollar of amortization in Year 1 but has a longer tail and global rights flexibility.</w:t>
      </w:r>
    </w:p>
    <w:p>
      <w:pPr>
        <w:spacing w:after="90" w:before="0" w:line="280"/>
        <w:jc w:val="left"/>
      </w:pPr>
      <w:r>
        <w:rPr>
          <w:rFonts w:ascii="Roboto" w:cs="Roboto" w:eastAsia="Roboto" w:hAnsi="Roboto"/>
          <w:b w:val="false"/>
          <w:bCs w:val="false"/>
          <w:i w:val="false"/>
          <w:iCs w:val="false"/>
          <w:color w:val="212121"/>
          <w:sz w:val="20"/>
          <w:szCs w:val="20"/>
        </w:rPr>
        <w:t xml:space="preserve">How should we do an apples-to-apples ROI comparison? Strictly by engagement hours per dollar of amortization over the full amortization life (say, five years). The note set does not publish this ratio for each bucket directly, but the inferrable triangulation is: in the top-50 most-watched Netflix TV shows 2023-2025, roughly 36 are Netflix Originals (72 percent); in the top-50 films, approximately 30 are Originals (60 percent) per M4.2. This is a strong signal that on the 'hit-per-dollar' dimension Originals are pulling their weight given they are just below half of total amortization. However, the bottom-80-percent tail of Netflix content (catalogue titles subscribers watch passively to justify their subscription) is overwhelmingly Licensed — shows like Suits, Breaking Bad, Peaky Blinders, Grey's Anatomy, NCIS, The Blacklist (M1.4). So Licensed is the retention-floor engine, and Originals are the acquisition-and-zeitgeist engine. An honest ROI framework would say Licensed generates more 'passive' viewing hours per dollar (subscribers who watch old TV in background), while Originals generate fewer hours per dollar but higher hour-quality (the kind of hours that generate social discussion, retention and pricing power). You cannot directly compare them on a single ROI number; they are complements, not substitutes.</w:t>
      </w:r>
    </w:p>
    <w:p>
      <w:pPr>
        <w:spacing w:after="90" w:before="0" w:line="280"/>
        <w:jc w:val="left"/>
      </w:pPr>
      <w:r>
        <w:rPr>
          <w:rFonts w:ascii="Roboto" w:cs="Roboto" w:eastAsia="Roboto" w:hAnsi="Roboto"/>
          <w:b w:val="false"/>
          <w:bCs w:val="false"/>
          <w:i w:val="false"/>
          <w:iCs w:val="false"/>
          <w:color w:val="212121"/>
          <w:sz w:val="20"/>
          <w:szCs w:val="20"/>
        </w:rPr>
        <w:t xml:space="preserve">Is content ROI improving with global production? Yes, directly and measurably. Content-spend efficiency (revenue per dollar of content spend) improved from 1.7x in 2021 to 2.3x in 2024, a 35 percent improvement (M5.2, M9.2). Content-cost-to-revenue ratio fell from 45.7 percent in 2019 to 39.2 percent in 2024, and is projected to decline further towards 30 percent (M5.2). This is the operating-leverage engine driving margin expansion from 21 percent (FY2021) to 32 percent guidance (FY2026). The specific global-production mechanism: Originals filmed in Korea, Japan, Spain, Mexico, and Turkey cost 50 to 70 percent less than equivalent US productions but generate comparable or superior global engagement when a local-for-global title hits (Squid Game, Money Heist, KPop Demon Hunters). The 38/62 US / non-US Originals production split (M1.4) is therefore not a financial sacrifice; it is the mechanism of structural ROI improvement. This is our highest-conviction view across the 17 questions and why we rate Netflix BUY on a content-economics basis alone.</w:t>
      </w:r>
    </w:p>
    <w:p>
      <w:pPr>
        <w:pBdr>
          <w:top w:val="single" w:color="0084BF" w:sz="4"/>
          <w:bottom w:val="single" w:color="0084BF" w:sz="4"/>
          <w:left w:val="single" w:color="0084BF" w:sz="4"/>
          <w:right w:val="single" w:color="0084BF" w:sz="4"/>
        </w:pBdr>
        <w:shd w:fill="0084BF" w:val="clear"/>
        <w:spacing w:after="0" w:before="140" w:line="280"/>
        <w:jc w:val="left"/>
      </w:pPr>
      <w:r>
        <w:rPr>
          <w:rFonts w:ascii="Roboto" w:cs="Roboto" w:eastAsia="Roboto" w:hAnsi="Roboto"/>
          <w:b/>
          <w:bCs/>
          <w:i w:val="false"/>
          <w:iCs w:val="false"/>
          <w:color w:val="FFFFFF"/>
          <w:sz w:val="20"/>
          <w:szCs w:val="20"/>
        </w:rPr>
        <w:t xml:space="preserve">Q8 Content Economics — Original vs Licensed ROI Comparison</w:t>
      </w:r>
    </w:p>
    <w:tbl>
      <w:tblPr>
        <w:tblW w:type="pct" w:w="100%"/>
        <w:tblBorders>
          <w:top w:val="none" w:color="FFFFFF" w:sz="0"/>
          <w:left w:val="none" w:color="FFFFFF" w:sz="0"/>
          <w:bottom w:val="single" w:color="D9DEE3" w:sz="4"/>
          <w:right w:val="none" w:color="FFFFFF" w:sz="0"/>
          <w:insideH w:val="single" w:color="D9DEE3" w:sz="4"/>
          <w:insideV w:val="none" w:color="FFFFFF" w:sz="0"/>
        </w:tblBorders>
        <w:tblLayout w:type="autofit"/>
      </w:tblPr>
      <w:tblGrid>
        <w:gridCol w:w="100"/>
        <w:gridCol w:w="100"/>
        <w:gridCol w:w="100"/>
      </w:tblGrid>
      <w:tr>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Metric</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Originals (Produced)</w:t>
            </w:r>
          </w:p>
        </w:tc>
        <w:tc>
          <w:tcPr>
            <w:tcBorders>
              <w:top w:val="none" w:color="FFFFFF" w:sz="0"/>
              <w:left w:val="none" w:color="FFFFFF" w:sz="0"/>
              <w:bottom w:val="single" w:color="87919C" w:sz="4"/>
              <w:right w:val="none" w:color="FFFFFF" w:sz="0"/>
            </w:tcBorders>
            <w:shd w:fill="0084BF" w:val="clear"/>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FFFFFF"/>
                <w:sz w:val="20"/>
                <w:szCs w:val="20"/>
              </w:rPr>
              <w:t xml:space="preserve">Licensed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FY2025 amortization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$7.71B (47% of total, M1.4)</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$8.71B (53% of total, M1.4)</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Year 1 amortization curve</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~40% (M5.3)</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~50% (M5.3)</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Full amortization tail</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&gt;90% within 4 years (long tail)</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&gt;90% within 4 years (shorter tail)</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IP ownership</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Netflix owns globally</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Licensed from third party</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Hit concentration (TV)</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~36 of top-50 shows 2023-25 (M4.2)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14 of top-50 (M4.2)</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Hit concentration (film)</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~30 of top-50 films (M4.2)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20 of top-50</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Global distribution</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Full, all languages</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Regional, often windowed</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Engagement per $ amort</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Higher but with longer tail</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Slightly higher year-1 but declines faster</w:t>
            </w:r>
          </w:p>
        </w:tc>
      </w:tr>
      <w:tr>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bCs/>
                <w:i w:val="false"/>
                <w:iCs w:val="false"/>
                <w:color w:val="212121"/>
                <w:sz w:val="20"/>
                <w:szCs w:val="20"/>
              </w:rPr>
              <w:t xml:space="preserve">Content spend efficiency 2021-2024 (M5.2)</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Blended: $1 content spend $1.7 revenue in 2021 rising to $2.3 in 2024 (+35%)</w:t>
            </w:r>
          </w:p>
        </w:tc>
        <w:tc>
          <w:tcPr>
            <w:tcBorders>
              <w:top w:val="none" w:color="FFFFFF" w:sz="0"/>
              <w:left w:val="none" w:color="FFFFFF" w:sz="0"/>
              <w:bottom w:val="single" w:color="D9DEE3" w:sz="4"/>
              <w:right w:val="none" w:color="FFFFFF" w:sz="0"/>
            </w:tcBorders>
            <w:tcMar>
              <w:top w:type="dxa" w:w="86"/>
              <w:left w:type="dxa" w:w="64"/>
              <w:bottom w:type="dxa" w:w="86"/>
              <w:right w:type="dxa" w:w="64"/>
            </w:tcMar>
            <w:vAlign w:val="top"/>
          </w:tcPr>
          <w:p>
            <w:pPr>
              <w:spacing w:after="0" w:before="0" w:line="280"/>
              <w:jc w:val="left"/>
            </w:pPr>
            <w:r>
              <w:rPr>
                <w:rFonts w:ascii="Roboto" w:cs="Roboto" w:eastAsia="Roboto" w:hAnsi="Roboto"/>
                <w:b w:val="false"/>
                <w:bCs w:val="false"/>
                <w:i w:val="false"/>
                <w:iCs w:val="false"/>
                <w:color w:val="212121"/>
                <w:sz w:val="20"/>
                <w:szCs w:val="20"/>
              </w:rPr>
              <w:t xml:space="preserve">Same blended metric, both buckets contributing</w:t>
            </w:r>
          </w:p>
        </w:tc>
      </w:tr>
    </w:tbl>
    <w:p>
      <w:pPr>
        <w:spacing w:after="0" w:before="90"/>
      </w:pPr>
      <w:r>
        <w:rPr>
          <w:rFonts w:ascii="Roboto" w:cs="Roboto" w:eastAsia="Roboto" w:hAnsi="Roboto"/>
          <w:b w:val="false"/>
          <w:bCs w:val="false"/>
          <w:i w:val="false"/>
          <w:iCs w:val="false"/>
          <w:color w:val="212121"/>
          <w:sz w:val="2"/>
          <w:szCs w:val="2"/>
        </w:rPr>
        <w:t xml:space="preserve"/>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FY2025 content amortization (M1.4, M5.3): total $16.42B; Licensed $8.71B (53%); Originals / Produced $7.71B (47%).</w:t>
      </w:r>
    </w:p>
    <w:p>
      <w:pPr>
        <w:spacing w:after="90" w:before="0" w:line="280"/>
        <w:jc w:val="left"/>
      </w:pPr>
      <w:r>
        <w:rPr>
          <w:rFonts w:ascii="Roboto" w:cs="Roboto" w:eastAsia="Roboto" w:hAnsi="Roboto"/>
          <w:b w:val="false"/>
          <w:bCs w:val="false"/>
          <w:i w:val="false"/>
          <w:iCs w:val="false"/>
          <w:color w:val="212121"/>
          <w:sz w:val="20"/>
          <w:szCs w:val="20"/>
        </w:rPr>
        <w:t xml:space="preserve">Content assets net value trajectory (M5.3): FY2023 $31.66B; FY2024 $32.45B; FY2025 $32.78B. Produced share risen from ~40% (2019) to ~63% (2025).</w:t>
      </w:r>
    </w:p>
    <w:p>
      <w:pPr>
        <w:spacing w:after="90" w:before="0" w:line="280"/>
        <w:jc w:val="left"/>
      </w:pPr>
      <w:r>
        <w:rPr>
          <w:rFonts w:ascii="Roboto" w:cs="Roboto" w:eastAsia="Roboto" w:hAnsi="Roboto"/>
          <w:b w:val="false"/>
          <w:bCs w:val="false"/>
          <w:i w:val="false"/>
          <w:iCs w:val="false"/>
          <w:color w:val="212121"/>
          <w:sz w:val="20"/>
          <w:szCs w:val="20"/>
        </w:rPr>
        <w:t xml:space="preserve">Year 1 amortization curve (M5.3): Licensed ~50%; Produced ~40%; both reach &gt;90% amortized within 4 years.</w:t>
      </w:r>
    </w:p>
    <w:p>
      <w:pPr>
        <w:spacing w:after="90" w:before="0" w:line="280"/>
        <w:jc w:val="left"/>
      </w:pPr>
      <w:r>
        <w:rPr>
          <w:rFonts w:ascii="Roboto" w:cs="Roboto" w:eastAsia="Roboto" w:hAnsi="Roboto"/>
          <w:b w:val="false"/>
          <w:bCs w:val="false"/>
          <w:i w:val="false"/>
          <w:iCs w:val="false"/>
          <w:color w:val="212121"/>
          <w:sz w:val="20"/>
          <w:szCs w:val="20"/>
        </w:rPr>
        <w:t xml:space="preserve">Top-50 hit concentration 2023-2025 (M4.2): Originals represent 36 of top-50 TV shows, 30 of top-50 films.</w:t>
      </w:r>
    </w:p>
    <w:p>
      <w:pPr>
        <w:spacing w:after="90" w:before="0" w:line="280"/>
        <w:jc w:val="left"/>
      </w:pPr>
      <w:r>
        <w:rPr>
          <w:rFonts w:ascii="Roboto" w:cs="Roboto" w:eastAsia="Roboto" w:hAnsi="Roboto"/>
          <w:b w:val="false"/>
          <w:bCs w:val="false"/>
          <w:i w:val="false"/>
          <w:iCs w:val="false"/>
          <w:color w:val="212121"/>
          <w:sz w:val="20"/>
          <w:szCs w:val="20"/>
        </w:rPr>
        <w:t xml:space="preserve">Content spend efficiency (M5.2, M9.2): revenue per $1 content spend rose from 1.7x (2021) to 2.3x (2024), +35%.</w:t>
      </w:r>
    </w:p>
    <w:p>
      <w:pPr>
        <w:spacing w:after="90" w:before="0" w:line="280"/>
        <w:jc w:val="left"/>
      </w:pPr>
      <w:r>
        <w:rPr>
          <w:rFonts w:ascii="Roboto" w:cs="Roboto" w:eastAsia="Roboto" w:hAnsi="Roboto"/>
          <w:b w:val="false"/>
          <w:bCs w:val="false"/>
          <w:i w:val="false"/>
          <w:iCs w:val="false"/>
          <w:color w:val="212121"/>
          <w:sz w:val="20"/>
          <w:szCs w:val="20"/>
        </w:rPr>
        <w:t xml:space="preserve">Content-cost-to-revenue ratio (M5.2): 45.7% in 2019 → 39.2% in 2024, targeted toward 30% long-term.</w:t>
      </w:r>
    </w:p>
    <w:p>
      <w:pPr>
        <w:spacing w:after="90" w:before="0" w:line="280"/>
        <w:jc w:val="left"/>
      </w:pPr>
      <w:r>
        <w:rPr>
          <w:rFonts w:ascii="Roboto" w:cs="Roboto" w:eastAsia="Roboto" w:hAnsi="Roboto"/>
          <w:b w:val="false"/>
          <w:bCs w:val="false"/>
          <w:i w:val="false"/>
          <w:iCs w:val="false"/>
          <w:color w:val="212121"/>
          <w:sz w:val="20"/>
          <w:szCs w:val="20"/>
        </w:rPr>
        <w:t xml:space="preserve">US vs non-US Originals cash-spend mix (M1.4): US 38%; International 62% of produced-content spend.</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Direct engagement-hours-per-dollar-amortization for Originals vs Licensed is NOT published separately by Netflix. The hit-concentration ratio (M4.2) is our best proxy. Year-1 amortization curves are management disclosure, not independent audit data, so the 40% / 50% split is inherently an estimate from management commentary.</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Aligned with consensus on the direction (content ROI improving via globalization), strong variant on the insight that Licensed and Originals are complements not substitutes — Licensed generates retention hours, Originals generate pricing power.</w:t>
      </w:r>
    </w:p>
    <w:p>
      <w:pPr>
        <w:sectPr>
          <w:headerReference w:type="default" r:id="rId22"/>
          <w:footerReference w:type="default" r:id="rId23"/>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Q9. Netflix's Short-Form, Games and Podcasts — Current Progress, AI Integration, Monetization Impact</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treats games as a long-duration optionality bet (a decade-long build), short-form as a defensive response, and podcasts as an unquantified experiment. No sell-side model bakes material revenue from any of these into 2026 or 2027 estimates.</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This is a long-tail-value question, not a near-term revenue question. Netflix's three adjacent bets (vertical short-form feed, games, podcasts) are explicitly described by management as portfolio diversifiers to deepen engagement and create new monetization surfaces — none are positioned as material revenue drivers in 2026 or 2027. Games are the most-developed: Netflix now has over 100 titles, Squid Game: Unleashed was the top Action App in 107 countries, games users show measurably better retention, and cloud-first TV games (party games such as Boggle) are being pushed to the living-room experience to lock in family viewing (M4.5). Management has framed games as a decade-long build addressing a $140 billion addressable market ex-China and Russia (M7.3), but has explicitly said the investment is 'quite small compared to our overall content investment' and therefore not yet material to financials. Vertical short-form is a lead-generation mechanism inside the Netflix app, not a competing short-form platform (M4.5). Podcasts are earliest-stage and materially unquantified in the note set.</w:t>
      </w:r>
    </w:p>
    <w:p>
      <w:pPr>
        <w:spacing w:after="90" w:before="0" w:line="280"/>
        <w:jc w:val="left"/>
      </w:pPr>
      <w:r>
        <w:rPr>
          <w:rFonts w:ascii="Roboto" w:cs="Roboto" w:eastAsia="Roboto" w:hAnsi="Roboto"/>
          <w:b w:val="false"/>
          <w:bCs w:val="false"/>
          <w:i w:val="false"/>
          <w:iCs w:val="false"/>
          <w:color w:val="212121"/>
          <w:sz w:val="20"/>
          <w:szCs w:val="20"/>
        </w:rPr>
        <w:t xml:space="preserve">Long-term viability varies by format. Games have the strongest strategic logic because they address a proven adjacent market with direct synergy to Netflix's IP — the Squid Game: Unleashed launch timed with the streaming series, Bridgerton / Virgin River / Emily in Paris narrative games tied to existing hit shows, and the GTA trilogy as a third-party licensed acquisition hook. The IP-synergy flywheel here is real and defensible: Netflix can greenlight games that no pure-play game company would make because Netflix owns both the show and the audience. Short-form has viability but not as a competing-platform play — the sensible framing (which Netflix has adopted) is short-form as a user-acquisition and discovery surface, not a direct revenue product. Podcasts are a newer and more speculative bet, likely to be subscale through 2027.</w:t>
      </w:r>
    </w:p>
    <w:p>
      <w:pPr>
        <w:spacing w:after="90" w:before="0" w:line="280"/>
        <w:jc w:val="left"/>
      </w:pPr>
      <w:r>
        <w:rPr>
          <w:rFonts w:ascii="Roboto" w:cs="Roboto" w:eastAsia="Roboto" w:hAnsi="Roboto"/>
          <w:b w:val="false"/>
          <w:bCs w:val="false"/>
          <w:i w:val="false"/>
          <w:iCs w:val="false"/>
          <w:color w:val="212121"/>
          <w:sz w:val="20"/>
          <w:szCs w:val="20"/>
        </w:rPr>
        <w:t xml:space="preserve">AI integration potential is highest in games, where AI-generated NPC behaviour, procedural content generation and conversational game mechanics are already maturing; Netflix's GenAI acquisition (InterPositive in Q1 2026) can cross-pollinate into both interactive narrative games and customized game content. Revenue / monetization impact through 2027 will remain low single-digit percentage points of total revenue at best — games do not carry in-app purchases or in-game ads currently (M6.1), so direct monetization is subscription-retention-attached rather than ARPU-lifting. Our estimate: games + short-form + podcasts combined contribute less than 2 percent of revenue in 2027, but contribute materially to retention and AVOD-tier-ARM convergence (better retention lowers churn, which compounds revenue). We therefore treat these as strategic moat investments, not financial drivers; the upside is optionality if one of them breaks out the way the ad tier did from 2022 to 2025.</w:t>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Games portfolio (M4.5, M6.1): 100-plus titles; Squid Game: Unleashed top Action App in 107 countries; games users show better retention; GTA trilogy drove net new customer acquisition.</w:t>
      </w:r>
    </w:p>
    <w:p>
      <w:pPr>
        <w:spacing w:after="90" w:before="0" w:line="280"/>
        <w:jc w:val="left"/>
      </w:pPr>
      <w:r>
        <w:rPr>
          <w:rFonts w:ascii="Roboto" w:cs="Roboto" w:eastAsia="Roboto" w:hAnsi="Roboto"/>
          <w:b w:val="false"/>
          <w:bCs w:val="false"/>
          <w:i w:val="false"/>
          <w:iCs w:val="false"/>
          <w:color w:val="212121"/>
          <w:sz w:val="20"/>
          <w:szCs w:val="20"/>
        </w:rPr>
        <w:t xml:space="preserve">Games TAM (M7.3): $140B ex-China ex-Russia; Netflix's strategy is vertical-specific not broad aggregation.</w:t>
      </w:r>
    </w:p>
    <w:p>
      <w:pPr>
        <w:spacing w:after="90" w:before="0" w:line="280"/>
        <w:jc w:val="left"/>
      </w:pPr>
      <w:r>
        <w:rPr>
          <w:rFonts w:ascii="Roboto" w:cs="Roboto" w:eastAsia="Roboto" w:hAnsi="Roboto"/>
          <w:b w:val="false"/>
          <w:bCs w:val="false"/>
          <w:i w:val="false"/>
          <w:iCs w:val="false"/>
          <w:color w:val="212121"/>
          <w:sz w:val="20"/>
          <w:szCs w:val="20"/>
        </w:rPr>
        <w:t xml:space="preserve">Management sizing (M6.1, M7.3): games investment 'quite small compared to overall content investment'; decade-long build.</w:t>
      </w:r>
    </w:p>
    <w:p>
      <w:pPr>
        <w:spacing w:after="90" w:before="0" w:line="280"/>
        <w:jc w:val="left"/>
      </w:pPr>
      <w:r>
        <w:rPr>
          <w:rFonts w:ascii="Roboto" w:cs="Roboto" w:eastAsia="Roboto" w:hAnsi="Roboto"/>
          <w:b w:val="false"/>
          <w:bCs w:val="false"/>
          <w:i w:val="false"/>
          <w:iCs w:val="false"/>
          <w:color w:val="212121"/>
          <w:sz w:val="20"/>
          <w:szCs w:val="20"/>
        </w:rPr>
        <w:t xml:space="preserve">In-app economics (M6.1): Netflix games currently have NO advertising and NO in-app purchases.</w:t>
      </w:r>
    </w:p>
    <w:p>
      <w:pPr>
        <w:spacing w:after="90" w:before="0" w:line="280"/>
        <w:jc w:val="left"/>
      </w:pPr>
      <w:r>
        <w:rPr>
          <w:rFonts w:ascii="Roboto" w:cs="Roboto" w:eastAsia="Roboto" w:hAnsi="Roboto"/>
          <w:b w:val="false"/>
          <w:bCs w:val="false"/>
          <w:i w:val="false"/>
          <w:iCs w:val="false"/>
          <w:color w:val="212121"/>
          <w:sz w:val="20"/>
          <w:szCs w:val="20"/>
        </w:rPr>
        <w:t xml:space="preserve">Vertical short-form in Netflix app (M4.5): testing in-app feed, used for discovery / lead generation; not a competing platform to TikTok.</w:t>
      </w:r>
    </w:p>
    <w:p>
      <w:pPr>
        <w:spacing w:after="90" w:before="0" w:line="280"/>
        <w:jc w:val="left"/>
      </w:pPr>
      <w:r>
        <w:rPr>
          <w:rFonts w:ascii="Roboto" w:cs="Roboto" w:eastAsia="Roboto" w:hAnsi="Roboto"/>
          <w:b w:val="false"/>
          <w:bCs w:val="false"/>
          <w:i w:val="false"/>
          <w:iCs w:val="false"/>
          <w:color w:val="212121"/>
          <w:sz w:val="20"/>
          <w:szCs w:val="20"/>
        </w:rPr>
        <w:t xml:space="preserve">AI integration (M11): GenAI tools being deployed in previsualization, VFX, marketing creative; InterPositive acquired Q1 2026.</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Podcast content progress and scale are essentially absent from the note set. Games revenue contribution is explicitly described as 'very small' but no quantified ARPU lift is disclosed. Our '&lt;2% of 2027 revenue' estimate is analytical, not sourced.</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Aligned with consensus. These are optionality plays, not 2026-2027 revenue drivers. We are modestly more positive on games-as-retention-tool than on short-form or podcasts.</w:t>
      </w:r>
    </w:p>
    <w:p>
      <w:pPr>
        <w:sectPr>
          <w:headerReference w:type="default" r:id="rId24"/>
          <w:footerReference w:type="default" r:id="rId25"/>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Q10. Netflix's Primary Competitive Dimension — Content Competition or Competition for User Time?</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describes Netflix as competing in 'streaming / video entertainment' without taking a firm position on whether the core competitive dimension is content quality or time share. Reports oscillate between the two framings without committing.</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Our committed view: Netflix competes primarily on user time, and content is the instrument through which time is won. This is a specific, testable claim and we support it with three concrete data points. First, management's own framing is time-centric. Co-CEO Ted Sarandos has explicitly said Netflix and YouTube together still only own approximately 20 percent of total US TV viewing time, and the core strategic priority is capturing the remaining 80 percent, not beating any individual content competitor on a specific title (M4.2). Engagement-hours, not title-count or content-library-size, is the metric management has escalated as the 'North Star' after de-emphasizing subscriber disclosure (M3.2). And the Leading Indicator #1 we flag as the thesis break-signal is engagement-hours-per-subscriber declining, not a content-library-size ratio (M3.4).</w:t>
      </w:r>
    </w:p>
    <w:p>
      <w:pPr>
        <w:spacing w:after="90" w:before="0" w:line="280"/>
        <w:jc w:val="left"/>
      </w:pPr>
      <w:r>
        <w:rPr>
          <w:rFonts w:ascii="Roboto" w:cs="Roboto" w:eastAsia="Roboto" w:hAnsi="Roboto"/>
          <w:b w:val="false"/>
          <w:bCs w:val="false"/>
          <w:i w:val="false"/>
          <w:iCs w:val="false"/>
          <w:color w:val="212121"/>
          <w:sz w:val="20"/>
          <w:szCs w:val="20"/>
        </w:rPr>
        <w:t xml:space="preserve">Second, the financial model validates time-over-content as the primary competitive dimension. Every price hike Netflix has landed has been narrated back to engagement: the UCAN hikes of January 2025 and April 2026 were 'first deliver more value, then charge more,' and the value is measured in hours-watched, not content-library additions (M1.3, M2.2). Netflix's pricing moat is explicitly that it is the lowest-cost-per-hour-of-viewing platform in the industry — UCAN Q4 2024 indexed to 100 versus Disney+ 109, Paramount+ 113, Hulu 140, Max 181 (M2.2). This framing — cost per viewing hour — is a time-dominated metric. A content-quality-dominated framing would price on awards count or critical reception; Netflix does not.</w:t>
      </w:r>
    </w:p>
    <w:p>
      <w:pPr>
        <w:spacing w:after="90" w:before="0" w:line="280"/>
        <w:jc w:val="left"/>
      </w:pPr>
      <w:r>
        <w:rPr>
          <w:rFonts w:ascii="Roboto" w:cs="Roboto" w:eastAsia="Roboto" w:hAnsi="Roboto"/>
          <w:b w:val="false"/>
          <w:bCs w:val="false"/>
          <w:i w:val="false"/>
          <w:iCs w:val="false"/>
          <w:color w:val="212121"/>
          <w:sz w:val="20"/>
          <w:szCs w:val="20"/>
        </w:rPr>
        <w:t xml:space="preserve">Third, the true competitor set is revealed by where Netflix is losing minutes, not where Netflix is losing content wars. Netflix's US CTV share has fallen from 19 percent to 16 percent, and the beneficiary is YouTube, not Disney+ or Max (M4.2, M4.5). Short-form minute consumption (TikTok, Shorts, DramaBox at 22 minutes per day per US user, exceeding Peacock and HBO Max on mobile — M4.5) is the growing competitive threat. These are not content-catalogue competitors; they are attention-time competitors. If the primary competitive dimension were content, Netflix should care about Disney's IP library first. Instead Netflix's strategic moves — vertical short-form feed, live events, games, the cost-per-hour framing — are all designed to win minutes, not to win content wars with Disney. The implication for modelling: per-subscriber hours is the leading indicator that matters (watch it quarterly), and content spend should be evaluated on hours-generated-per-dollar (the ROI framing in Q8), not titles-released-per-dollar. This is what the shift in reporting cadence from subscriber disclosure to engagement disclosure (M3.2) is really signalling.</w:t>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Management framing (M4.2): approximately 20% of US TV viewing time is Netflix + YouTube combined; remaining 80% is the strategic target.</w:t>
      </w:r>
    </w:p>
    <w:p>
      <w:pPr>
        <w:spacing w:after="90" w:before="0" w:line="280"/>
        <w:jc w:val="left"/>
      </w:pPr>
      <w:r>
        <w:rPr>
          <w:rFonts w:ascii="Roboto" w:cs="Roboto" w:eastAsia="Roboto" w:hAnsi="Roboto"/>
          <w:b w:val="false"/>
          <w:bCs w:val="false"/>
          <w:i w:val="false"/>
          <w:iCs w:val="false"/>
          <w:color w:val="212121"/>
          <w:sz w:val="20"/>
          <w:szCs w:val="20"/>
        </w:rPr>
        <w:t xml:space="preserve">Leading indicator ordering (M3.4): engagement hours declining is the #1 thesis break signal, ahead of ARM / content ROI / OPM.</w:t>
      </w:r>
    </w:p>
    <w:p>
      <w:pPr>
        <w:spacing w:after="90" w:before="0" w:line="280"/>
        <w:jc w:val="left"/>
      </w:pPr>
      <w:r>
        <w:rPr>
          <w:rFonts w:ascii="Roboto" w:cs="Roboto" w:eastAsia="Roboto" w:hAnsi="Roboto"/>
          <w:b w:val="false"/>
          <w:bCs w:val="false"/>
          <w:i w:val="false"/>
          <w:iCs w:val="false"/>
          <w:color w:val="212121"/>
          <w:sz w:val="20"/>
          <w:szCs w:val="20"/>
        </w:rPr>
        <w:t xml:space="preserve">Cost-per-hour pricing framework (M2.2): UCAN Q4 2024 Netflix indexed at 100, Disney+ 109, Paramount+ 113, Hulu 140, Max 181.</w:t>
      </w:r>
    </w:p>
    <w:p>
      <w:pPr>
        <w:spacing w:after="90" w:before="0" w:line="280"/>
        <w:jc w:val="left"/>
      </w:pPr>
      <w:r>
        <w:rPr>
          <w:rFonts w:ascii="Roboto" w:cs="Roboto" w:eastAsia="Roboto" w:hAnsi="Roboto"/>
          <w:b w:val="false"/>
          <w:bCs w:val="false"/>
          <w:i w:val="false"/>
          <w:iCs w:val="false"/>
          <w:color w:val="212121"/>
          <w:sz w:val="20"/>
          <w:szCs w:val="20"/>
        </w:rPr>
        <w:t xml:space="preserve">Where Netflix is losing share (M4.2, M4.5): US CTV share down from 19% (Q2 2023) to 16% (2025); YouTube ~50% higher than Netflix in US streaming hours.</w:t>
      </w:r>
    </w:p>
    <w:p>
      <w:pPr>
        <w:spacing w:after="90" w:before="0" w:line="280"/>
        <w:jc w:val="left"/>
      </w:pPr>
      <w:r>
        <w:rPr>
          <w:rFonts w:ascii="Roboto" w:cs="Roboto" w:eastAsia="Roboto" w:hAnsi="Roboto"/>
          <w:b w:val="false"/>
          <w:bCs w:val="false"/>
          <w:i w:val="false"/>
          <w:iCs w:val="false"/>
          <w:color w:val="212121"/>
          <w:sz w:val="20"/>
          <w:szCs w:val="20"/>
        </w:rPr>
        <w:t xml:space="preserve">Short-form time threat (M4.5): DramaBox US daily user time approximately 22 minutes, above Peacock and HBO Max on mobile.</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This is a framing question that the note set supports but does not explicitly frame. Our conclusion is analytical, synthesising management statements (M3.2, M4.2), pricing framework (M2.2), and leading-indicator ordering (M3.4). There is no single sourced statement that says 'Netflix primarily competes on time.'</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Strong variant. Consensus does not commit to this framing. Our conclusion has direct implications for which metrics investors should watch quarterly.</w:t>
      </w:r>
    </w:p>
    <w:p>
      <w:pPr>
        <w:sectPr>
          <w:headerReference w:type="default" r:id="rId26"/>
          <w:footerReference w:type="default" r:id="rId27"/>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Q11. Sustainable Pricing Power — Past US Hikes: User Response, Churn Elasticity, Actual ARPU Uplift per Cycle</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accepts that Netflix has demonstrated pricing power but does not systematically quantify the ARM uplift per hike cycle net of AVOD-mix dilution. Most sell-side treats pricing as a stable mid-to-high single-digit driver without stress-testing sustainability.</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Netflix's US pricing history from 2014 to 2026 is a remarkable demonstration of monopolistic-style pricing power: the Standard plan has moved from $7.99 in 2014 to $19.99 by April 2026, roughly a seven-percent compound annual increase over twelve years, punctuated by periodic step-ups of $1 to $2. Each step-up has been followed by a churn tick-up of approximately 10 basis points and a full recovery within one to two quarters (M2.2). The latest data point is the April 2026 hike (Basic-with-Ads $8.99, Standard $19.99, Premium $26.99); management's characterization is that 'early signals are in line with expectations' (M1.3, M2.2). For Canada, the churn response to the same hike has been effectively flat. Meanwhile churn has remained industry-best at approximately 2 percent, versus 4-8 percent across the peer group (M2.2).</w:t>
      </w:r>
    </w:p>
    <w:p>
      <w:pPr>
        <w:spacing w:after="90" w:before="0" w:line="280"/>
        <w:jc w:val="left"/>
      </w:pPr>
      <w:r>
        <w:rPr>
          <w:rFonts w:ascii="Roboto" w:cs="Roboto" w:eastAsia="Roboto" w:hAnsi="Roboto"/>
          <w:b w:val="false"/>
          <w:bCs w:val="false"/>
          <w:i w:val="false"/>
          <w:iCs w:val="false"/>
          <w:color w:val="212121"/>
          <w:sz w:val="20"/>
          <w:szCs w:val="20"/>
        </w:rPr>
        <w:t xml:space="preserve">The actual ARPU / ARM uplift per hike cycle, however, is significantly less than the sticker increase because of AVOD-mix dilution. The January 2025 UCAN hike raised non-ad-tier subscription ARM by approximately 12 percent year-over-year (M2.2). But during the same period, the AVOD share of UCAN subscribers grew from 18 percent in 2024 to 30 percent in 2025 (M1.2), which dragged blended ARM down such that the realized 2025 UCAN blended ARM grew only approximately 3 percent (M2.2). Over the longer history, UCAN ARM has compounded at roughly 8 percent across the full historical cycle (M2.2), but this reflects pre-AVOD arithmetic. Going forward, we think realized UCAN ARM growth will be in the 3 to 5 percent range through 2027, because each hike is partially offset by AVOD-mix expansion, and the AVOD mix-shift is not yet complete (we expect 36 percent of UCAN subs on ad tier by 2026, 41 percent-plus by 2027 per M3.4).</w:t>
      </w:r>
    </w:p>
    <w:p>
      <w:pPr>
        <w:spacing w:after="90" w:before="0" w:line="280"/>
        <w:jc w:val="left"/>
      </w:pPr>
      <w:r>
        <w:rPr>
          <w:rFonts w:ascii="Roboto" w:cs="Roboto" w:eastAsia="Roboto" w:hAnsi="Roboto"/>
          <w:b w:val="false"/>
          <w:bCs w:val="false"/>
          <w:i w:val="false"/>
          <w:iCs w:val="false"/>
          <w:color w:val="212121"/>
          <w:sz w:val="20"/>
          <w:szCs w:val="20"/>
        </w:rPr>
        <w:t xml:space="preserve">Is pricing power sustainable? Yes, but with three caveats. First, the primary ceiling is cost-per-hour-of-viewing parity with the peer group: Netflix's UCAN index at 100 versus competitors at 109 to 181 gives roughly 9 to 80 percent relative pricing headroom before Netflix starts to look expensive on a value basis (M2.2). That is a multi-year pricing runway but not infinite. Second, the pricing power transfers to new markets: the M1.3 pricing CAGR of 10 percent in Brazil and Mexico, 8 percent in Japan, 10 percent in the UK shows that emerging-market and mature-market pricing power is being harvested simultaneously. Third, the pricing-power mechanism requires continued engagement-hour delivery — if US per-subscriber hours move below approximately 45 minutes per day for sustained periods, the cost-per-hour advantage erodes and the hike-recovery dynamic breaks down. We monitor engagement hours quarterly as a leading indicator of pricing sustainability (M3.4).</w:t>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UCAN pricing history (M1.3): Standard plan $15.49 (pre-2025) to $17.99 (Jan 2025) to $19.99 (Apr 2026); Premium $22.99 to $24.99 to $26.99; Basic-with-Ads $7.99 to $8.99.</w:t>
      </w:r>
    </w:p>
    <w:p>
      <w:pPr>
        <w:spacing w:after="90" w:before="0" w:line="280"/>
        <w:jc w:val="left"/>
      </w:pPr>
      <w:r>
        <w:rPr>
          <w:rFonts w:ascii="Roboto" w:cs="Roboto" w:eastAsia="Roboto" w:hAnsi="Roboto"/>
          <w:b w:val="false"/>
          <w:bCs w:val="false"/>
          <w:i w:val="false"/>
          <w:iCs w:val="false"/>
          <w:color w:val="212121"/>
          <w:sz w:val="20"/>
          <w:szCs w:val="20"/>
        </w:rPr>
        <w:t xml:space="preserve">Historical Standard-plan CAGR (M1.3): US Std 7%, Prem 9% over approx. 2020-2024 window.</w:t>
      </w:r>
    </w:p>
    <w:p>
      <w:pPr>
        <w:spacing w:after="90" w:before="0" w:line="280"/>
        <w:jc w:val="left"/>
      </w:pPr>
      <w:r>
        <w:rPr>
          <w:rFonts w:ascii="Roboto" w:cs="Roboto" w:eastAsia="Roboto" w:hAnsi="Roboto"/>
          <w:b w:val="false"/>
          <w:bCs w:val="false"/>
          <w:i w:val="false"/>
          <w:iCs w:val="false"/>
          <w:color w:val="212121"/>
          <w:sz w:val="20"/>
          <w:szCs w:val="20"/>
        </w:rPr>
        <w:t xml:space="preserve">Churn elasticity per hike (M2.2): US +10bps; Canada flat; churn stable at approx 2% vs peers 4-8%.</w:t>
      </w:r>
    </w:p>
    <w:p>
      <w:pPr>
        <w:spacing w:after="90" w:before="0" w:line="280"/>
        <w:jc w:val="left"/>
      </w:pPr>
      <w:r>
        <w:rPr>
          <w:rFonts w:ascii="Roboto" w:cs="Roboto" w:eastAsia="Roboto" w:hAnsi="Roboto"/>
          <w:b w:val="false"/>
          <w:bCs w:val="false"/>
          <w:i w:val="false"/>
          <w:iCs w:val="false"/>
          <w:color w:val="212121"/>
          <w:sz w:val="20"/>
          <w:szCs w:val="20"/>
        </w:rPr>
        <w:t xml:space="preserve">2025 UCAN ARM mechanics (M2.2): non-ad-tier subscription ARM +12% YoY; but ad-tier share grew from 18% to 30%; blended ARM grew only approx 3%.</w:t>
      </w:r>
    </w:p>
    <w:p>
      <w:pPr>
        <w:spacing w:after="90" w:before="0" w:line="280"/>
        <w:jc w:val="left"/>
      </w:pPr>
      <w:r>
        <w:rPr>
          <w:rFonts w:ascii="Roboto" w:cs="Roboto" w:eastAsia="Roboto" w:hAnsi="Roboto"/>
          <w:b w:val="false"/>
          <w:bCs w:val="false"/>
          <w:i w:val="false"/>
          <w:iCs w:val="false"/>
          <w:color w:val="212121"/>
          <w:sz w:val="20"/>
          <w:szCs w:val="20"/>
        </w:rPr>
        <w:t xml:space="preserve">Cost-per-hour-of-viewing index (M2.2): Netflix UCAN = 100, Disney+ 109, Paramount+ 113, Hulu 140, Max 181.</w:t>
      </w:r>
    </w:p>
    <w:p>
      <w:pPr>
        <w:spacing w:after="90" w:before="0" w:line="280"/>
        <w:jc w:val="left"/>
      </w:pPr>
      <w:r>
        <w:rPr>
          <w:rFonts w:ascii="Roboto" w:cs="Roboto" w:eastAsia="Roboto" w:hAnsi="Roboto"/>
          <w:b w:val="false"/>
          <w:bCs w:val="false"/>
          <w:i w:val="false"/>
          <w:iCs w:val="false"/>
          <w:color w:val="212121"/>
          <w:sz w:val="20"/>
          <w:szCs w:val="20"/>
        </w:rPr>
        <w:t xml:space="preserve">Ad-tier AVOD share trajectory UCAN (M3.4): 2024 18%; 2025 30%; 2026E 36%; 2027E 41%+.</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Pre-2020 specific hike-by-hike ARPU response is not in the note set. The exact first-quarter versus full-year churn recovery curve is management-described, not independently verified with cohort data.</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Aligned with consensus on direction, partial variant on magnitude — we expect realized UCAN blended ARM to grow 3 to 5% not the higher end through 2027, because AVOD-mix dilution has not fully rolled through yet.</w:t>
      </w:r>
    </w:p>
    <w:p>
      <w:pPr>
        <w:sectPr>
          <w:headerReference w:type="default" r:id="rId28"/>
          <w:footerReference w:type="default" r:id="rId2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Q12. LATAM Price Sensitivity — Why Short-Term Sub Loss, and Revenue Growth versus High-Value Filter Strategy</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acknowledges LATAM's price sensitivity but treats it as a manageable transition. Street rarely asks whether Netflix's LATAM pricing strategy is a revenue-maximization or a deliberate user-quality filter.</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LATAM's price sensitivity has been more visible in short-term subscriber loss because Netflix has implemented some of the industry's steepest price increases there — Brazil and Mexico Standard plans have compounded at roughly 10 percent annually, and Mexico Premium at 11 percent (M1.3). These are inflation pass-through rates, but they are economically significant for LATAM subscribers where real household incomes have been stagnant in dollar terms. The result has been more visible churn on each hike and a slower recovery curve than in UCAN — although the note set does not publish LATAM-specific churn elasticity directly, the Q1 2026 LATAM revenue growth of 19 percent year-over-year (18 percent FX-neutral, M1.1) demonstrates that even with some subscriber loss, ARM expansion has more than compensated in aggregate. LATAM generates roughly 12 percent of total Netflix revenue but only approximately 12 percent of subscribers — meaning LATAM's effective ARM-to-subscriber contribution is parity, not dilutive, despite lower nominal pricing.</w:t>
      </w:r>
    </w:p>
    <w:p>
      <w:pPr>
        <w:spacing w:after="90" w:before="0" w:line="280"/>
        <w:jc w:val="left"/>
      </w:pPr>
      <w:r>
        <w:rPr>
          <w:rFonts w:ascii="Roboto" w:cs="Roboto" w:eastAsia="Roboto" w:hAnsi="Roboto"/>
          <w:b w:val="false"/>
          <w:bCs w:val="false"/>
          <w:i w:val="false"/>
          <w:iCs w:val="false"/>
          <w:color w:val="212121"/>
          <w:sz w:val="20"/>
          <w:szCs w:val="20"/>
        </w:rPr>
        <w:t xml:space="preserve">The underlying strategic question — is Netflix running a revenue-growth strategy or a high-value-user-filter strategy in LATAM — admits a nuanced answer. The hike cadence and inflation-adjustment mechanism argues for revenue growth: Netflix raises prices in LATAM at inflation-plus rates, captures the subscribers whose willingness-to-pay is robust to price increases, and accepts the churn of price-sensitive subscribers as an acceptable trade-off because the remaining cohort has higher lifetime value. In that sense, there is a user-quality filter operating. But the filter is not the primary goal; revenue growth is. The evidence: Netflix continues to invest heavily in LATAM local content (Mexican and Brazilian originals), signalling commitment to subscriber retention and acquisition, not just filtering. And management has explicitly described LATAM pricing as inflation pass-through rather than as a deliberate filter (M1.3). The correct framing: LATAM is a revenue-maximization strategy that, as a side effect, produces a self-selection filter.</w:t>
      </w:r>
    </w:p>
    <w:p>
      <w:pPr>
        <w:spacing w:after="90" w:before="0" w:line="280"/>
        <w:jc w:val="left"/>
      </w:pPr>
      <w:r>
        <w:rPr>
          <w:rFonts w:ascii="Roboto" w:cs="Roboto" w:eastAsia="Roboto" w:hAnsi="Roboto"/>
          <w:b w:val="false"/>
          <w:bCs w:val="false"/>
          <w:i w:val="false"/>
          <w:iCs w:val="false"/>
          <w:color w:val="212121"/>
          <w:sz w:val="20"/>
          <w:szCs w:val="20"/>
        </w:rPr>
        <w:t xml:space="preserve">What this means for 2026-2027 modelling: LATAM revenue growth will continue at 15 to 20 percent annually driven primarily by pricing (the 10 percent compound rate should continue until US-dollar-adjusted ARPU reaches parity with EMEA ARPU at roughly $13, versus current LATAM monthly ARPU of approximately $8.22 per M2.1 — we are several years from that convergence). Subscriber net-add growth will be in the mid-to-high-single-digits, lower than APAC's 15 to 20 percent. LATAM contribution margin is structurally positive but not the highest among the four regions — UCAN is the profit anchor, EMEA is the scale engine, APAC is the growth engine, and LATAM is the pricing-power-harvest engine with moderate subscriber churn as the cost of that harvest. The thesis breaks if Netflix tries to push LATAM pricing past the willingness-to-pay ceiling and subscriber losses accelerate to the point that ARM growth no longer compensates — a risk we watch but do not yet see.</w:t>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LATAM Q1 2026 revenue (M1.1): $1.50B, +19% YoY (+18% FX-neutral).</w:t>
      </w:r>
    </w:p>
    <w:p>
      <w:pPr>
        <w:spacing w:after="90" w:before="0" w:line="280"/>
        <w:jc w:val="left"/>
      </w:pPr>
      <w:r>
        <w:rPr>
          <w:rFonts w:ascii="Roboto" w:cs="Roboto" w:eastAsia="Roboto" w:hAnsi="Roboto"/>
          <w:b w:val="false"/>
          <w:bCs w:val="false"/>
          <w:i w:val="false"/>
          <w:iCs w:val="false"/>
          <w:color w:val="212121"/>
          <w:sz w:val="20"/>
          <w:szCs w:val="20"/>
        </w:rPr>
        <w:t xml:space="preserve">LATAM monthly ARPU estimate 2025 (M2.1): approximately $8.22 / month or $98.6 annualized.</w:t>
      </w:r>
    </w:p>
    <w:p>
      <w:pPr>
        <w:spacing w:after="90" w:before="0" w:line="280"/>
        <w:jc w:val="left"/>
      </w:pPr>
      <w:r>
        <w:rPr>
          <w:rFonts w:ascii="Roboto" w:cs="Roboto" w:eastAsia="Roboto" w:hAnsi="Roboto"/>
          <w:b w:val="false"/>
          <w:bCs w:val="false"/>
          <w:i w:val="false"/>
          <w:iCs w:val="false"/>
          <w:color w:val="212121"/>
          <w:sz w:val="20"/>
          <w:szCs w:val="20"/>
        </w:rPr>
        <w:t xml:space="preserve">Brazil pricing CAGR 2017-2024 (M1.3): Standard +10%, Premium +10%.</w:t>
      </w:r>
    </w:p>
    <w:p>
      <w:pPr>
        <w:spacing w:after="90" w:before="0" w:line="280"/>
        <w:jc w:val="left"/>
      </w:pPr>
      <w:r>
        <w:rPr>
          <w:rFonts w:ascii="Roboto" w:cs="Roboto" w:eastAsia="Roboto" w:hAnsi="Roboto"/>
          <w:b w:val="false"/>
          <w:bCs w:val="false"/>
          <w:i w:val="false"/>
          <w:iCs w:val="false"/>
          <w:color w:val="212121"/>
          <w:sz w:val="20"/>
          <w:szCs w:val="20"/>
        </w:rPr>
        <w:t xml:space="preserve">Mexico pricing CAGR 2017-2024 (M1.3): Standard +10%, Premium +11%.</w:t>
      </w:r>
    </w:p>
    <w:p>
      <w:pPr>
        <w:spacing w:after="90" w:before="0" w:line="280"/>
        <w:jc w:val="left"/>
      </w:pPr>
      <w:r>
        <w:rPr>
          <w:rFonts w:ascii="Roboto" w:cs="Roboto" w:eastAsia="Roboto" w:hAnsi="Roboto"/>
          <w:b w:val="false"/>
          <w:bCs w:val="false"/>
          <w:i w:val="false"/>
          <w:iCs w:val="false"/>
          <w:color w:val="212121"/>
          <w:sz w:val="20"/>
          <w:szCs w:val="20"/>
        </w:rPr>
        <w:t xml:space="preserve">Management pricing rationale (M1.3): LATAM hikes framed as inflation pass-through on currency-devalued markets with strong local demand.</w:t>
      </w:r>
    </w:p>
    <w:p>
      <w:pPr>
        <w:spacing w:after="90" w:before="0" w:line="280"/>
        <w:jc w:val="left"/>
      </w:pPr>
      <w:r>
        <w:rPr>
          <w:rFonts w:ascii="Roboto" w:cs="Roboto" w:eastAsia="Roboto" w:hAnsi="Roboto"/>
          <w:b w:val="false"/>
          <w:bCs w:val="false"/>
          <w:i w:val="false"/>
          <w:iCs w:val="false"/>
          <w:color w:val="212121"/>
          <w:sz w:val="20"/>
          <w:szCs w:val="20"/>
        </w:rPr>
        <w:t xml:space="preserve">LATAM revenue share FY2025 (M1.1, inferred): approximately 12% of total revenue; subscriber share approximately 12%.</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LATAM-specific churn elasticity per hike is not directly quantified in the note set (unlike UCAN's +10bps figure). Short-term sub loss is inferred from 'more visible' per the PM prompt, not from sourced data. Brazilian and Mexican subscriber base separation is not disclosed.</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Aligned with consensus on the direction, partial variant on the framing — LATAM is a revenue-maximization strategy, not a deliberate user-filter strategy. The filter is a side-effect, not the goal.</w:t>
      </w:r>
    </w:p>
    <w:p>
      <w:pPr>
        <w:sectPr>
          <w:headerReference w:type="default" r:id="rId30"/>
          <w:footerReference w:type="default" r:id="rId31"/>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Q13. Will Ads Tier Become Core to Future Pricing Strategy? Long-Term Growth Mix: Price / ARPU vs Subscriber Scale</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treats ads tier and pricing as parallel levers but does not explicitly call ads tier the 'core binding element' of pricing strategy. Most models assume subscriber growth and ARPU both contribute to revenue growth without stating which is primary.</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Yes — ads tier is already becoming the core binding element of Netflix's long-term pricing strategy, and we expect the subscription-plus-ads model to be the dominant structural form of Netflix's revenue mix by 2028. Three data points support this. First, ad-tier adoption is accelerating: organic sign-up share reached 40 percent in Q1 2024, 45 percent in Q2, 50 percent in Q3, and over 55 percent in Q4 (M1.2). The ad tier is already the default new-customer sign-up option in 12 of Netflix's most important markets. Second, the ad-tier arithmetic of cheap-starter-plan-plus-ad-revenue delivers a higher incremental margin than the pure subscription model: approximately 70 percent incremental margin on ad revenue (M5.2) versus the blended Netflix operating margin of about 32 percent. Third, management is explicitly using the ad tier as a pricing-anchor mechanism — the April 2026 hike raised Basic-with-Ads only $1 (from $7.99 to $8.99) while Standard went up $2 (from $17.99 to $19.99) and Premium $2 (from $24.99 to $26.99), which widens the ad-tier-to-standard price spread and pushes price-sensitive subscribers toward the ad tier (M1.2, M1.3).</w:t>
      </w:r>
    </w:p>
    <w:p>
      <w:pPr>
        <w:spacing w:after="90" w:before="0" w:line="280"/>
        <w:jc w:val="left"/>
      </w:pPr>
      <w:r>
        <w:rPr>
          <w:rFonts w:ascii="Roboto" w:cs="Roboto" w:eastAsia="Roboto" w:hAnsi="Roboto"/>
          <w:b w:val="false"/>
          <w:bCs w:val="false"/>
          <w:i w:val="false"/>
          <w:iCs w:val="false"/>
          <w:color w:val="212121"/>
          <w:sz w:val="20"/>
          <w:szCs w:val="20"/>
        </w:rPr>
        <w:t xml:space="preserve">The implication for long-term revenue-growth mix is significant. Over 2026 to 2028, we expect the growth decomposition to shift from 'subscriber-scale-plus-pricing' to 'pricing-plus-ads-plus-subscriber-scale' in roughly that weighting. For 2026 specifically, management and Bernstein both have pricing as the largest incremental revenue contributor in UCAN, with ads contributing approximately 25 percent of the 2025 total revenue increment (M5.1). For 2027, ads should move to 30 to 35 percent of incremental revenue if Bernstein's $8 billion ad target is reached. Subscriber scale continues to matter through 2028 because India, Japan and emerging-market penetration are still building, but by 2028 subscriber-scale will be the smallest of the three drivers. By 2030, the decomposition likely becomes 'ads 35-40 percent, pricing 35 percent, subscriber scale 25 percent' of incremental revenue.</w:t>
      </w:r>
    </w:p>
    <w:p>
      <w:pPr>
        <w:spacing w:after="90" w:before="0" w:line="280"/>
        <w:jc w:val="left"/>
      </w:pPr>
      <w:r>
        <w:rPr>
          <w:rFonts w:ascii="Roboto" w:cs="Roboto" w:eastAsia="Roboto" w:hAnsi="Roboto"/>
          <w:b w:val="false"/>
          <w:bCs w:val="false"/>
          <w:i w:val="false"/>
          <w:iCs w:val="false"/>
          <w:color w:val="212121"/>
          <w:sz w:val="20"/>
          <w:szCs w:val="20"/>
        </w:rPr>
        <w:t xml:space="preserve">This has second-order implications for valuation and for modelling. First, the ads tier's structural margin advantage means Netflix's long-term operating margin target of 40 percent is achievable without requiring more pricing power — ad-tier mix expansion alone does most of the work (M5.2 shows content-cost-to-revenue falling towards 30 percent partly because of ads revenue expansion in the denominator). Second, the ads-tier flywheel creates a more defensible competitive position against YouTube because Netflix's per-hour premium-inventory economics are structurally better than YouTube's UGC economics; this is why ad-tier expansion is not just about Netflix monetizing better but about Netflix extracting wallet share from advertisers who were previously spending with YouTube and linear TV. Third, the lean towards ARPU-plus-ads monetization vs subscriber scale suggests Netflix's long-term valuation should be anchored to revenue per engaged hour (a metric that scales with both hours and advertising CPMs) rather than revenue per subscriber.</w:t>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Ad-tier sign-up share (M1.2): Q1 2024 40%, Q2 45%, Q3 50%, Q4 55%+; now the default new-customer option in 12 markets.</w:t>
      </w:r>
    </w:p>
    <w:p>
      <w:pPr>
        <w:spacing w:after="90" w:before="0" w:line="280"/>
        <w:jc w:val="left"/>
      </w:pPr>
      <w:r>
        <w:rPr>
          <w:rFonts w:ascii="Roboto" w:cs="Roboto" w:eastAsia="Roboto" w:hAnsi="Roboto"/>
          <w:b w:val="false"/>
          <w:bCs w:val="false"/>
          <w:i w:val="false"/>
          <w:iCs w:val="false"/>
          <w:color w:val="212121"/>
          <w:sz w:val="20"/>
          <w:szCs w:val="20"/>
        </w:rPr>
        <w:t xml:space="preserve">Ad-tier incremental margin (M5.2): approximately 70% contribution margin on incremental ad revenue.</w:t>
      </w:r>
    </w:p>
    <w:p>
      <w:pPr>
        <w:spacing w:after="90" w:before="0" w:line="280"/>
        <w:jc w:val="left"/>
      </w:pPr>
      <w:r>
        <w:rPr>
          <w:rFonts w:ascii="Roboto" w:cs="Roboto" w:eastAsia="Roboto" w:hAnsi="Roboto"/>
          <w:b w:val="false"/>
          <w:bCs w:val="false"/>
          <w:i w:val="false"/>
          <w:iCs w:val="false"/>
          <w:color w:val="212121"/>
          <w:sz w:val="20"/>
          <w:szCs w:val="20"/>
        </w:rPr>
        <w:t xml:space="preserve">April 2026 hike widening ad-tier-to-standard spread (M1.2, M1.3): Basic-with-Ads +$1, Standard +$2, Premium +$2.</w:t>
      </w:r>
    </w:p>
    <w:p>
      <w:pPr>
        <w:spacing w:after="90" w:before="0" w:line="280"/>
        <w:jc w:val="left"/>
      </w:pPr>
      <w:r>
        <w:rPr>
          <w:rFonts w:ascii="Roboto" w:cs="Roboto" w:eastAsia="Roboto" w:hAnsi="Roboto"/>
          <w:b w:val="false"/>
          <w:bCs w:val="false"/>
          <w:i w:val="false"/>
          <w:iCs w:val="false"/>
          <w:color w:val="212121"/>
          <w:sz w:val="20"/>
          <w:szCs w:val="20"/>
        </w:rPr>
        <w:t xml:space="preserve">2025 revenue increment decomposition (M5.1): ads contributed approximately 25% of the approximately $60B incremental revenue.</w:t>
      </w:r>
    </w:p>
    <w:p>
      <w:pPr>
        <w:spacing w:after="90" w:before="0" w:line="280"/>
        <w:jc w:val="left"/>
      </w:pPr>
      <w:r>
        <w:rPr>
          <w:rFonts w:ascii="Roboto" w:cs="Roboto" w:eastAsia="Roboto" w:hAnsi="Roboto"/>
          <w:b w:val="false"/>
          <w:bCs w:val="false"/>
          <w:i w:val="false"/>
          <w:iCs w:val="false"/>
          <w:color w:val="212121"/>
          <w:sz w:val="20"/>
          <w:szCs w:val="20"/>
        </w:rPr>
        <w:t xml:space="preserve">2026 pricing as primary UCAN driver (M5.1): pricing is the largest incremental revenue contributor in UCAN for 2026.</w:t>
      </w:r>
    </w:p>
    <w:p>
      <w:pPr>
        <w:spacing w:after="90" w:before="0" w:line="280"/>
        <w:jc w:val="left"/>
      </w:pPr>
      <w:r>
        <w:rPr>
          <w:rFonts w:ascii="Roboto" w:cs="Roboto" w:eastAsia="Roboto" w:hAnsi="Roboto"/>
          <w:b w:val="false"/>
          <w:bCs w:val="false"/>
          <w:i w:val="false"/>
          <w:iCs w:val="false"/>
          <w:color w:val="212121"/>
          <w:sz w:val="20"/>
          <w:szCs w:val="20"/>
        </w:rPr>
        <w:t xml:space="preserve">Long-term operating margin target (M5.2): trending toward 40% via content-cost-to-revenue decline and ads contribution.</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Netflix has NOT disclosed a specific long-term revenue decomposition between ads, pricing and subscriber scale. Our 2030 decomposition ('ads 35-40%, pricing 35%, subs 25%') is analytical, not sourced. The 2025 25% ads increment contribution is from M5.1.</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Strong variant. Consensus treats ads and pricing as parallel; we commit to ads as the core binding element of long-term strategy and quantify the revenue-driver rotation from subscriber-scale to ads+pricing.</w:t>
      </w:r>
    </w:p>
    <w:p>
      <w:pPr>
        <w:sectPr>
          <w:headerReference w:type="default" r:id="rId32"/>
          <w:footerReference w:type="default" r:id="rId33"/>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Q14. Divergent ARPU Across Regions + No Subscriber / ARPU Disclosure — How Should Industry Anchor Key Metrics?</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has pivoted to revenue-and-margin tracking since Netflix stopped disclosing subscriber data at Q1 2025, using engagement hours as the primary proxy. No consolidated framework has been published for how to rebuild a Netflix valuation model without the P×Q disclosure.</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The disclosure shift is a material change in how Netflix valuation models must be constructed. From Q1 2025 onward, Netflix has stopped disclosing paid net additions, period-end subscribers, average paying memberships and monthly ARM / ARPU (M1.1, M3.2). Management's stated rationale is that the traditional P×Q formula — subscribers times monthly fee — has become a poor proxy for business health because the ad tier, extra-member feature and multi-tier pricing by country mean each net-add has heterogeneous financial value (M3.2). The substitute disclosures are (i) annual revenue range guidance, (ii) operating margin and free-cash-flow targets, and (iii) the twice-yearly 'What We Watched' engagement report. For analysts, this means the old Price × Quantity × Margin (P × Q × M) model has to be replaced with a new framework.</w:t>
      </w:r>
    </w:p>
    <w:p>
      <w:pPr>
        <w:spacing w:after="90" w:before="0" w:line="280"/>
        <w:jc w:val="left"/>
      </w:pPr>
      <w:r>
        <w:rPr>
          <w:rFonts w:ascii="Roboto" w:cs="Roboto" w:eastAsia="Roboto" w:hAnsi="Roboto"/>
          <w:b w:val="false"/>
          <w:bCs w:val="false"/>
          <w:i w:val="false"/>
          <w:iCs w:val="false"/>
          <w:color w:val="212121"/>
          <w:sz w:val="20"/>
          <w:szCs w:val="20"/>
        </w:rPr>
        <w:t xml:space="preserve">We propose a concrete anchor set for valuation that synthesizes M3 thesis-break indicators, M5 FCF path and M9 capital allocation: (i) global engagement hours per subscriber per day — primary leading indicator, currently 1.8 hours globally and 60 minutes US, with thesis break at a sustained drop below 1.8 hours per day globally or below 45 minutes per day in US (M3.1, M3.4); (ii) content-cost-to-revenue ratio — the structural margin indicator, currently approximately 39 percent declining towards 30 percent (M5.2); (iii) revenue per dollar of content spend — the ROI indicator, currently 2.3x and targeted above 2.5x (M5.2); (iv) ads revenue run-rate and eCPM — the monetization growth indicator, $3 billion 2026 target and $8 billion Bernstein 2027 projection (M7.3); (v) operating margin and FCF conversion — the profitability indicator, 32 percent OPM guidance for 2026 and $11 billion FCF 2026 target (M5.2, M9.1); (vi) capital allocation yield — buyback yield approximately 2 percent, R&amp;D reinvestment 7 percent of revenue (M5.2, M9.2). This is the 'new P × Q × M' framework.</w:t>
      </w:r>
    </w:p>
    <w:p>
      <w:pPr>
        <w:spacing w:after="90" w:before="0" w:line="280"/>
        <w:jc w:val="left"/>
      </w:pPr>
      <w:r>
        <w:rPr>
          <w:rFonts w:ascii="Roboto" w:cs="Roboto" w:eastAsia="Roboto" w:hAnsi="Roboto"/>
          <w:b w:val="false"/>
          <w:bCs w:val="false"/>
          <w:i w:val="false"/>
          <w:iCs w:val="false"/>
          <w:color w:val="212121"/>
          <w:sz w:val="20"/>
          <w:szCs w:val="20"/>
        </w:rPr>
        <w:t xml:space="preserve">For valuation mechanics, we anchor to forward P/E on adjusted diluted EPS, using engagement hours as the primary leading indicator and content ROI as the primary margin indicator. The current NFLX trades at approximately 24x forward P/E (M nflx_snapshot.json) and consensus target P/E is roughly the same. We anchor fair value at a 28 to 30x multiple on our 2027E EPS, which assumes ad tier scales as modelled, content ROI continues to improve and engagement hours stabilize. If engagement hours per subscriber decline more than 10 percent from current levels, the multiple should compress to 18 to 22x. If ad revenue hits $8 billion by 2027 as Bernstein models, the multiple can expand to 32 to 35x. The resulting valuation range (implied 2030 price $710 to $947 for Bernstein Bear at 15-20x, versus $110 target on Bernstein Base) is consistent with our BUY recommendation and $120 target post-split (M7.1, M8.1).</w:t>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Disclosure changes (M1.1, M3.2): subscriber metrics stopped from Q1 2025; replaced with revenue / OPM / FCF guidance plus 'What We Watched' engagement report.</w:t>
      </w:r>
    </w:p>
    <w:p>
      <w:pPr>
        <w:spacing w:after="90" w:before="0" w:line="280"/>
        <w:jc w:val="left"/>
      </w:pPr>
      <w:r>
        <w:rPr>
          <w:rFonts w:ascii="Roboto" w:cs="Roboto" w:eastAsia="Roboto" w:hAnsi="Roboto"/>
          <w:b w:val="false"/>
          <w:bCs w:val="false"/>
          <w:i w:val="false"/>
          <w:iCs w:val="false"/>
          <w:color w:val="212121"/>
          <w:sz w:val="20"/>
          <w:szCs w:val="20"/>
        </w:rPr>
        <w:t xml:space="preserve">Current engagement baseline (M3.1): global 1.8 hours/day; US approximately 60 minutes/day; thesis-break threshold global &lt;1.8h or US &lt;45min (M3.4).</w:t>
      </w:r>
    </w:p>
    <w:p>
      <w:pPr>
        <w:spacing w:after="90" w:before="0" w:line="280"/>
        <w:jc w:val="left"/>
      </w:pPr>
      <w:r>
        <w:rPr>
          <w:rFonts w:ascii="Roboto" w:cs="Roboto" w:eastAsia="Roboto" w:hAnsi="Roboto"/>
          <w:b w:val="false"/>
          <w:bCs w:val="false"/>
          <w:i w:val="false"/>
          <w:iCs w:val="false"/>
          <w:color w:val="212121"/>
          <w:sz w:val="20"/>
          <w:szCs w:val="20"/>
        </w:rPr>
        <w:t xml:space="preserve">Content-cost-to-revenue ratio (M5.2): 45.7% (2019) → 39.2% (2024) → targeted toward 30% long-term.</w:t>
      </w:r>
    </w:p>
    <w:p>
      <w:pPr>
        <w:spacing w:after="90" w:before="0" w:line="280"/>
        <w:jc w:val="left"/>
      </w:pPr>
      <w:r>
        <w:rPr>
          <w:rFonts w:ascii="Roboto" w:cs="Roboto" w:eastAsia="Roboto" w:hAnsi="Roboto"/>
          <w:b w:val="false"/>
          <w:bCs w:val="false"/>
          <w:i w:val="false"/>
          <w:iCs w:val="false"/>
          <w:color w:val="212121"/>
          <w:sz w:val="20"/>
          <w:szCs w:val="20"/>
        </w:rPr>
        <w:t xml:space="preserve">Revenue per dollar content spend (M5.2): 1.7x (2021) → 2.3x (2024), +35%; targeted above 2.5x.</w:t>
      </w:r>
    </w:p>
    <w:p>
      <w:pPr>
        <w:spacing w:after="90" w:before="0" w:line="280"/>
        <w:jc w:val="left"/>
      </w:pPr>
      <w:r>
        <w:rPr>
          <w:rFonts w:ascii="Roboto" w:cs="Roboto" w:eastAsia="Roboto" w:hAnsi="Roboto"/>
          <w:b w:val="false"/>
          <w:bCs w:val="false"/>
          <w:i w:val="false"/>
          <w:iCs w:val="false"/>
          <w:color w:val="212121"/>
          <w:sz w:val="20"/>
          <w:szCs w:val="20"/>
        </w:rPr>
        <w:t xml:space="preserve">Ads revenue run-rate (M3.3, M7.3): 2024 $1B, 2025 $1.5B, 2026E $3B, Bernstein 2027E $8B+.</w:t>
      </w:r>
    </w:p>
    <w:p>
      <w:pPr>
        <w:spacing w:after="90" w:before="0" w:line="280"/>
        <w:jc w:val="left"/>
      </w:pPr>
      <w:r>
        <w:rPr>
          <w:rFonts w:ascii="Roboto" w:cs="Roboto" w:eastAsia="Roboto" w:hAnsi="Roboto"/>
          <w:b w:val="false"/>
          <w:bCs w:val="false"/>
          <w:i w:val="false"/>
          <w:iCs w:val="false"/>
          <w:color w:val="212121"/>
          <w:sz w:val="20"/>
          <w:szCs w:val="20"/>
        </w:rPr>
        <w:t xml:space="preserve">Operating margin and FCF (M5.2, M9.1): 2025 ~31% adj OPM; 2026 31.5% guidance; 2026E FCF $11B.</w:t>
      </w:r>
    </w:p>
    <w:p>
      <w:pPr>
        <w:spacing w:after="90" w:before="0" w:line="280"/>
        <w:jc w:val="left"/>
      </w:pPr>
      <w:r>
        <w:rPr>
          <w:rFonts w:ascii="Roboto" w:cs="Roboto" w:eastAsia="Roboto" w:hAnsi="Roboto"/>
          <w:b w:val="false"/>
          <w:bCs w:val="false"/>
          <w:i w:val="false"/>
          <w:iCs w:val="false"/>
          <w:color w:val="212121"/>
          <w:sz w:val="20"/>
          <w:szCs w:val="20"/>
        </w:rPr>
        <w:t xml:space="preserve">Buyback yield (M9.2): approximately 2% on current market cap; R&amp;D + content capex is the primary reinvestment channel.</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The 'new framework' proposed here is our synthesis — not a framework Netflix has published or that consensus has coalesced around. The specific multiple ranges (18-22x / 28-30x / 32-35x) are analytical, not sourced.</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Strong variant. No consensus framework exists. Our proposed anchor set of six metrics plus engagement-hour leading indicator is novel and actionable for the PM.</w:t>
      </w:r>
    </w:p>
    <w:p>
      <w:pPr>
        <w:sectPr>
          <w:headerReference w:type="default" r:id="rId34"/>
          <w:footerReference w:type="default" r:id="rId35"/>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Q15. Originals vs Licensed — Strategic Roles, Functional Positioning, ROI Differences, Margin Impact</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views the Originals-heavy strategic shift as a long-term margin positive but does not systematically distinguish functional roles. Most models assume Licensed continues to decline as a share of content spend and treat Originals as dominant.</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We see Originals and Licensed as complementary functions serving different strategic roles, not as substitutes competing for the same budget. Originals are the acquisition-and-zeitgeist engine: they concentrate hits (36 of top-50 TV shows 2023-2025 and 30 of top-50 films per M4.2), produce the social-conversation events that drive sign-ups (Squid Game, Wednesday, Bridgerton, KPop Demon Hunters), and carry global IP ownership for Netflix. Licensed content is the retention-floor engine: it provides the breadth and catalogue depth that keeps subscribers from cancelling during the post-honeymoon period (subscribers binge on Suits, Breaking Bad, Peaky Blinders, Grey's Anatomy, NCIS — shows that individually do not drive acquisition but collectively justify the monthly subscription). The 53/47 split in FY2025 content amortization between Licensed ($8.71B) and Originals ($7.71B) understates how the functions differ: the hit concentration metric (36 / top-50 in Originals versus 14 / top-50 in Licensed) tells you that Originals drive the marketing engine while Licensed drives the tail.</w:t>
      </w:r>
    </w:p>
    <w:p>
      <w:pPr>
        <w:spacing w:after="90" w:before="0" w:line="280"/>
        <w:jc w:val="left"/>
      </w:pPr>
      <w:r>
        <w:rPr>
          <w:rFonts w:ascii="Roboto" w:cs="Roboto" w:eastAsia="Roboto" w:hAnsi="Roboto"/>
          <w:b w:val="false"/>
          <w:bCs w:val="false"/>
          <w:i w:val="false"/>
          <w:iCs w:val="false"/>
          <w:color w:val="212121"/>
          <w:sz w:val="20"/>
          <w:szCs w:val="20"/>
        </w:rPr>
        <w:t xml:space="preserve">Is rising Licensed cost compressing margin? No, at least not yet. Licensed net carrying value has actually been flat-to-declining: $12.72 billion (FY2023), $12.42 billion (FY2024), $12.14 billion (FY2025) per M5.3. Originals net value has grown $17.17 billion over the same window. So the absolute Licensed spend is not rising; it is holding steady while Originals expand. Licensed amortization share has declined from approx. 60 percent of total content amort a few years ago to 53 percent in FY2025, tracking the shift. The margin compression risk is not from Licensed cost inflation; it is from Originals cost inflation as Netflix moves up-market on prestige programming. The appropriate I/O efficiency metric combines both buckets: total content spend delivered 2.3x revenue in 2024, up from 1.7x in 2021 (M5.2, M9.2). This is the efficiency ratio that matters.</w:t>
      </w:r>
    </w:p>
    <w:p>
      <w:pPr>
        <w:spacing w:after="90" w:before="0" w:line="280"/>
        <w:jc w:val="left"/>
      </w:pPr>
      <w:r>
        <w:rPr>
          <w:rFonts w:ascii="Roboto" w:cs="Roboto" w:eastAsia="Roboto" w:hAnsi="Roboto"/>
          <w:b w:val="false"/>
          <w:bCs w:val="false"/>
          <w:i w:val="false"/>
          <w:iCs w:val="false"/>
          <w:color w:val="212121"/>
          <w:sz w:val="20"/>
          <w:szCs w:val="20"/>
        </w:rPr>
        <w:t xml:space="preserve">For modelling ROI differences with proper apples-to-apples measurement, we suggest three metrics. First, revenue-per-dollar-content-spend, which Netflix publishes implicitly (2.3x currently). This captures full-life economics for both buckets. Second, hit-concentration-per-dollar — how many top-50 titles per $1 billion of amortization — which favours Originals. Third, per-subscriber-engagement-hours-attributable, which is not disclosed but which Licensed likely wins in volume (passive-background viewing of catalogue TV) while Originals wins on hour-quality (hours that generate social discussion and retention). None of these is perfectly dispositive individually, which is why Netflix runs both. The strategic direction is clear: Originals share rising from 40 percent to 63 percent of net carrying value 2019-2025, Originals share of amortization rising from roughly 35 percent to 47 percent, both driven by management's 'pay-once-distribute-everywhere' global IP theology. Licensed will continue as a retention-floor engine at 40 to 50 percent of amortization through 2027, with absolute dollar spend roughly flat.</w:t>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FY2025 content asset breakdown (M5.3): net carrying value $32.78B; Licensed $12.14B (37%); Produced / Originals $20.64B (63%).</w:t>
      </w:r>
    </w:p>
    <w:p>
      <w:pPr>
        <w:spacing w:after="90" w:before="0" w:line="280"/>
        <w:jc w:val="left"/>
      </w:pPr>
      <w:r>
        <w:rPr>
          <w:rFonts w:ascii="Roboto" w:cs="Roboto" w:eastAsia="Roboto" w:hAnsi="Roboto"/>
          <w:b w:val="false"/>
          <w:bCs w:val="false"/>
          <w:i w:val="false"/>
          <w:iCs w:val="false"/>
          <w:color w:val="212121"/>
          <w:sz w:val="20"/>
          <w:szCs w:val="20"/>
        </w:rPr>
        <w:t xml:space="preserve">FY2023 to FY2025 Licensed trend (M5.3): net value $12.72B → $12.42B → $12.14B (flat-to-declining).</w:t>
      </w:r>
    </w:p>
    <w:p>
      <w:pPr>
        <w:spacing w:after="90" w:before="0" w:line="280"/>
        <w:jc w:val="left"/>
      </w:pPr>
      <w:r>
        <w:rPr>
          <w:rFonts w:ascii="Roboto" w:cs="Roboto" w:eastAsia="Roboto" w:hAnsi="Roboto"/>
          <w:b w:val="false"/>
          <w:bCs w:val="false"/>
          <w:i w:val="false"/>
          <w:iCs w:val="false"/>
          <w:color w:val="212121"/>
          <w:sz w:val="20"/>
          <w:szCs w:val="20"/>
        </w:rPr>
        <w:t xml:space="preserve">FY2025 amortization breakdown (M1.4): Licensed $8.71B (53%); Originals $7.71B (47%).</w:t>
      </w:r>
    </w:p>
    <w:p>
      <w:pPr>
        <w:spacing w:after="90" w:before="0" w:line="280"/>
        <w:jc w:val="left"/>
      </w:pPr>
      <w:r>
        <w:rPr>
          <w:rFonts w:ascii="Roboto" w:cs="Roboto" w:eastAsia="Roboto" w:hAnsi="Roboto"/>
          <w:b w:val="false"/>
          <w:bCs w:val="false"/>
          <w:i w:val="false"/>
          <w:iCs w:val="false"/>
          <w:color w:val="212121"/>
          <w:sz w:val="20"/>
          <w:szCs w:val="20"/>
        </w:rPr>
        <w:t xml:space="preserve">Year 1 amortization curve (M5.3): Licensed ~50%; Produced ~40%; both reach 90%+ within 4 years.</w:t>
      </w:r>
    </w:p>
    <w:p>
      <w:pPr>
        <w:spacing w:after="90" w:before="0" w:line="280"/>
        <w:jc w:val="left"/>
      </w:pPr>
      <w:r>
        <w:rPr>
          <w:rFonts w:ascii="Roboto" w:cs="Roboto" w:eastAsia="Roboto" w:hAnsi="Roboto"/>
          <w:b w:val="false"/>
          <w:bCs w:val="false"/>
          <w:i w:val="false"/>
          <w:iCs w:val="false"/>
          <w:color w:val="212121"/>
          <w:sz w:val="20"/>
          <w:szCs w:val="20"/>
        </w:rPr>
        <w:t xml:space="preserve">Hit concentration 2023-2025 (M4.2): Originals 36 of top-50 TV, 30 of top-50 films; Licensed 14 of top-50 TV, 20 of top-50 films.</w:t>
      </w:r>
    </w:p>
    <w:p>
      <w:pPr>
        <w:spacing w:after="90" w:before="0" w:line="280"/>
        <w:jc w:val="left"/>
      </w:pPr>
      <w:r>
        <w:rPr>
          <w:rFonts w:ascii="Roboto" w:cs="Roboto" w:eastAsia="Roboto" w:hAnsi="Roboto"/>
          <w:b w:val="false"/>
          <w:bCs w:val="false"/>
          <w:i w:val="false"/>
          <w:iCs w:val="false"/>
          <w:color w:val="212121"/>
          <w:sz w:val="20"/>
          <w:szCs w:val="20"/>
        </w:rPr>
        <w:t xml:space="preserve">Content spend efficiency (M5.2, M9.2): 1.7x (2021) → 2.3x (2024), +35%.</w:t>
      </w:r>
    </w:p>
    <w:p>
      <w:pPr>
        <w:spacing w:after="90" w:before="0" w:line="280"/>
        <w:jc w:val="left"/>
      </w:pPr>
      <w:r>
        <w:rPr>
          <w:rFonts w:ascii="Roboto" w:cs="Roboto" w:eastAsia="Roboto" w:hAnsi="Roboto"/>
          <w:b w:val="false"/>
          <w:bCs w:val="false"/>
          <w:i w:val="false"/>
          <w:iCs w:val="false"/>
          <w:color w:val="212121"/>
          <w:sz w:val="20"/>
          <w:szCs w:val="20"/>
        </w:rPr>
        <w:t xml:space="preserve">Key Licensed retention catalogue (M1.4): Suits, Breaking Bad, Peaky Blinders, Grey's Anatomy (Disney), Shameless (Warner Bros.), NCIS, The Blacklist (Sony), Watson, Mayor of Kingstown (Paramount).</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Direct per-subscriber-engagement-hours-attributable to Originals vs Licensed is NOT disclosed. Our proposed three-metric ROI framework is analytical, not sourced. FY2023 full-year Originals amortization split is inferred from carrying value progression, not directly published.</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Aligned with consensus direction, partial variant on framing — we emphasize that Licensed is the retention-floor and Originals are the acquisition-engine, not competing substitutes. Rising Licensed cost is NOT compressing margin in the 2023-2025 window.</w:t>
      </w:r>
    </w:p>
    <w:p>
      <w:pPr>
        <w:sectPr>
          <w:headerReference w:type="default" r:id="rId36"/>
          <w:footerReference w:type="default" r:id="rId37"/>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Q16. Building the Netflix Content Economics Model With Incomplete Cost and Viewing-Hour Disclosure</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works around incomplete Netflix disclosure with variations of revenue-per-content-dollar ratios and engagement-hours-per-subscriber estimates, but there is no standard model. The question of why Netflix emphasizes Originals over higher-ROI Licensed content is rarely asked by sell-side.</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Netflix's public content economics disclosure is deliberately incomplete. The P&amp;L shows aggregate content amortization but not bucket-level (Licensed vs Originals) engagement attribution, per-subscriber viewing attribution, or per-title ROI. Our recommendation for building a content economics model with this constraint: stitch together management disclosures, third-party engagement data (Nielsen Gauge, Parrot Analytics, Netflix's twice-yearly 'What We Watched' report), and inferred ratios. The core identity is Revenue = Engagement_hours_total × Revenue_per_hour, where Revenue_per_hour is derived from subscription ARM divided by per-subscriber hours, plus ad revenue divided by total ad-supported viewing hours. For FY2025, global Netflix engagement was roughly 200 billion hours (M3.1) on 325 million subscribers, implying 615 hours per subscriber per year, or 1.68 hours per day. Revenue per hour = $45.2B / 200B hours = approximately $0.226 per hour, which is the cleanest apples-to-apples comparator for cross-platform economics.</w:t>
      </w:r>
    </w:p>
    <w:p>
      <w:pPr>
        <w:spacing w:after="90" w:before="0" w:line="280"/>
        <w:jc w:val="left"/>
      </w:pPr>
      <w:r>
        <w:rPr>
          <w:rFonts w:ascii="Roboto" w:cs="Roboto" w:eastAsia="Roboto" w:hAnsi="Roboto"/>
          <w:b w:val="false"/>
          <w:bCs w:val="false"/>
          <w:i w:val="false"/>
          <w:iCs w:val="false"/>
          <w:color w:val="212121"/>
          <w:sz w:val="20"/>
          <w:szCs w:val="20"/>
        </w:rPr>
        <w:t xml:space="preserve">The critical question: why does Netflix lean into Originals while de-emphasizing apparently higher-ROI Licensed content? The answer has five reinforcing motives, and the single-motive framing is wrong. First, IP ownership: Licensed content has termination risk (the licensor can pull the content, as happened with Friends to HBO Max and The Office to Peacock); Originals have permanent IP. Second, global distribution: Licensed content often has regional restrictions and window limitations (Netflix licenses Breaking Bad but AMC or Sony retains other markets); Originals have unified global rights. Third, brand differentiation: Originals define 'what Netflix is' for subscribers, while Licensed is commoditized catalogue. Fourth, pricing power: Originals sustain the 'must-have' framing that supports hike-sustainability, while Licensed is commodity that is everywhere. Fifth, cost structure: Netflix's Originals are mostly financed with cost-plus-margin terms to producers, so the unit economics are transparent and scalable; Licensed content has opaque pricing set by licensor leverage. The core strategic objective is sub-acquisition plus pricing power plus brand, not pure ROI maximization.</w:t>
      </w:r>
    </w:p>
    <w:p>
      <w:pPr>
        <w:spacing w:after="90" w:before="0" w:line="280"/>
        <w:jc w:val="left"/>
      </w:pPr>
      <w:r>
        <w:rPr>
          <w:rFonts w:ascii="Roboto" w:cs="Roboto" w:eastAsia="Roboto" w:hAnsi="Roboto"/>
          <w:b w:val="false"/>
          <w:bCs w:val="false"/>
          <w:i w:val="false"/>
          <w:iCs w:val="false"/>
          <w:color w:val="212121"/>
          <w:sz w:val="20"/>
          <w:szCs w:val="20"/>
        </w:rPr>
        <w:t xml:space="preserve">For modelling, we recommend: (i) assume aggregate content spend of $19B to $20B in 2026 growing at 5 to 6 percent; (ii) assume blended content-cost-to-revenue declines from 39 to 35 percent over five years; (iii) assume Originals share rises from 63 percent to 72 percent of net carrying value by 2030, with Licensed dollar spend holding roughly flat at $8 to $9 billion; (iv) assume engagement hours per subscriber stabilize at 1.7 hours per day globally (stable, ±5 percent), with hit-concentration continuing to favor Originals; (v) use per-hour revenue as the primary cross-period comparator ($0.226 in 2025 rising to approximately $0.28 in 2027 as ads add revenue without adding viewing hours). This model provides a consistent framework for evaluating content economics without requiring bucket-level disclosure that Netflix does not provide.</w:t>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Global engagement hours FY2025 (M3.1): approximately 200 billion total viewing hours.</w:t>
      </w:r>
    </w:p>
    <w:p>
      <w:pPr>
        <w:spacing w:after="90" w:before="0" w:line="280"/>
        <w:jc w:val="left"/>
      </w:pPr>
      <w:r>
        <w:rPr>
          <w:rFonts w:ascii="Roboto" w:cs="Roboto" w:eastAsia="Roboto" w:hAnsi="Roboto"/>
          <w:b w:val="false"/>
          <w:bCs w:val="false"/>
          <w:i w:val="false"/>
          <w:iCs w:val="false"/>
          <w:color w:val="212121"/>
          <w:sz w:val="20"/>
          <w:szCs w:val="20"/>
        </w:rPr>
        <w:t xml:space="preserve">Global subscribers end FY2025 (M3.1, M4.1): 325 million paid subscribers.</w:t>
      </w:r>
    </w:p>
    <w:p>
      <w:pPr>
        <w:spacing w:after="90" w:before="0" w:line="280"/>
        <w:jc w:val="left"/>
      </w:pPr>
      <w:r>
        <w:rPr>
          <w:rFonts w:ascii="Roboto" w:cs="Roboto" w:eastAsia="Roboto" w:hAnsi="Roboto"/>
          <w:b w:val="false"/>
          <w:bCs w:val="false"/>
          <w:i w:val="false"/>
          <w:iCs w:val="false"/>
          <w:color w:val="212121"/>
          <w:sz w:val="20"/>
          <w:szCs w:val="20"/>
        </w:rPr>
        <w:t xml:space="preserve">Derived hours/sub/year 2025: ~615 hours/year = 1.68 hours/day (global).</w:t>
      </w:r>
    </w:p>
    <w:p>
      <w:pPr>
        <w:spacing w:after="90" w:before="0" w:line="280"/>
        <w:jc w:val="left"/>
      </w:pPr>
      <w:r>
        <w:rPr>
          <w:rFonts w:ascii="Roboto" w:cs="Roboto" w:eastAsia="Roboto" w:hAnsi="Roboto"/>
          <w:b w:val="false"/>
          <w:bCs w:val="false"/>
          <w:i w:val="false"/>
          <w:iCs w:val="false"/>
          <w:color w:val="212121"/>
          <w:sz w:val="20"/>
          <w:szCs w:val="20"/>
        </w:rPr>
        <w:t xml:space="preserve">FY2025 revenue (M1.1): $45.2B.</w:t>
      </w:r>
    </w:p>
    <w:p>
      <w:pPr>
        <w:spacing w:after="90" w:before="0" w:line="280"/>
        <w:jc w:val="left"/>
      </w:pPr>
      <w:r>
        <w:rPr>
          <w:rFonts w:ascii="Roboto" w:cs="Roboto" w:eastAsia="Roboto" w:hAnsi="Roboto"/>
          <w:b w:val="false"/>
          <w:bCs w:val="false"/>
          <w:i w:val="false"/>
          <w:iCs w:val="false"/>
          <w:color w:val="212121"/>
          <w:sz w:val="20"/>
          <w:szCs w:val="20"/>
        </w:rPr>
        <w:t xml:space="preserve">Derived revenue per engagement hour 2025: ~$0.226 per hour (subscription + ads).</w:t>
      </w:r>
    </w:p>
    <w:p>
      <w:pPr>
        <w:spacing w:after="90" w:before="0" w:line="280"/>
        <w:jc w:val="left"/>
      </w:pPr>
      <w:r>
        <w:rPr>
          <w:rFonts w:ascii="Roboto" w:cs="Roboto" w:eastAsia="Roboto" w:hAnsi="Roboto"/>
          <w:b w:val="false"/>
          <w:bCs w:val="false"/>
          <w:i w:val="false"/>
          <w:iCs w:val="false"/>
          <w:color w:val="212121"/>
          <w:sz w:val="20"/>
          <w:szCs w:val="20"/>
        </w:rPr>
        <w:t xml:space="preserve">Content spend trajectory (M9.3): 2022-2024 approximately $17B; 2026 management guidance approximately $19.8B; Bernstein's cautious estimate approximately $19B.</w:t>
      </w:r>
    </w:p>
    <w:p>
      <w:pPr>
        <w:spacing w:after="90" w:before="0" w:line="280"/>
        <w:jc w:val="left"/>
      </w:pPr>
      <w:r>
        <w:rPr>
          <w:rFonts w:ascii="Roboto" w:cs="Roboto" w:eastAsia="Roboto" w:hAnsi="Roboto"/>
          <w:b w:val="false"/>
          <w:bCs w:val="false"/>
          <w:i w:val="false"/>
          <w:iCs w:val="false"/>
          <w:color w:val="212121"/>
          <w:sz w:val="20"/>
          <w:szCs w:val="20"/>
        </w:rPr>
        <w:t xml:space="preserve">Motives for Originals preference (M1.4, M4.2, M5.2): IP ownership, global distribution rights, brand differentiation, pricing power, cost-plus-margin financing of producer deals.</w:t>
      </w:r>
    </w:p>
    <w:p>
      <w:pPr>
        <w:spacing w:after="90" w:before="0" w:line="280"/>
        <w:jc w:val="left"/>
      </w:pPr>
      <w:r>
        <w:rPr>
          <w:rFonts w:ascii="Roboto" w:cs="Roboto" w:eastAsia="Roboto" w:hAnsi="Roboto"/>
          <w:b w:val="false"/>
          <w:bCs w:val="false"/>
          <w:i w:val="false"/>
          <w:iCs w:val="false"/>
          <w:color w:val="212121"/>
          <w:sz w:val="20"/>
          <w:szCs w:val="20"/>
        </w:rPr>
        <w:t xml:space="preserve">Key Licensed holdings at risk (M1.4): Wednesday (MGM), Ozark (MRC), You (Lifetime), Emily in Paris (Paramount), Better Call Saul (Sony).</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Per-title ROI and per-subscriber engagement attribution by content bucket are NOT disclosed by Netflix. Our $0.226 per hour revenue calculation is analytical using disclosed aggregate numbers. The '2030 Originals share 72%' and 'Licensed roughly flat' projections are forward-looking estimates, not sourced.</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Strong variant. We build a concrete five-motive explanation for the Originals preference (not simple-ROI-maximization) and propose a per-hour revenue metric that consensus does not use.</w:t>
      </w:r>
    </w:p>
    <w:p>
      <w:pPr>
        <w:sectPr>
          <w:headerReference w:type="default" r:id="rId38"/>
          <w:footerReference w:type="default" r:id="rId39"/>
          <w:type w:val="nextPage"/>
          <w:pgSz w:w="11906" w:h="16838" w:orient="portrait"/>
          <w:pgMar w:top="720" w:right="964" w:bottom="620" w:left="964" w:header="260" w:footer="260" w:gutter="0"/>
          <w:pgNumType/>
          <w:docGrid w:linePitch="360"/>
        </w:sectPr>
      </w:pPr>
    </w:p>
    <w:p>
      <w:pPr>
        <w:spacing w:after="50" w:before="160" w:line="360"/>
        <w:jc w:val="left"/>
      </w:pPr>
      <w:r>
        <w:rPr>
          <w:rFonts w:ascii="Roboto" w:cs="Roboto" w:eastAsia="Roboto" w:hAnsi="Roboto"/>
          <w:b w:val="false"/>
          <w:bCs w:val="false"/>
          <w:i w:val="false"/>
          <w:iCs w:val="false"/>
          <w:color w:val="103455"/>
          <w:sz w:val="28"/>
          <w:szCs w:val="28"/>
        </w:rPr>
        <w:t xml:space="preserve">Q17. Has Netflix Fully Transitioned to Global Studio? Future Content Mix, Ad Business Reshaping, Market Misunderstanding</w:t>
      </w:r>
    </w:p>
    <w:p>
      <w:pPr>
        <w:spacing w:after="45" w:before="190" w:line="320"/>
        <w:jc w:val="left"/>
      </w:pPr>
      <w:r>
        <w:rPr>
          <w:rFonts w:ascii="Roboto" w:cs="Roboto" w:eastAsia="Roboto" w:hAnsi="Roboto"/>
          <w:b/>
          <w:bCs/>
          <w:i w:val="false"/>
          <w:iCs w:val="false"/>
          <w:color w:val="000000"/>
          <w:sz w:val="24"/>
          <w:szCs w:val="24"/>
        </w:rPr>
        <w:t xml:space="preserve">Consensus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Consensus celebrates Netflix's Originals transition but is vague on 'how fully' the shift is complete, on whether Licensed share will rise again, and on how ads reshape the Originals/Licensed revenue logic.</w:t>
      </w:r>
    </w:p>
    <w:p>
      <w:pPr>
        <w:spacing w:after="45" w:before="190" w:line="320"/>
        <w:jc w:val="left"/>
      </w:pPr>
      <w:r>
        <w:rPr>
          <w:rFonts w:ascii="Roboto" w:cs="Roboto" w:eastAsia="Roboto" w:hAnsi="Roboto"/>
          <w:b/>
          <w:bCs/>
          <w:i w:val="false"/>
          <w:iCs w:val="false"/>
          <w:color w:val="000000"/>
          <w:sz w:val="24"/>
          <w:szCs w:val="24"/>
        </w:rPr>
        <w:t xml:space="preserve">Our Analytical View</w:t>
      </w:r>
    </w:p>
    <w:p>
      <w:pPr>
        <w:spacing w:after="90" w:before="0" w:line="280"/>
        <w:jc w:val="left"/>
      </w:pPr>
      <w:r>
        <w:rPr>
          <w:rFonts w:ascii="Roboto" w:cs="Roboto" w:eastAsia="Roboto" w:hAnsi="Roboto"/>
          <w:b/>
          <w:bCs/>
          <w:i w:val="false"/>
          <w:iCs w:val="false"/>
          <w:color w:val="000000"/>
          <w:sz w:val="20"/>
          <w:szCs w:val="20"/>
        </w:rPr>
        <w:t xml:space="preserve"/>
      </w:r>
      <w:r>
        <w:rPr>
          <w:rFonts w:ascii="Roboto" w:cs="Roboto" w:eastAsia="Roboto" w:hAnsi="Roboto"/>
          <w:b w:val="false"/>
          <w:bCs w:val="false"/>
          <w:i w:val="false"/>
          <w:iCs w:val="false"/>
          <w:color w:val="212121"/>
          <w:sz w:val="20"/>
          <w:szCs w:val="20"/>
        </w:rPr>
        <w:t xml:space="preserve">Netflix has transitioned substantially but not completely from aggregation platform to global studio, and we expect the transition to continue but to plateau at roughly 75 to 80 percent Originals by net carrying value rather than go to 100 percent. The current Originals share is 63 percent of content net carrying value and 47 percent of amortization (M5.3, M1.4), up from approximately 40 percent and 35 percent respectively five years ago. The remaining Licensed share is not an obstacle to the studio identity but a design feature: retention-floor catalogue is cheaper, lower-risk, and serves a passive-consumption function that Originals cannot efficiently replace. Netflix's strategic direction is more nuanced than 'all Originals all the time' — the 2026 PSKY/WBD bidding war demonstrated that Netflix values large Licensed portfolios when they are acquirable at reasonable terms, and the termination of that deal means Netflix continues to license from both PSKY and WBD on arms-length terms.</w:t>
      </w:r>
    </w:p>
    <w:p>
      <w:pPr>
        <w:spacing w:after="90" w:before="0" w:line="280"/>
        <w:jc w:val="left"/>
      </w:pPr>
      <w:r>
        <w:rPr>
          <w:rFonts w:ascii="Roboto" w:cs="Roboto" w:eastAsia="Roboto" w:hAnsi="Roboto"/>
          <w:b w:val="false"/>
          <w:bCs w:val="false"/>
          <w:i w:val="false"/>
          <w:iCs w:val="false"/>
          <w:color w:val="212121"/>
          <w:sz w:val="20"/>
          <w:szCs w:val="20"/>
        </w:rPr>
        <w:t xml:space="preserve">Will Licensed share rise again? Probably not in percentage terms, but it could stabilize rather than continue declining. Three forces argue for Licensed share stabilizing: (i) live events and sports are effectively Licensed content (Netflix does not own NFL Christmas rights, WWE rights or WBC rights; these are multi-year contracts with sports federations and leagues), and live sports are expanding from 0 to 5 percent of total content spend by 2027; (ii) the cost of top-tier Originals is rising (prestige productions at $20-25 million per episode are now standard for flagship titles), which makes the incremental ROI of adding another Original less attractive than retaining Licensed catalogue; (iii) new distribution windows (Licensed from theatrical studios post-theatrical) are becoming available as studios unwind their own streaming ambitions. On balance, we expect the Originals share to stabilize at roughly 70 to 75 percent of amortization by 2028, with the remainder split between traditional Licensed catalogue and live sports / events.</w:t>
      </w:r>
    </w:p>
    <w:p>
      <w:pPr>
        <w:spacing w:after="90" w:before="0" w:line="280"/>
        <w:jc w:val="left"/>
      </w:pPr>
      <w:r>
        <w:rPr>
          <w:rFonts w:ascii="Roboto" w:cs="Roboto" w:eastAsia="Roboto" w:hAnsi="Roboto"/>
          <w:b w:val="false"/>
          <w:bCs w:val="false"/>
          <w:i w:val="false"/>
          <w:iCs w:val="false"/>
          <w:color w:val="212121"/>
          <w:sz w:val="20"/>
          <w:szCs w:val="20"/>
        </w:rPr>
        <w:t xml:space="preserve">How does the ads business reshape original-vs-licensed revenue logic? In two material ways. First, advertising revenue scales with engagement hours, not title count — so every viewing hour of Licensed catalogue (which subscribers watch passively while doing other things) now generates ad revenue where previously it only generated retention. This makes Licensed content more valuable per dollar of amortization under the ads-tier mix than it was under pure subscription. Second, high-CPM premium-inventory Originals (live events, live sports, prestige drama) command much higher ad pricing than long-tail Licensed catalogue, so the revenue mix tilts toward Originals on a per-hour basis even as subscriber-attribution favors Licensed on retention. The biggest market misunderstanding about Netflix's content business: Street treats Netflix as either a media company competing with Disney or a tech company competing with Meta / Google. It is neither. Netflix is a media-tech company whose core economics are driven by engagement-hour-per-dollar-of-content-spend, where every hour is increasingly dual-monetized (subscription + ad). The competitive set is hours, not titles; the metric is cost-per-hour-of-viewing; the valuation anchor is per-hour revenue. This is the frame the PM should use to evaluate Netflix through 2030.</w:t>
      </w:r>
    </w:p>
    <w:p>
      <w:pPr>
        <w:spacing w:after="45" w:before="190" w:line="320"/>
        <w:jc w:val="left"/>
      </w:pPr>
      <w:r>
        <w:rPr>
          <w:rFonts w:ascii="Roboto" w:cs="Roboto" w:eastAsia="Roboto" w:hAnsi="Roboto"/>
          <w:b/>
          <w:bCs/>
          <w:i w:val="false"/>
          <w:iCs w:val="false"/>
          <w:color w:val="000000"/>
          <w:sz w:val="24"/>
          <w:szCs w:val="24"/>
        </w:rPr>
        <w:t xml:space="preserve">Key Evidence and Numbers</w:t>
      </w:r>
    </w:p>
    <w:p>
      <w:pPr>
        <w:spacing w:after="90" w:before="0" w:line="280"/>
        <w:jc w:val="left"/>
      </w:pPr>
      <w:r>
        <w:rPr>
          <w:rFonts w:ascii="Roboto" w:cs="Roboto" w:eastAsia="Roboto" w:hAnsi="Roboto"/>
          <w:b w:val="false"/>
          <w:bCs w:val="false"/>
          <w:i w:val="false"/>
          <w:iCs w:val="false"/>
          <w:color w:val="212121"/>
          <w:sz w:val="20"/>
          <w:szCs w:val="20"/>
        </w:rPr>
        <w:t xml:space="preserve">Originals share trajectory (M5.3): approximately 40% of content net value in 2019, 63% in 2025; our projection: 70-75% amortization share by 2028.</w:t>
      </w:r>
    </w:p>
    <w:p>
      <w:pPr>
        <w:spacing w:after="90" w:before="0" w:line="280"/>
        <w:jc w:val="left"/>
      </w:pPr>
      <w:r>
        <w:rPr>
          <w:rFonts w:ascii="Roboto" w:cs="Roboto" w:eastAsia="Roboto" w:hAnsi="Roboto"/>
          <w:b w:val="false"/>
          <w:bCs w:val="false"/>
          <w:i w:val="false"/>
          <w:iCs w:val="false"/>
          <w:color w:val="212121"/>
          <w:sz w:val="20"/>
          <w:szCs w:val="20"/>
        </w:rPr>
        <w:t xml:space="preserve">Net carrying value FY2025 (M5.3): $32.78B total; Licensed $12.14B (37%), Produced $20.64B (63%).</w:t>
      </w:r>
    </w:p>
    <w:p>
      <w:pPr>
        <w:spacing w:after="90" w:before="0" w:line="280"/>
        <w:jc w:val="left"/>
      </w:pPr>
      <w:r>
        <w:rPr>
          <w:rFonts w:ascii="Roboto" w:cs="Roboto" w:eastAsia="Roboto" w:hAnsi="Roboto"/>
          <w:b w:val="false"/>
          <w:bCs w:val="false"/>
          <w:i w:val="false"/>
          <w:iCs w:val="false"/>
          <w:color w:val="212121"/>
          <w:sz w:val="20"/>
          <w:szCs w:val="20"/>
        </w:rPr>
        <w:t xml:space="preserve">Key Licensed partners (M1.4): Paramount, Sony, Warner Bros., Disney, MGM, MRC, Lifetime — multiple remain critical licensors.</w:t>
      </w:r>
    </w:p>
    <w:p>
      <w:pPr>
        <w:spacing w:after="90" w:before="0" w:line="280"/>
        <w:jc w:val="left"/>
      </w:pPr>
      <w:r>
        <w:rPr>
          <w:rFonts w:ascii="Roboto" w:cs="Roboto" w:eastAsia="Roboto" w:hAnsi="Roboto"/>
          <w:b w:val="false"/>
          <w:bCs w:val="false"/>
          <w:i w:val="false"/>
          <w:iCs w:val="false"/>
          <w:color w:val="212121"/>
          <w:sz w:val="20"/>
          <w:szCs w:val="20"/>
        </w:rPr>
        <w:t xml:space="preserve">WBD deal collapse (M9.1): Netflix proposed $82.7B EV; deal terminated Q1 2026; Netflix received $2.8B termination fee; licensing relationships with PSKY and WBD continue on arms-length basis.</w:t>
      </w:r>
    </w:p>
    <w:p>
      <w:pPr>
        <w:spacing w:after="90" w:before="0" w:line="280"/>
        <w:jc w:val="left"/>
      </w:pPr>
      <w:r>
        <w:rPr>
          <w:rFonts w:ascii="Roboto" w:cs="Roboto" w:eastAsia="Roboto" w:hAnsi="Roboto"/>
          <w:b w:val="false"/>
          <w:bCs w:val="false"/>
          <w:i w:val="false"/>
          <w:iCs w:val="false"/>
          <w:color w:val="212121"/>
          <w:sz w:val="20"/>
          <w:szCs w:val="20"/>
        </w:rPr>
        <w:t xml:space="preserve">Live sports trajectory (M3.1, M6.2, M9.3): NFL Christmas 2024-2026 three-year deal; WWE Raw 2025-; WBC Japan 2026; estimated sports spend under $1B in 2026.</w:t>
      </w:r>
    </w:p>
    <w:p>
      <w:pPr>
        <w:spacing w:after="90" w:before="0" w:line="280"/>
        <w:jc w:val="left"/>
      </w:pPr>
      <w:r>
        <w:rPr>
          <w:rFonts w:ascii="Roboto" w:cs="Roboto" w:eastAsia="Roboto" w:hAnsi="Roboto"/>
          <w:b w:val="false"/>
          <w:bCs w:val="false"/>
          <w:i w:val="false"/>
          <w:iCs w:val="false"/>
          <w:color w:val="212121"/>
          <w:sz w:val="20"/>
          <w:szCs w:val="20"/>
        </w:rPr>
        <w:t xml:space="preserve">Contribution margin on ads (M5.2): approximately 70% incremental; every viewing hour is now dual-monetized.</w:t>
      </w:r>
    </w:p>
    <w:p>
      <w:pPr>
        <w:spacing w:after="45" w:before="190" w:line="320"/>
        <w:jc w:val="left"/>
      </w:pPr>
      <w:r>
        <w:rPr>
          <w:rFonts w:ascii="Roboto" w:cs="Roboto" w:eastAsia="Roboto" w:hAnsi="Roboto"/>
          <w:b/>
          <w:bCs/>
          <w:i w:val="false"/>
          <w:iCs w:val="false"/>
          <w:color w:val="000000"/>
          <w:sz w:val="24"/>
          <w:szCs w:val="24"/>
        </w:rPr>
        <w:t xml:space="preserve">Where Evidence Is Thin</w:t>
      </w:r>
    </w:p>
    <w:p>
      <w:pPr>
        <w:spacing w:after="90" w:before="0" w:line="280"/>
        <w:jc w:val="left"/>
      </w:pPr>
      <w:r>
        <w:rPr>
          <w:rFonts w:ascii="Roboto" w:cs="Roboto" w:eastAsia="Roboto" w:hAnsi="Roboto"/>
          <w:b w:val="false"/>
          <w:bCs w:val="false"/>
          <w:i w:val="false"/>
          <w:iCs w:val="false"/>
          <w:color w:val="212121"/>
          <w:sz w:val="20"/>
          <w:szCs w:val="20"/>
        </w:rPr>
        <w:t xml:space="preserve">Our 'plateau at 70-75% Originals by 2028' is analytical projection. The five-motive framework for Netflix's hybrid identity is our synthesis, not a management statement.</w:t>
      </w:r>
    </w:p>
    <w:p>
      <w:pPr>
        <w:spacing w:after="45" w:before="190" w:line="320"/>
        <w:jc w:val="left"/>
      </w:pPr>
      <w:r>
        <w:rPr>
          <w:rFonts w:ascii="Roboto" w:cs="Roboto" w:eastAsia="Roboto" w:hAnsi="Roboto"/>
          <w:b/>
          <w:bCs/>
          <w:i w:val="false"/>
          <w:iCs w:val="false"/>
          <w:color w:val="000000"/>
          <w:sz w:val="24"/>
          <w:szCs w:val="24"/>
        </w:rPr>
        <w:t xml:space="preserve">Variant Perception</w:t>
      </w:r>
    </w:p>
    <w:p>
      <w:pPr>
        <w:spacing w:after="90" w:before="0" w:line="280"/>
        <w:jc w:val="left"/>
      </w:pPr>
      <w:r>
        <w:rPr>
          <w:rFonts w:ascii="Roboto" w:cs="Roboto" w:eastAsia="Roboto" w:hAnsi="Roboto"/>
          <w:b w:val="false"/>
          <w:bCs w:val="false"/>
          <w:i w:val="false"/>
          <w:iCs w:val="false"/>
          <w:color w:val="212121"/>
          <w:sz w:val="20"/>
          <w:szCs w:val="20"/>
        </w:rPr>
        <w:t xml:space="preserve">Strong variant. We believe consensus misreads Netflix as either a pure media or pure tech company. Our framing: Netflix is a media-tech hybrid whose core metric is revenue-per-engagement-hour. This has direct implications for valuation and modelling.</w:t>
      </w:r>
    </w:p>
    <w:sectPr>
      <w:headerReference w:type="default" r:id="rId40"/>
      <w:footerReference w:type="default" r:id="rId41"/>
      <w:type w:val="nextPage"/>
      <w:pgSz w:w="11906" w:h="16838" w:orient="portrait"/>
      <w:pgMar w:top="720" w:right="964" w:bottom="620" w:left="964" w:header="260" w:footer="2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spacing w:after="12" w:before="18" w:line="170"/>
      <w:jc w:val="left"/>
    </w:pPr>
    <w:r>
      <w:rPr>
        <w:rFonts w:ascii="Roboto" w:cs="Roboto" w:eastAsia="Roboto" w:hAnsi="Roboto"/>
        <w:b/>
        <w:bCs/>
        <w:i w:val="false"/>
        <w:iCs w:val="false"/>
        <w:color w:val="000000"/>
        <w:sz w:val="11"/>
        <w:szCs w:val="11"/>
      </w:rPr>
      <w:t xml:space="preserve">Companion Q&amp;A document to Netflix_final_research_V2 (IC report) and Netflix_HF_Investment_Case_V2 (HF memo). All numeric data traceable to research notes M1 through M11, IC report V2 synthesis, or raw yfinance / 10-K disclosure.</w:t>
    </w:r>
  </w:p>
  <w:p>
    <w:pPr>
      <w:spacing w:after="0" w:before="0" w:line="150"/>
      <w:jc w:val="left"/>
    </w:pPr>
    <w:r>
      <w:rPr>
        <w:rFonts w:ascii="Roboto" w:cs="Roboto" w:eastAsia="Roboto" w:hAnsi="Roboto"/>
        <w:b w:val="false"/>
        <w:bCs w:val="false"/>
        <w:i w:val="false"/>
        <w:iCs w:val="false"/>
        <w:color w:val="8C97A3"/>
        <w:sz w:val="10"/>
        <w:szCs w:val="10"/>
      </w:rPr>
      <w:t xml:space="preserve">* Orchid Asia Research — Buy-side mandate</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bottom w:val="single" w:color="87919C" w:sz="4" w:space="1"/>
      </w:pBdr>
      <w:spacing w:after="0" w:before="0"/>
      <w:jc w:val="left"/>
    </w:pPr>
    <w:r>
      <w:rPr>
        <w:rFonts w:ascii="Roboto" w:cs="Roboto" w:eastAsia="Roboto" w:hAnsi="Roboto"/>
        <w:b w:val="false"/>
        <w:bCs w:val="false"/>
        <w:i w:val="false"/>
        <w:iCs w:val="false"/>
        <w:color w:val="212121"/>
        <w:sz w:val="16"/>
        <w:szCs w:val="16"/>
      </w:rPr>
      <w:t xml:space="preserve"/>
    </w:r>
  </w:p>
  <w:p>
    <w:pPr>
      <w:tabs>
        <w:tab w:val="right" w:pos="9978"/>
      </w:tabs>
      <w:spacing w:after="10" w:before="18" w:line="170"/>
      <w:jc w:val="left"/>
    </w:pPr>
    <w:r>
      <w:rPr>
        <w:rFonts w:ascii="Roboto" w:cs="Roboto" w:eastAsia="Roboto" w:hAnsi="Roboto"/>
        <w:b/>
        <w:bCs/>
        <w:i w:val="false"/>
        <w:iCs w:val="false"/>
        <w:color w:val="000000"/>
        <w:sz w:val="11"/>
        <w:szCs w:val="11"/>
      </w:rPr>
      <w:t xml:space="preserve">Please see important disclosure information in this report.</w:t>
    </w:r>
    <w:r>
      <w:rPr>
        <w:rFonts w:ascii="Roboto" w:cs="Roboto" w:eastAsia="Roboto" w:hAnsi="Roboto"/>
        <w:b w:val="false"/>
        <w:bCs w:val="false"/>
        <w:i w:val="false"/>
        <w:iCs w:val="false"/>
        <w:color w:val="212121"/>
        <w:sz w:val="12"/>
        <w:szCs w:val="12"/>
      </w:rPr>
      <w:t xml:space="preserve">	</w:t>
    </w:r>
    <w:r>
      <w:rPr>
        <w:rFonts w:ascii="Roboto" w:cs="Roboto" w:eastAsia="Roboto" w:hAnsi="Roboto"/>
        <w:sz w:val="11"/>
        <w:szCs w:val="11"/>
      </w:rPr>
      <w:fldChar w:fldCharType="begin"/>
      <w:instrText xml:space="preserve">PAGE</w:instrText>
      <w:fldChar w:fldCharType="separate"/>
      <w:fldChar w:fldCharType="end"/>
    </w:r>
  </w:p>
  <w:p>
    <w:pPr>
      <w:spacing w:after="0" w:before="0" w:line="150"/>
      <w:jc w:val="left"/>
    </w:pPr>
    <w:r>
      <w:rPr>
        <w:rFonts w:ascii="Roboto" w:cs="Roboto" w:eastAsia="Roboto" w:hAnsi="Roboto"/>
        <w:b w:val="false"/>
        <w:bCs w:val="false"/>
        <w:i w:val="false"/>
        <w:iCs w:val="false"/>
        <w:color w:val="8C97A3"/>
        <w:sz w:val="10"/>
        <w:szCs w:val="10"/>
      </w:rPr>
      <w:t xml:space="preserve">This report is intended for Uninodue clients only. Unauthorized distribution is prohibited.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97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200"/>
      <w:gridCol w:w="5778"/>
    </w:tblGrid>
    <w:tr>
      <w:trPr>
        <w:trHeight w:val="560" w:hRule="exact"/>
      </w:trPr>
      <w:tc>
        <w:tcPr>
          <w:tcW w:type="dxa" w:w="4200"/>
          <w:tcBorders>
            <w:top w:val="none" w:color="FFFFFF" w:sz="0"/>
            <w:left w:val="none" w:color="FFFFFF" w:sz="0"/>
            <w:bottom w:val="none" w:color="FFFFFF" w:sz="0"/>
            <w:right w:val="none" w:color="FFFFFF" w:sz="0"/>
          </w:tcBorders>
          <w:tcMar>
            <w:top w:type="dxa" w:w="0"/>
            <w:left w:type="dxa" w:w="0"/>
            <w:bottom w:type="dxa" w:w="2"/>
            <w:right w:type="dxa" w:w="80"/>
          </w:tcMar>
          <w:vAlign w:val="bottom"/>
        </w:tcPr>
        <w:p>
          <w:pPr>
            <w:spacing w:after="0" w:before="0"/>
            <w:jc w:val="left"/>
          </w:pPr>
          <w:r>
            <w:rPr>
              <w:rFonts w:ascii="Roboto" w:cs="Roboto" w:eastAsia="Roboto" w:hAnsi="Roboto"/>
              <w:b/>
              <w:bCs/>
              <w:i w:val="false"/>
              <w:iCs w:val="false"/>
              <w:color w:val="202020"/>
              <w:sz w:val="22"/>
              <w:szCs w:val="22"/>
            </w:rPr>
            <w:t xml:space="preserve">Uninodue</w:t>
          </w:r>
        </w:p>
      </w:tc>
      <w:tc>
        <w:tcPr>
          <w:tcW w:type="dxa" w:w="5778"/>
          <w:tcBorders>
            <w:top w:val="none" w:color="FFFFFF" w:sz="0"/>
            <w:left w:val="none" w:color="FFFFFF" w:sz="0"/>
            <w:bottom w:val="none" w:color="FFFFFF" w:sz="0"/>
            <w:right w:val="none" w:color="FFFFFF" w:sz="0"/>
          </w:tcBorders>
          <w:tcMar>
            <w:top w:type="dxa" w:w="0"/>
            <w:left w:type="dxa" w:w="80"/>
            <w:bottom w:type="dxa" w:w="2"/>
            <w:right w:type="dxa" w:w="0"/>
          </w:tcMar>
          <w:vAlign w:val="bottom"/>
        </w:tcPr>
        <w:p>
          <w:pPr>
            <w:spacing w:after="6" w:before="0"/>
            <w:jc w:val="right"/>
          </w:pPr>
          <w:r>
            <w:rPr>
              <w:rFonts w:ascii="Roboto" w:cs="Roboto" w:eastAsia="Roboto" w:hAnsi="Roboto"/>
              <w:b/>
              <w:bCs/>
              <w:i w:val="false"/>
              <w:iCs w:val="false"/>
              <w:color w:val="0084BF"/>
              <w:sz w:val="12"/>
              <w:szCs w:val="12"/>
            </w:rPr>
            <w:t xml:space="preserve">Netflix, Inc. (NFLX)</w:t>
          </w:r>
        </w:p>
        <w:p>
          <w:pPr>
            <w:spacing w:after="10" w:before="0"/>
            <w:jc w:val="right"/>
          </w:pPr>
          <w:r>
            <w:rPr>
              <w:rFonts w:ascii="Roboto" w:cs="Roboto" w:eastAsia="Roboto" w:hAnsi="Roboto"/>
              <w:b/>
              <w:bCs/>
              <w:i w:val="false"/>
              <w:iCs w:val="false"/>
              <w:color w:val="103455"/>
              <w:sz w:val="12"/>
              <w:szCs w:val="12"/>
            </w:rPr>
            <w:t xml:space="preserve">Equity Research — Analyst Q&amp;A</w:t>
          </w:r>
        </w:p>
        <w:p>
          <w:pPr>
            <w:spacing w:after="0" w:before="0"/>
            <w:jc w:val="right"/>
          </w:pPr>
          <w:r>
            <w:rPr>
              <w:rFonts w:ascii="Roboto" w:cs="Roboto" w:eastAsia="Roboto" w:hAnsi="Roboto"/>
              <w:b w:val="false"/>
              <w:bCs w:val="false"/>
              <w:i w:val="false"/>
              <w:iCs w:val="false"/>
              <w:color w:val="103455"/>
              <w:sz w:val="11"/>
              <w:szCs w:val="11"/>
            </w:rPr>
            <w:t xml:space="preserve">April 24, 2026</w:t>
          </w:r>
        </w:p>
      </w:tc>
    </w:tr>
  </w:tbl>
  <w:p>
    <w:pPr>
      <w:pBdr>
        <w:bottom w:val="single" w:color="87919C" w:sz="4" w:space="1"/>
      </w:pBdr>
      <w:spacing w:after="70" w:before="0" w:line="1"/>
      <w:jc w:val="left"/>
    </w:pPr>
    <w:r>
      <w:rPr>
        <w:rFonts w:ascii="Roboto" w:cs="Roboto" w:eastAsia="Roboto" w:hAnsi="Roboto"/>
        <w:b w:val="false"/>
        <w:bCs w:val="false"/>
        <w:i w:val="false"/>
        <w:iCs w:val="false"/>
        <w:color w:val="212121"/>
        <w:sz w:val="1"/>
        <w:szCs w:val="1"/>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Roboto" w:cs="Roboto" w:eastAsia="Roboto" w:hAnsi="Roboto"/>
        <w:color w:val="212121"/>
        <w:sz w:val="20"/>
        <w:szCs w:val="20"/>
      </w:rPr>
    </w:rPrDefault>
    <w:pPrDefault>
      <w:pPr>
        <w:spacing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header" Target="header2.xml"/><Relationship Id="rId11" Type="http://schemas.openxmlformats.org/officeDocument/2006/relationships/footer" Target="footer3.xml"/><Relationship Id="rId12" Type="http://schemas.openxmlformats.org/officeDocument/2006/relationships/header" Target="header3.xml"/><Relationship Id="rId13" Type="http://schemas.openxmlformats.org/officeDocument/2006/relationships/footer" Target="footer4.xml"/><Relationship Id="rId14" Type="http://schemas.openxmlformats.org/officeDocument/2006/relationships/header" Target="header4.xml"/><Relationship Id="rId15" Type="http://schemas.openxmlformats.org/officeDocument/2006/relationships/footer" Target="footer5.xml"/><Relationship Id="rId16" Type="http://schemas.openxmlformats.org/officeDocument/2006/relationships/header" Target="header5.xml"/><Relationship Id="rId17" Type="http://schemas.openxmlformats.org/officeDocument/2006/relationships/footer" Target="footer6.xml"/><Relationship Id="rId18" Type="http://schemas.openxmlformats.org/officeDocument/2006/relationships/header" Target="header6.xml"/><Relationship Id="rId19" Type="http://schemas.openxmlformats.org/officeDocument/2006/relationships/footer" Target="footer7.xml"/><Relationship Id="rId20" Type="http://schemas.openxmlformats.org/officeDocument/2006/relationships/header" Target="header7.xml"/><Relationship Id="rId21" Type="http://schemas.openxmlformats.org/officeDocument/2006/relationships/footer" Target="footer8.xml"/><Relationship Id="rId22" Type="http://schemas.openxmlformats.org/officeDocument/2006/relationships/header" Target="header8.xml"/><Relationship Id="rId23" Type="http://schemas.openxmlformats.org/officeDocument/2006/relationships/footer" Target="footer9.xml"/><Relationship Id="rId24" Type="http://schemas.openxmlformats.org/officeDocument/2006/relationships/header" Target="header9.xml"/><Relationship Id="rId25" Type="http://schemas.openxmlformats.org/officeDocument/2006/relationships/footer" Target="footer10.xml"/><Relationship Id="rId26" Type="http://schemas.openxmlformats.org/officeDocument/2006/relationships/header" Target="header10.xml"/><Relationship Id="rId27" Type="http://schemas.openxmlformats.org/officeDocument/2006/relationships/footer" Target="footer11.xml"/><Relationship Id="rId28" Type="http://schemas.openxmlformats.org/officeDocument/2006/relationships/header" Target="header11.xml"/><Relationship Id="rId29" Type="http://schemas.openxmlformats.org/officeDocument/2006/relationships/footer" Target="footer12.xml"/><Relationship Id="rId30" Type="http://schemas.openxmlformats.org/officeDocument/2006/relationships/header" Target="header12.xml"/><Relationship Id="rId31" Type="http://schemas.openxmlformats.org/officeDocument/2006/relationships/footer" Target="footer13.xml"/><Relationship Id="rId32" Type="http://schemas.openxmlformats.org/officeDocument/2006/relationships/header" Target="header13.xml"/><Relationship Id="rId33" Type="http://schemas.openxmlformats.org/officeDocument/2006/relationships/footer" Target="footer14.xml"/><Relationship Id="rId34" Type="http://schemas.openxmlformats.org/officeDocument/2006/relationships/header" Target="header14.xml"/><Relationship Id="rId35" Type="http://schemas.openxmlformats.org/officeDocument/2006/relationships/footer" Target="footer15.xml"/><Relationship Id="rId36" Type="http://schemas.openxmlformats.org/officeDocument/2006/relationships/header" Target="header15.xml"/><Relationship Id="rId37" Type="http://schemas.openxmlformats.org/officeDocument/2006/relationships/footer" Target="footer16.xml"/><Relationship Id="rId38" Type="http://schemas.openxmlformats.org/officeDocument/2006/relationships/header" Target="header16.xml"/><Relationship Id="rId39" Type="http://schemas.openxmlformats.org/officeDocument/2006/relationships/footer" Target="footer17.xml"/><Relationship Id="rId40" Type="http://schemas.openxmlformats.org/officeDocument/2006/relationships/header" Target="header17.xml"/><Relationship Id="rId41" Type="http://schemas.openxmlformats.org/officeDocument/2006/relationships/footer" Target="footer18.xml"/><Relationship Id="rId4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2026-04-24T06:00:23.559Z</dcterms:created>
  <dcterms:modified xsi:type="dcterms:W3CDTF">2026-04-24T06:00:23.560Z</dcterms:modified>
</cp:coreProperties>
</file>

<file path=docProps/custom.xml><?xml version="1.0" encoding="utf-8"?>
<Properties xmlns="http://schemas.openxmlformats.org/officeDocument/2006/custom-properties" xmlns:vt="http://schemas.openxmlformats.org/officeDocument/2006/docPropsVTypes"/>
</file>