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pPr>
      <w:r>
        <w:rPr>
          <w:rFonts w:ascii="Calibri" w:hAnsi="Calibri"/>
          <w:b/>
          <w:color w:val="2E74B5"/>
          <w:sz w:val="18"/>
        </w:rPr>
        <w:t>FORMELLT UNDERLAG</w:t>
      </w:r>
    </w:p>
    <w:p>
      <w:pPr>
        <w:keepNext/>
        <w:spacing w:before="0" w:after="120"/>
      </w:pPr>
      <w:r>
        <w:rPr>
          <w:rFonts w:ascii="Calibri" w:hAnsi="Calibri"/>
          <w:b/>
          <w:color w:val="000000"/>
          <w:sz w:val="46"/>
        </w:rPr>
        <w:t>Juridisk analys och kompletteringsstrategi</w:t>
      </w:r>
    </w:p>
    <w:p>
      <w:pPr>
        <w:spacing w:after="240"/>
      </w:pPr>
      <w:r>
        <w:rPr>
          <w:rFonts w:ascii="Calibri" w:hAnsi="Calibri"/>
          <w:i/>
          <w:color w:val="606971"/>
          <w:sz w:val="22"/>
        </w:rPr>
        <w:t>Upprättat den 9 juni 2026</w:t>
      </w:r>
    </w:p>
    <w:p>
      <w:pPr>
        <w:spacing w:after="240"/>
        <w:pBdr>
          <w:bottom w:val="single" w:sz="12" w:space="1" w:color="2E74B5"/>
        </w:pBdr>
      </w:pPr>
    </w:p>
    <w:p>
      <w:pPr>
        <w:pStyle w:val="Heading1"/>
      </w:pPr>
      <w:r>
        <w:rPr>
          <w:rFonts w:ascii="Calibri" w:hAnsi="Calibri"/>
        </w:rPr>
        <w:t>Uppdrag och hållning</w:t>
      </w:r>
    </w:p>
    <w:p>
      <w:r>
        <w:rPr>
          <w:rFonts w:ascii="Calibri" w:hAnsi="Calibri"/>
        </w:rPr>
        <w:t>Detta är ett internt arbetsdokument för att tillvarata William Rydhs intressen efter den redan ingivna brottsanmälan om misstänkt grovt förtal genom Borås Tidnings publiceringar.</w:t>
      </w:r>
    </w:p>
    <w:p>
      <w:r>
        <w:rPr>
          <w:rFonts w:ascii="Calibri" w:hAnsi="Calibri"/>
        </w:rPr>
        <w:t>Strategin ska vara tydligt partsinriktad men bevisdisciplinerad. Uppgiften är inte att inta en neutral redaktionell roll. Uppgiften är att identifiera och driva den starkaste rättsligt hållbara talan för William. Påståenden som inte ännu kan styrkas ska omvandlas till preciserade utredningsfrågor eller säkras med ytterligare bevisning.</w:t>
      </w:r>
    </w:p>
    <w:p>
      <w:pPr>
        <w:pStyle w:val="Heading1"/>
      </w:pPr>
      <w:r>
        <w:rPr>
          <w:rFonts w:ascii="Calibri" w:hAnsi="Calibri"/>
        </w:rPr>
        <w:t>Samlad bedömning</w:t>
      </w:r>
    </w:p>
    <w:p>
      <w:r>
        <w:rPr>
          <w:rFonts w:ascii="Calibri" w:hAnsi="Calibri"/>
        </w:rPr>
        <w:t>Det nu genomgångna materialet ger en betydligt starkare sakframställning än att enbart angripa citatkontexten.</w:t>
      </w:r>
    </w:p>
    <w:p>
      <w:r>
        <w:rPr>
          <w:rFonts w:ascii="Calibri" w:hAnsi="Calibri"/>
        </w:rPr>
        <w:t>Huvudtesen bör vara:</w:t>
      </w:r>
    </w:p>
    <w:p>
      <w:pPr>
        <w:pStyle w:val="LegalQuote"/>
        <w:pBdr>
          <w:left w:val="single" w:sz="18" w:space="8" w:color="2E74B5"/>
        </w:pBdr>
      </w:pPr>
      <w:r>
        <w:rPr>
          <w:rFonts w:ascii="Calibri" w:hAnsi="Calibri"/>
        </w:rPr>
        <w:t>Borås Tidning omvandlade omtvistade kundupplevelser och möjliga fel i ett externt försäljningsled till ett kategoriskt påstående om att företaget lurade sina kunder. Genom namn, bild, vd-roll, bolagskopplingar och ett missvisande placerat citat pekades William Rydh personligen ut som ohederlig, trots att redaktionen kände till omfattande motstående och kontrollerbar bevisning.</w:t>
      </w:r>
    </w:p>
    <w:p>
      <w:r>
        <w:rPr>
          <w:rFonts w:ascii="Calibri" w:hAnsi="Calibri"/>
        </w:rPr>
        <w:t>Materialet visar:</w:t>
      </w:r>
    </w:p>
    <w:p>
      <w:pPr>
        <w:pStyle w:val="ListBullet"/>
      </w:pPr>
      <w:r>
        <w:rPr>
          <w:rFonts w:ascii="Calibri" w:hAnsi="Calibri"/>
        </w:rPr>
        <w:t>en verklig och fungerande eRocket-tjänst,</w:t>
      </w:r>
    </w:p>
    <w:p>
      <w:pPr>
        <w:pStyle w:val="ListBullet"/>
      </w:pPr>
      <w:r>
        <w:rPr>
          <w:rFonts w:ascii="Calibri" w:hAnsi="Calibri"/>
        </w:rPr>
        <w:t>verklig leverans och Google-prestation,</w:t>
      </w:r>
    </w:p>
    <w:p>
      <w:pPr>
        <w:pStyle w:val="ListBullet"/>
      </w:pPr>
      <w:r>
        <w:rPr>
          <w:rFonts w:ascii="Calibri" w:hAnsi="Calibri"/>
        </w:rPr>
        <w:t>en faktisk prestationsbaserad faktureringsmodell,</w:t>
      </w:r>
    </w:p>
    <w:p>
      <w:pPr>
        <w:pStyle w:val="ListBullet"/>
      </w:pPr>
      <w:r>
        <w:rPr>
          <w:rFonts w:ascii="Calibri" w:hAnsi="Calibri"/>
        </w:rPr>
        <w:t>individuella BankID-avtal med tydliga prestationsvillkor,</w:t>
      </w:r>
    </w:p>
    <w:p>
      <w:pPr>
        <w:pStyle w:val="ListBullet"/>
      </w:pPr>
      <w:r>
        <w:rPr>
          <w:rFonts w:ascii="Calibri" w:hAnsi="Calibri"/>
        </w:rPr>
        <w:t>fakturor som specificerar uppnådd prestation,</w:t>
      </w:r>
    </w:p>
    <w:p>
      <w:pPr>
        <w:pStyle w:val="ListBullet"/>
      </w:pPr>
      <w:r>
        <w:rPr>
          <w:rFonts w:ascii="Calibri" w:hAnsi="Calibri"/>
        </w:rPr>
        <w:t>en verklig och betald extern säljaktör under den första försäljningsfasen,</w:t>
      </w:r>
    </w:p>
    <w:p>
      <w:pPr>
        <w:pStyle w:val="ListBullet"/>
      </w:pPr>
      <w:r>
        <w:rPr>
          <w:rFonts w:ascii="Calibri" w:hAnsi="Calibri"/>
        </w:rPr>
        <w:t>åtgärder när möjlig felkommunikation upptäcktes,</w:t>
      </w:r>
    </w:p>
    <w:p>
      <w:pPr>
        <w:pStyle w:val="ListBullet"/>
      </w:pPr>
      <w:r>
        <w:rPr>
          <w:rFonts w:ascii="Calibri" w:hAnsi="Calibri"/>
        </w:rPr>
        <w:t>att William öppet tog emot reportrarna och bad dem kontrollera helheten,</w:t>
      </w:r>
    </w:p>
    <w:p>
      <w:pPr>
        <w:pStyle w:val="ListBullet"/>
      </w:pPr>
      <w:r>
        <w:rPr>
          <w:rFonts w:ascii="Calibri" w:hAnsi="Calibri"/>
        </w:rPr>
        <w:t>att redaktionen uttryckligen varnades för ett missvisande personutpekande,</w:t>
      </w:r>
    </w:p>
    <w:p>
      <w:pPr>
        <w:pStyle w:val="ListBullet"/>
      </w:pPr>
      <w:r>
        <w:rPr>
          <w:rFonts w:ascii="Calibri" w:hAnsi="Calibri"/>
        </w:rPr>
        <w:t>att rubrikcitatet gavs en annan uppfattad innebörd än i originalljudet.</w:t>
      </w:r>
    </w:p>
    <w:p>
      <w:r>
        <w:rPr>
          <w:rFonts w:ascii="Calibri" w:hAnsi="Calibri"/>
        </w:rPr>
        <w:t>Ingen har genom det nu granskade materialet visats ha blivit lurad av William eller Nordic Digitalization. Kundernas upplevelser är relevanta påståenden, men de är inte i sig bevis för vilseledande.</w:t>
      </w:r>
    </w:p>
    <w:p>
      <w:r>
        <w:rPr>
          <w:rFonts w:ascii="Calibri" w:hAnsi="Calibri"/>
        </w:rPr>
        <w:t>Den starkaste sammanhängande förklaringskedjan är nu:</w:t>
      </w:r>
    </w:p>
    <w:p>
      <w:pPr>
        <w:pStyle w:val="LegalQuote"/>
        <w:pBdr>
          <w:left w:val="single" w:sz="18" w:space="8" w:color="2E74B5"/>
        </w:pBdr>
      </w:pPr>
      <w:r>
        <w:rPr>
          <w:rFonts w:ascii="Calibri" w:hAnsi="Calibri"/>
        </w:rPr>
        <w:t>eRocket utvecklades och finansierades under lång tid, prövades i pilotform, kommersialiserades snabbt efter positiva resultat, behövde extern säljkapacitet under tidspress, drabbades av brister i detta avgränsade försäljningsled och vidtog därefter korrigerande åtgärder. Borås Tidning reducerade kedjan till ett personligt och kategoriskt påstående om lurande.</w:t>
      </w:r>
    </w:p>
    <w:p>
      <w:r>
        <w:rPr>
          <w:rFonts w:ascii="Calibri" w:hAnsi="Calibri"/>
        </w:rPr>
        <w:t>Detta case behöver inte vila på att en bakomliggande samordnad kampanj kan bevisas. Den starkaste talan är att BT:s egen förhandskännedom och den objektiva dokumentationen inte bar den kategoriska rubriken och det personliga utpekandet. Konkurrens-, käll- och spridningsspåren ska användas för att förklara vad som behöver utredas, inte som ersättning för den kärnan.</w:t>
      </w:r>
    </w:p>
    <w:p>
      <w:pPr>
        <w:pStyle w:val="Heading1"/>
      </w:pPr>
      <w:r>
        <w:rPr>
          <w:rFonts w:ascii="Calibri" w:hAnsi="Calibri"/>
        </w:rPr>
        <w:t>Rättslig kärna</w:t>
      </w:r>
    </w:p>
    <w:p>
      <w:pPr>
        <w:pStyle w:val="Heading2"/>
      </w:pPr>
      <w:r>
        <w:rPr>
          <w:rFonts w:ascii="Calibri" w:hAnsi="Calibri"/>
        </w:rPr>
        <w:t>Förtalsgrundande uppgift</w:t>
      </w:r>
    </w:p>
    <w:p>
      <w:r>
        <w:rPr>
          <w:rFonts w:ascii="Calibri" w:hAnsi="Calibri"/>
        </w:rPr>
        <w:t>Enligt 5 kap. 1 § brottsbalken kan förtal föreligga när någon utpekar en person som brottslig eller klandervärd i sitt levnadssätt eller annars lämnar en uppgift som är ägnad att utsätta personen för andras missaktning.</w:t>
      </w:r>
    </w:p>
    <w:p>
      <w:r>
        <w:rPr>
          <w:rFonts w:ascii="Calibri" w:hAnsi="Calibri"/>
        </w:rPr>
        <w:t>Rubriken:</w:t>
      </w:r>
    </w:p>
    <w:p>
      <w:pPr>
        <w:pStyle w:val="LegalQuote"/>
        <w:pBdr>
          <w:left w:val="single" w:sz="18" w:space="8" w:color="2E74B5"/>
        </w:pBdr>
      </w:pPr>
      <w:r>
        <w:rPr>
          <w:rFonts w:ascii="Calibri" w:hAnsi="Calibri"/>
        </w:rPr>
        <w:t>"Så lurar Boråsföretaget sina kunder: 'Har missförstått hela skiten'"</w:t>
      </w:r>
    </w:p>
    <w:p>
      <w:r>
        <w:rPr>
          <w:rFonts w:ascii="Calibri" w:hAnsi="Calibri"/>
        </w:rPr>
        <w:t>är formulerad som ett faktiskt och kategoriskt påstående. Den säger inte att kunder "känner sig lurade", att försäljningen "kritiseras" eller att uppgifter "ska utredas". Ordet "lurar" beskriver ett medvetet ohederligt handlande.</w:t>
      </w:r>
    </w:p>
    <w:p>
      <w:pPr>
        <w:pStyle w:val="Heading2"/>
      </w:pPr>
      <w:r>
        <w:rPr>
          <w:rFonts w:ascii="Calibri" w:hAnsi="Calibri"/>
        </w:rPr>
        <w:t>William pekades ut personligen</w:t>
      </w:r>
    </w:p>
    <w:p>
      <w:r>
        <w:rPr>
          <w:rFonts w:ascii="Calibri" w:hAnsi="Calibri"/>
        </w:rPr>
        <w:t>Bolaget är inte den relevanta målsäganden. Den juridiska kärnan är att publiceringens helhetsintryck pekade ut William personligen:</w:t>
      </w:r>
    </w:p>
    <w:p>
      <w:pPr>
        <w:pStyle w:val="ListBullet"/>
      </w:pPr>
      <w:r>
        <w:rPr>
          <w:rFonts w:ascii="Calibri" w:hAnsi="Calibri"/>
        </w:rPr>
        <w:t>han namngavs,</w:t>
      </w:r>
    </w:p>
    <w:p>
      <w:pPr>
        <w:pStyle w:val="ListBullet"/>
      </w:pPr>
      <w:r>
        <w:rPr>
          <w:rFonts w:ascii="Calibri" w:hAnsi="Calibri"/>
        </w:rPr>
        <w:t>han visades på bild,</w:t>
      </w:r>
    </w:p>
    <w:p>
      <w:pPr>
        <w:pStyle w:val="ListBullet"/>
      </w:pPr>
      <w:r>
        <w:rPr>
          <w:rFonts w:ascii="Calibri" w:hAnsi="Calibri"/>
        </w:rPr>
        <w:t>han presenterades som vd och ansvarig företrädare,</w:t>
      </w:r>
    </w:p>
    <w:p>
      <w:pPr>
        <w:pStyle w:val="ListBullet"/>
      </w:pPr>
      <w:r>
        <w:rPr>
          <w:rFonts w:ascii="Calibri" w:hAnsi="Calibri"/>
        </w:rPr>
        <w:t>hans citat användes i huvudrubriken,</w:t>
      </w:r>
    </w:p>
    <w:p>
      <w:pPr>
        <w:pStyle w:val="ListBullet"/>
      </w:pPr>
      <w:r>
        <w:rPr>
          <w:rFonts w:ascii="Calibri" w:hAnsi="Calibri"/>
        </w:rPr>
        <w:t>hans andra bolag och yrkesidentitet kopplades till berättelsen,</w:t>
      </w:r>
    </w:p>
    <w:p>
      <w:pPr>
        <w:pStyle w:val="ListBullet"/>
      </w:pPr>
      <w:r>
        <w:rPr>
          <w:rFonts w:ascii="Calibri" w:hAnsi="Calibri"/>
        </w:rPr>
        <w:t>påståendet träffade hans personliga trovärdighet som företagare.</w:t>
      </w:r>
    </w:p>
    <w:p>
      <w:r>
        <w:rPr>
          <w:rFonts w:ascii="Calibri" w:hAnsi="Calibri"/>
        </w:rPr>
        <w:t>Högsta domstolens avgörande NJA 2022 s. 1136, mål B 4923-22, ger stöd för att rubrik, text, namn, bild och sammanhang ska bedömas som en helhet och att beskyllningar om att lura andra kan vara förtalsgrundande uppgifter.</w:t>
      </w:r>
    </w:p>
    <w:p>
      <w:pPr>
        <w:pStyle w:val="Heading2"/>
      </w:pPr>
      <w:r>
        <w:rPr>
          <w:rFonts w:ascii="Calibri" w:hAnsi="Calibri"/>
        </w:rPr>
        <w:t>Försvarlighet är inte tillräckligt</w:t>
      </w:r>
    </w:p>
    <w:p>
      <w:r>
        <w:rPr>
          <w:rFonts w:ascii="Calibri" w:hAnsi="Calibri"/>
        </w:rPr>
        <w:t>Det fanns ett allmänintresse av att granska kundklagomål och försäljningsmetoder. Det innebär inte att varje kategorisk slutsats var tillåten.</w:t>
      </w:r>
    </w:p>
    <w:p>
      <w:r>
        <w:rPr>
          <w:rFonts w:ascii="Calibri" w:hAnsi="Calibri"/>
        </w:rPr>
        <w:t>Om det var försvarligt att publicera måste den ansvarige dessutom visa att den förtalsgrundande uppgiften var sann eller att det fanns skälig grund för den. Skälig grund ska bedömas utifrån vad redaktionen visste och vilka kontrollåtgärder som faktiskt genomförts före publiceringen.</w:t>
      </w:r>
    </w:p>
    <w:p>
      <w:r>
        <w:rPr>
          <w:rFonts w:ascii="Calibri" w:hAnsi="Calibri"/>
        </w:rPr>
        <w:t>Det centrala är därför inte om någon kund uttryckte missnöje. Frågan är om redaktionen hade tillräckligt underlag för att slå fast att företaget lurade sina kunder och samtidigt personligen peka ut William.</w:t>
      </w:r>
    </w:p>
    <w:p>
      <w:pPr>
        <w:pStyle w:val="Heading1"/>
      </w:pPr>
      <w:r>
        <w:rPr>
          <w:rFonts w:ascii="Calibri" w:hAnsi="Calibri"/>
        </w:rPr>
        <w:t>Beviskedjan mot den kategoriska rubriken</w:t>
      </w:r>
    </w:p>
    <w:p>
      <w:pPr>
        <w:pStyle w:val="Heading2"/>
      </w:pPr>
      <w:r>
        <w:rPr>
          <w:rFonts w:ascii="Calibri" w:hAnsi="Calibri"/>
        </w:rPr>
        <w:t>1. Produkt och leverans</w:t>
      </w:r>
    </w:p>
    <w:p>
      <w:r>
        <w:rPr>
          <w:rFonts w:ascii="Calibri" w:hAnsi="Calibri"/>
        </w:rPr>
        <w:t>eRocket var en faktisk digital tjänst. Kundportal, dashboard, produktinformation och prestationsdata visar verklig produktion och mätbar Google-synlighet.</w:t>
      </w:r>
    </w:p>
    <w:p>
      <w:r>
        <w:rPr>
          <w:rFonts w:ascii="Calibri" w:hAnsi="Calibri"/>
        </w:rPr>
        <w:t>Detta motbevisar inte varje kundinvändning. Det motbevisar däremot ett förenklat intryck av att kunden fick en obefogad faktura utan verklig tjänst eller motprestation.</w:t>
      </w:r>
    </w:p>
    <w:p>
      <w:pPr>
        <w:pStyle w:val="Heading2"/>
      </w:pPr>
      <w:r>
        <w:rPr>
          <w:rFonts w:ascii="Calibri" w:hAnsi="Calibri"/>
        </w:rPr>
        <w:t>2. Prestationsbaserade avtal</w:t>
      </w:r>
    </w:p>
    <w:p>
      <w:r>
        <w:rPr>
          <w:rFonts w:ascii="Calibri" w:hAnsi="Calibri"/>
        </w:rPr>
        <w:t>De individuella avtalen anger att tjänsten först ska generera topp-10-värde och att fakturering sker endast när sökorden rankar topp 10. De anger tolv kalendermånaders nyttjande och signerades med BankID.</w:t>
      </w:r>
    </w:p>
    <w:p>
      <w:r>
        <w:rPr>
          <w:rFonts w:ascii="Calibri" w:hAnsi="Calibri"/>
        </w:rPr>
        <w:t>Avtalen är stark bevisning om vad som stod skriftligen. De utesluter inte automatiskt muntlig felinformation, men de innebär att en kunds efterhandsbild måste kontrolleras mot det dokument kunden fick och signerade.</w:t>
      </w:r>
    </w:p>
    <w:p>
      <w:pPr>
        <w:pStyle w:val="Heading2"/>
      </w:pPr>
      <w:r>
        <w:rPr>
          <w:rFonts w:ascii="Calibri" w:hAnsi="Calibri"/>
        </w:rPr>
        <w:t>3. Prestationsfakturor</w:t>
      </w:r>
    </w:p>
    <w:p>
      <w:r>
        <w:rPr>
          <w:rFonts w:ascii="Calibri" w:hAnsi="Calibri"/>
        </w:rPr>
        <w:t>Fem fakturor specificerar datum, sökfras, pris per dag och den aktuella eRocket-sidan. Det styrker att prestationsmodellen inte bara var något William "sade" till reportrarna.</w:t>
      </w:r>
    </w:p>
    <w:p>
      <w:pPr>
        <w:pStyle w:val="Heading2"/>
      </w:pPr>
      <w:r>
        <w:rPr>
          <w:rFonts w:ascii="Calibri" w:hAnsi="Calibri"/>
        </w:rPr>
        <w:t>4. Extern säljaktör</w:t>
      </w:r>
    </w:p>
    <w:p>
      <w:r>
        <w:rPr>
          <w:rFonts w:ascii="Calibri" w:hAnsi="Calibri"/>
        </w:rPr>
        <w:t>Empire of Sales fakturor 61, 63, 70 och 71 styrker objektivt att en extern aktör sålde eRocket-affärer under februari-april 2022 och fick betydande provision. BT kände genom intervjun till att det externa ledet var centralt.</w:t>
      </w:r>
    </w:p>
    <w:p>
      <w:r>
        <w:rPr>
          <w:rFonts w:ascii="Calibri" w:hAnsi="Calibri"/>
        </w:rPr>
        <w:t>Samtida samarbets- och avtalsutkast från januari och februari 2022 beskriver Empire of Sales och Contact Media som säljande parter och Nordic Digitalization som producerande part. Ett utkast anger ett mål om 100 signerade kunder per månad och att Empire of Sales inte ska kräva ersättning för bestridda kundavtal. De återfunna exemplaren har tomma signatursidor och formella oklarheter. De ska därför beskrivas som samtida planeringsdokument, inte som bevis för undertecknade avtal. Tillsammans med de betalda fakturorna stärker de ändå den alternativa förklaringen om en verklig, omfattande extern säljkedja.</w:t>
      </w:r>
    </w:p>
    <w:p>
      <w:r>
        <w:rPr>
          <w:rFonts w:ascii="Calibri" w:hAnsi="Calibri"/>
        </w:rPr>
        <w:t>Fakturorna visar inte exakt vad som sades till varje kund. De gör det däremot nödvändigt att utreda vem som sade vad innan ansvaret personifieras kring William.</w:t>
      </w:r>
    </w:p>
    <w:p>
      <w:pPr>
        <w:pStyle w:val="Heading2"/>
      </w:pPr>
      <w:r>
        <w:rPr>
          <w:rFonts w:ascii="Calibri" w:hAnsi="Calibri"/>
        </w:rPr>
        <w:t>5. Avhjälpande åtgärder</w:t>
      </w:r>
    </w:p>
    <w:p>
      <w:r>
        <w:rPr>
          <w:rFonts w:ascii="Calibri" w:hAnsi="Calibri"/>
        </w:rPr>
        <w:t>Intervjun visar att William beskrev intern kontroll, kontakt med kunder, hantering av felaktiga avtal, avslutat externt samarbete och avskedande efter upptäckta problem.</w:t>
      </w:r>
    </w:p>
    <w:p>
      <w:r>
        <w:rPr>
          <w:rFonts w:ascii="Calibri" w:hAnsi="Calibri"/>
        </w:rPr>
        <w:t>Detta kan användas som stöd för att problem existerade. Det visar samtidigt ett försök att stoppa och avhjälpa möjlig felkommunikation, inte ett systematiskt syfte att lura kunder.</w:t>
      </w:r>
    </w:p>
    <w:p>
      <w:pPr>
        <w:pStyle w:val="Heading2"/>
      </w:pPr>
      <w:r>
        <w:rPr>
          <w:rFonts w:ascii="Calibri" w:hAnsi="Calibri"/>
        </w:rPr>
        <w:t>6. Citatmanipulerande helhetsintryck</w:t>
      </w:r>
    </w:p>
    <w:p>
      <w:r>
        <w:rPr>
          <w:rFonts w:ascii="Calibri" w:hAnsi="Calibri"/>
        </w:rPr>
        <w:t>Uttrycket "missförstått hela skiten" avsåg i originalljudet risken att Borås Tidning skulle missförstå helheten. I rubriken placerades det efter påståendet att företaget lurade sina kunder.</w:t>
      </w:r>
    </w:p>
    <w:p>
      <w:r>
        <w:rPr>
          <w:rFonts w:ascii="Calibri" w:hAnsi="Calibri"/>
        </w:rPr>
        <w:t>Redaktionen kände till citatets verkliga kontext. Placeringen kunde få läsaren att uppfatta William som att han avfärdade lurade kunder, när han i själva verket varnade redaktionen för en felaktig artikel.</w:t>
      </w:r>
    </w:p>
    <w:p>
      <w:r>
        <w:rPr>
          <w:rFonts w:ascii="Calibri" w:hAnsi="Calibri"/>
        </w:rPr>
        <w:t>Detta är ett särskilt starkt bevis om redaktionell utformning och medveten förhandskännedom.</w:t>
      </w:r>
    </w:p>
    <w:p>
      <w:pPr>
        <w:pStyle w:val="Heading1"/>
      </w:pPr>
      <w:r>
        <w:rPr>
          <w:rFonts w:ascii="Calibri" w:hAnsi="Calibri"/>
        </w:rPr>
        <w:t>Kundkällorna måste prövas, inte förutsättas ha rätt</w:t>
      </w:r>
    </w:p>
    <w:p>
      <w:r>
        <w:rPr>
          <w:rFonts w:ascii="Calibri" w:hAnsi="Calibri"/>
        </w:rPr>
        <w:t>BT:s källor får inte behandlas som neutrala sanningsvittnen enbart för att de beskriver sig som kunder.</w:t>
      </w:r>
    </w:p>
    <w:p>
      <w:r>
        <w:rPr>
          <w:rFonts w:ascii="Calibri" w:hAnsi="Calibri"/>
        </w:rPr>
        <w:t>För varje källa behöver följande säkras:</w:t>
      </w:r>
    </w:p>
    <w:p>
      <w:pPr>
        <w:numPr>
          <w:ilvl w:val="0"/>
          <w:numId w:val="10"/>
        </w:numPr>
        <w:spacing w:after="160" w:line="280" w:lineRule="auto"/>
        <w:ind w:left="720" w:hanging="360"/>
      </w:pPr>
      <w:r>
        <w:rPr>
          <w:rFonts w:ascii="Calibri" w:hAnsi="Calibri"/>
        </w:rPr>
        <w:t>Identitet, relationer och eventuellt partsintresse.</w:t>
      </w:r>
    </w:p>
    <w:p>
      <w:pPr>
        <w:numPr>
          <w:ilvl w:val="0"/>
          <w:numId w:val="10"/>
        </w:numPr>
        <w:spacing w:after="160" w:line="280" w:lineRule="auto"/>
        <w:ind w:left="720" w:hanging="360"/>
      </w:pPr>
      <w:r>
        <w:rPr>
          <w:rFonts w:ascii="Calibri" w:hAnsi="Calibri"/>
        </w:rPr>
        <w:t>Vem som genomförde försäljningen.</w:t>
      </w:r>
    </w:p>
    <w:p>
      <w:pPr>
        <w:numPr>
          <w:ilvl w:val="0"/>
          <w:numId w:val="10"/>
        </w:numPr>
        <w:spacing w:after="160" w:line="280" w:lineRule="auto"/>
        <w:ind w:left="720" w:hanging="360"/>
      </w:pPr>
      <w:r>
        <w:rPr>
          <w:rFonts w:ascii="Calibri" w:hAnsi="Calibri"/>
        </w:rPr>
        <w:t>Vilket manus och vilken avtalsversion som användes.</w:t>
      </w:r>
    </w:p>
    <w:p>
      <w:pPr>
        <w:numPr>
          <w:ilvl w:val="0"/>
          <w:numId w:val="10"/>
        </w:numPr>
        <w:spacing w:after="160" w:line="280" w:lineRule="auto"/>
        <w:ind w:left="720" w:hanging="360"/>
      </w:pPr>
      <w:r>
        <w:rPr>
          <w:rFonts w:ascii="Calibri" w:hAnsi="Calibri"/>
        </w:rPr>
        <w:t>När avtalet skickades och signerades.</w:t>
      </w:r>
    </w:p>
    <w:p>
      <w:pPr>
        <w:numPr>
          <w:ilvl w:val="0"/>
          <w:numId w:val="10"/>
        </w:numPr>
        <w:spacing w:after="160" w:line="280" w:lineRule="auto"/>
        <w:ind w:left="720" w:hanging="360"/>
      </w:pPr>
      <w:r>
        <w:rPr>
          <w:rFonts w:ascii="Calibri" w:hAnsi="Calibri"/>
        </w:rPr>
        <w:t>Vad som kan styrkas ha sagts muntligen.</w:t>
      </w:r>
    </w:p>
    <w:p>
      <w:pPr>
        <w:numPr>
          <w:ilvl w:val="0"/>
          <w:numId w:val="10"/>
        </w:numPr>
        <w:spacing w:after="160" w:line="280" w:lineRule="auto"/>
        <w:ind w:left="720" w:hanging="360"/>
      </w:pPr>
      <w:r>
        <w:rPr>
          <w:rFonts w:ascii="Calibri" w:hAnsi="Calibri"/>
        </w:rPr>
        <w:t>Vad kunden faktiskt fick levererat.</w:t>
      </w:r>
    </w:p>
    <w:p>
      <w:pPr>
        <w:numPr>
          <w:ilvl w:val="0"/>
          <w:numId w:val="10"/>
        </w:numPr>
        <w:spacing w:after="160" w:line="280" w:lineRule="auto"/>
        <w:ind w:left="720" w:hanging="360"/>
      </w:pPr>
      <w:r>
        <w:rPr>
          <w:rFonts w:ascii="Calibri" w:hAnsi="Calibri"/>
        </w:rPr>
        <w:t>Vilken Google-prestation som uppnåddes.</w:t>
      </w:r>
    </w:p>
    <w:p>
      <w:pPr>
        <w:numPr>
          <w:ilvl w:val="0"/>
          <w:numId w:val="10"/>
        </w:numPr>
        <w:spacing w:after="160" w:line="280" w:lineRule="auto"/>
        <w:ind w:left="720" w:hanging="360"/>
      </w:pPr>
      <w:r>
        <w:rPr>
          <w:rFonts w:ascii="Calibri" w:hAnsi="Calibri"/>
        </w:rPr>
        <w:t>Vilka fakturor som skickades och på vilken grund.</w:t>
      </w:r>
    </w:p>
    <w:p>
      <w:pPr>
        <w:numPr>
          <w:ilvl w:val="0"/>
          <w:numId w:val="10"/>
        </w:numPr>
        <w:spacing w:after="160" w:line="280" w:lineRule="auto"/>
        <w:ind w:left="720" w:hanging="360"/>
      </w:pPr>
      <w:r>
        <w:rPr>
          <w:rFonts w:ascii="Calibri" w:hAnsi="Calibri"/>
        </w:rPr>
        <w:t>Om fakturorna betalades, bestreds eller krediterades.</w:t>
      </w:r>
    </w:p>
    <w:p>
      <w:pPr>
        <w:numPr>
          <w:ilvl w:val="0"/>
          <w:numId w:val="10"/>
        </w:numPr>
        <w:spacing w:after="160" w:line="280" w:lineRule="auto"/>
        <w:ind w:left="720" w:hanging="360"/>
      </w:pPr>
      <w:r>
        <w:rPr>
          <w:rFonts w:ascii="Calibri" w:hAnsi="Calibri"/>
        </w:rPr>
        <w:t>Vad bolaget gjorde när kunden invände.</w:t>
      </w:r>
    </w:p>
    <w:p>
      <w:pPr>
        <w:numPr>
          <w:ilvl w:val="0"/>
          <w:numId w:val="10"/>
        </w:numPr>
        <w:spacing w:after="160" w:line="280" w:lineRule="auto"/>
        <w:ind w:left="720" w:hanging="360"/>
      </w:pPr>
      <w:r>
        <w:rPr>
          <w:rFonts w:ascii="Calibri" w:hAnsi="Calibri"/>
        </w:rPr>
        <w:t>Vilka kontroller BT genomförde.</w:t>
      </w:r>
    </w:p>
    <w:p>
      <w:r>
        <w:rPr>
          <w:rFonts w:ascii="Calibri" w:hAnsi="Calibri"/>
        </w:rPr>
        <w:t>William uppger att de intervjuade kunderna är återkommande missnöjda hos flera aktörer i Boråsområdet. Den uppgiften kan få betydelse för källvärderingen, men måste styrkas genom identifierbara och lagligt åtkomna handlingar eller vittnen. I nuläget ska den därför formuleras som ett begärt kontrollspår.</w:t>
      </w:r>
    </w:p>
    <w:p>
      <w:pPr>
        <w:pStyle w:val="Heading1"/>
      </w:pPr>
      <w:r>
        <w:rPr>
          <w:rFonts w:ascii="Calibri" w:hAnsi="Calibri"/>
        </w:rPr>
        <w:t>Satsningen och lanseringens faktiska tidslinje</w:t>
      </w:r>
    </w:p>
    <w:p>
      <w:r>
        <w:rPr>
          <w:rFonts w:ascii="Calibri" w:hAnsi="Calibri"/>
        </w:rPr>
        <w:t>William har beskrivit att 10-15 personer arbetade med utvecklingen och att produktutvecklingen pågick omkring 18 månader. Samtida manus och korrespondens stöder uppgiften om en längre utvecklingsperiod. Produktunderlag, dashboard, avtal, fakturor och personalrelaterade handlingar visar att satsningen var verklig.</w:t>
      </w:r>
    </w:p>
    <w:p>
      <w:r>
        <w:rPr>
          <w:rFonts w:ascii="Calibri" w:hAnsi="Calibri"/>
        </w:rPr>
        <w:t>eRocket uppges i intervjun ha startat i februari 2022. Intervjun ägde rum den 16 november 2022. Den korrekta formuleringen är därför inte att eRocket endast varit igång tre månader vid BT:s besök, utan att:</w:t>
      </w:r>
    </w:p>
    <w:p>
      <w:pPr>
        <w:pStyle w:val="ListBullet"/>
      </w:pPr>
      <w:r>
        <w:rPr>
          <w:rFonts w:ascii="Calibri" w:hAnsi="Calibri"/>
        </w:rPr>
        <w:t>tjänsten var cirka nio månader in i sin kommersiella lansering,</w:t>
      </w:r>
    </w:p>
    <w:p>
      <w:pPr>
        <w:pStyle w:val="ListBullet"/>
      </w:pPr>
      <w:r>
        <w:rPr>
          <w:rFonts w:ascii="Calibri" w:hAnsi="Calibri"/>
        </w:rPr>
        <w:t>de centrala försäljningsproblemen avsåg de första månaderna,</w:t>
      </w:r>
    </w:p>
    <w:p>
      <w:pPr>
        <w:pStyle w:val="ListBullet"/>
      </w:pPr>
      <w:r>
        <w:rPr>
          <w:rFonts w:ascii="Calibri" w:hAnsi="Calibri"/>
        </w:rPr>
        <w:t>den externa säljaktören var verksam under cirka två till två och en halv månader,</w:t>
      </w:r>
    </w:p>
    <w:p>
      <w:pPr>
        <w:pStyle w:val="ListBullet"/>
      </w:pPr>
      <w:r>
        <w:rPr>
          <w:rFonts w:ascii="Calibri" w:hAnsi="Calibri"/>
        </w:rPr>
        <w:t>affärsmodell och kontrollrutiner fortfarande utvecklades under lanseringsåret.</w:t>
      </w:r>
    </w:p>
    <w:p>
      <w:r>
        <w:rPr>
          <w:rFonts w:ascii="Calibri" w:hAnsi="Calibri"/>
        </w:rPr>
        <w:t>William uppgav att omkring 30 miljoner kronor investerats. Det är relevant som redaktionens förhandskännedom och som bakgrund, men den exakta investeringen bör styrkas med redovisningsunderlag innan den hävdas som objektivt bevisad.</w:t>
      </w:r>
    </w:p>
    <w:p>
      <w:r>
        <w:rPr>
          <w:rFonts w:ascii="Calibri" w:hAnsi="Calibri"/>
        </w:rPr>
        <w:t>Williams nya precisering är att utvalda pilotkunder användes under de första månaderna, att positiva Google-resultat låg bakom beslutet att gå till marknaden och att finansiärens krav på snabbare kommersialisering bidrog till behovet av extern säljkapacitet. Detta är en logisk och juridiskt relevant förklaring till händelsekedjan, men ska styrkas med pilotdata, intern kommunikation, beslut, finansiärsvittne och andra samtida handlingar.</w:t>
      </w:r>
    </w:p>
    <w:p>
      <w:r>
        <w:rPr>
          <w:rFonts w:ascii="Calibri" w:hAnsi="Calibri"/>
        </w:rPr>
        <w:t xml:space="preserve">Intervjun ger redan stöd för flera delar: affärsmodellens tydliga avvikelse från branschpraxis vid </w:t>
      </w:r>
      <w:r>
        <w:rPr>
          <w:rFonts w:ascii="Consolas" w:hAnsi="Consolas"/>
          <w:color w:val="1F4D78"/>
          <w:sz w:val="19"/>
        </w:rPr>
        <w:t>[00:04:22-00:07:30]</w:t>
      </w:r>
      <w:r>
        <w:rPr>
          <w:rFonts w:ascii="Calibri" w:hAnsi="Calibri"/>
        </w:rPr>
        <w:t xml:space="preserve">, stark finansiär och cirka 18 månaders utveckling vid </w:t>
      </w:r>
      <w:r>
        <w:rPr>
          <w:rFonts w:ascii="Consolas" w:hAnsi="Consolas"/>
          <w:color w:val="1F4D78"/>
          <w:sz w:val="19"/>
        </w:rPr>
        <w:t>[00:21:25-00:22:21]</w:t>
      </w:r>
      <w:r>
        <w:rPr>
          <w:rFonts w:ascii="Calibri" w:hAnsi="Calibri"/>
        </w:rPr>
        <w:t xml:space="preserve"> samt den snabba kedjan från extern aktör till avslutat samarbete och rekrytering vid </w:t>
      </w:r>
      <w:r>
        <w:rPr>
          <w:rFonts w:ascii="Consolas" w:hAnsi="Consolas"/>
          <w:color w:val="1F4D78"/>
          <w:sz w:val="19"/>
        </w:rPr>
        <w:t>[01:45:10-01:45:38]</w:t>
      </w:r>
      <w:r>
        <w:rPr>
          <w:rFonts w:ascii="Calibri" w:hAnsi="Calibri"/>
        </w:rPr>
        <w:t>.</w:t>
      </w:r>
    </w:p>
    <w:p>
      <w:pPr>
        <w:pStyle w:val="Heading1"/>
      </w:pPr>
      <w:r>
        <w:rPr>
          <w:rFonts w:ascii="Calibri" w:hAnsi="Calibri"/>
        </w:rPr>
        <w:t>Möjlig konkurrens- och intressekonflikt</w:t>
      </w:r>
    </w:p>
    <w:p>
      <w:r>
        <w:rPr>
          <w:rFonts w:ascii="Calibri" w:hAnsi="Calibri"/>
        </w:rPr>
        <w:t>Gota Medias nuvarande offentliga sidor anger både att koncernen äger Borås Tidning och att dess företagsmarknad säljer hemsidor, SEO, SEM, Google-marknadsföring och andra digitala byråtjänster. Sidan uppger även att Gota Media erbjudit företag hemsidor i över 20 år. Historiskt tjänsteutbud vid publiceringstillfället måste ändå säkras. eRocket riktades till samma breda företagarmarknad med en modell som flyttade prestationsrisken till leverantören.</w:t>
      </w:r>
    </w:p>
    <w:p>
      <w:r>
        <w:rPr>
          <w:rFonts w:ascii="Calibri" w:hAnsi="Calibri"/>
        </w:rPr>
        <w:t>Detta är inte bevis för att redaktionen eller Gota Media samordnade ett angrepp. Att hävda det som fastslaget skulle försvaga saken. Det är däremot ett legitimt utredningsspår om strukturella kommersiella intressen, redaktionella oberoendekontroller och möjliga partsintressen hos uppgiftslämnare.</w:t>
      </w:r>
    </w:p>
    <w:p>
      <w:pPr>
        <w:pStyle w:val="Heading2"/>
      </w:pPr>
      <w:r>
        <w:rPr>
          <w:rFonts w:ascii="Calibri" w:hAnsi="Calibri"/>
        </w:rPr>
        <w:t>Eric Thulin och Reco – ett konkret senare agerande</w:t>
      </w:r>
    </w:p>
    <w:p>
      <w:r>
        <w:rPr>
          <w:rFonts w:ascii="Calibri" w:hAnsi="Calibri"/>
        </w:rPr>
        <w:t xml:space="preserve">Skärmdumpar från den 28 juni 2023 visar att kontot </w:t>
      </w:r>
      <w:r>
        <w:rPr>
          <w:rFonts w:ascii="Consolas" w:hAnsi="Consolas"/>
          <w:color w:val="1F4D78"/>
          <w:sz w:val="19"/>
        </w:rPr>
        <w:t>Eric Oscar T</w:t>
      </w:r>
      <w:r>
        <w:rPr>
          <w:rFonts w:ascii="Calibri" w:hAnsi="Calibri"/>
        </w:rPr>
        <w:t xml:space="preserve"> lämnade lägsta möjliga betyg på Nordic Digitalization AB:s Reco-sida, utan att redovisa någon egen kundrelation eller leverans. Texten uppmanade läsaren att läsa Borås Tidnings granskning och länkade till två artiklar i serien. En LinkedIn-skärmdump från samma dag identifierar Eric Thulin som redaktionell utvecklingschef på Gota Media. Underlaget indikerar därför starkt att kontot tillhör honom, men Reco bör bekräfta identiteten.</w:t>
      </w:r>
    </w:p>
    <w:p>
      <w:r>
        <w:rPr>
          <w:rFonts w:ascii="Calibri" w:hAnsi="Calibri"/>
        </w:rPr>
        <w:t>Detta är kvalitativt starkare än den allmänna tjänsteöverlappningen. Det visar ett konkret efterföljande agerande som bidrog till fortsatt spridning och var ägnat att påverka bolagets Reco-betyg. Det motiverar utredning av Eric Thulins kunskap, motiv, eventuella befattning med artikelserien och Gota Medias oberoendekontroller.</w:t>
      </w:r>
    </w:p>
    <w:p>
      <w:r>
        <w:rPr>
          <w:rFonts w:ascii="Calibri" w:hAnsi="Calibri"/>
        </w:rPr>
        <w:t>Händelsen inträffade cirka sju månader efter den ursprungliga publiceringen. Den bevisar därför inte ensam att artikelserien beställdes eller samordnades kommersiellt. Williams uppgift att omdömet togs bort direkt efter LinkedIn-kontakten ska anges som hans uppgift tills meddelandekedja och borttagningslogg har säkrats.</w:t>
      </w:r>
    </w:p>
    <w:p>
      <w:r>
        <w:rPr>
          <w:rFonts w:ascii="Calibri" w:hAnsi="Calibri"/>
        </w:rPr>
        <w:t>Behörig specialist bör även bedöma om enstjärnsomdömet och länkarna utgör en självständig senare publicerings- eller spridningsgärning. Bedömningen måste göras separat från ansvaret för BT:s ursprungliga publicering och omfatta gärningsperson, uppgiftsinnehåll, försvarlighet, publiceringsform och preskription. Eftersom omdömet låg på bolagets sida måste det särskilt prövas om länkarna och sammanhanget innebar att William personligen pekades ut.</w:t>
      </w:r>
    </w:p>
    <w:p>
      <w:r>
        <w:rPr>
          <w:rFonts w:ascii="Calibri" w:hAnsi="Calibri"/>
        </w:rPr>
        <w:t>Flashback-inlägg ska fortsatt behandlas som anonyma och obestyrkta. Deras existens är inte ett meningsfullt motbevis mot Williams etablerade renommé. Den relevanta frågan är om redaktionen använde anonymt eller konkurrentinfluerat material utan tillräcklig verifiering. Ett sådant avsändarsamband måste bevisas innan det hävdas.</w:t>
      </w:r>
    </w:p>
    <w:p>
      <w:pPr>
        <w:pStyle w:val="Heading1"/>
      </w:pPr>
      <w:r>
        <w:rPr>
          <w:rFonts w:ascii="Calibri" w:hAnsi="Calibri"/>
        </w:rPr>
        <w:t>Skada och grovt förtal</w:t>
      </w:r>
    </w:p>
    <w:p>
      <w:r>
        <w:rPr>
          <w:rFonts w:ascii="Calibri" w:hAnsi="Calibri"/>
        </w:rPr>
        <w:t>Vid grovhetsbedömningen enligt 5 kap. 2 § brottsbalken ska särskilt beaktas uppgiftens innehåll, sättet för och omfattningen av spridningen samt om gärningen annars var ägnad att medföra allvarlig skada.</w:t>
      </w:r>
    </w:p>
    <w:p>
      <w:r>
        <w:rPr>
          <w:rFonts w:ascii="Calibri" w:hAnsi="Calibri"/>
        </w:rPr>
        <w:t>Omständigheter som talar för grovt förtal:</w:t>
      </w:r>
    </w:p>
    <w:p>
      <w:pPr>
        <w:pStyle w:val="ListBullet"/>
      </w:pPr>
      <w:r>
        <w:rPr>
          <w:rFonts w:ascii="Calibri" w:hAnsi="Calibri"/>
        </w:rPr>
        <w:t>kategoriskt påstående om systematiskt lurande,</w:t>
      </w:r>
    </w:p>
    <w:p>
      <w:pPr>
        <w:pStyle w:val="ListBullet"/>
      </w:pPr>
      <w:r>
        <w:rPr>
          <w:rFonts w:ascii="Calibri" w:hAnsi="Calibri"/>
        </w:rPr>
        <w:t>etablerad nyhetsaktör med särskild trovärdighet lokalt,</w:t>
      </w:r>
    </w:p>
    <w:p>
      <w:pPr>
        <w:pStyle w:val="ListBullet"/>
      </w:pPr>
      <w:r>
        <w:rPr>
          <w:rFonts w:ascii="Calibri" w:hAnsi="Calibri"/>
        </w:rPr>
        <w:t>namn, bild, vd-roll och personligt citat,</w:t>
      </w:r>
    </w:p>
    <w:p>
      <w:pPr>
        <w:pStyle w:val="ListBullet"/>
      </w:pPr>
      <w:r>
        <w:rPr>
          <w:rFonts w:ascii="Calibri" w:hAnsi="Calibri"/>
        </w:rPr>
        <w:t>missvisande rubrikkontext trots tillgång till originalljudet,</w:t>
      </w:r>
    </w:p>
    <w:p>
      <w:pPr>
        <w:pStyle w:val="ListBullet"/>
      </w:pPr>
      <w:r>
        <w:rPr>
          <w:rFonts w:ascii="Calibri" w:hAnsi="Calibri"/>
        </w:rPr>
        <w:t>angrepp mot kärnan i Williams yrkesmässiga förtroende,</w:t>
      </w:r>
    </w:p>
    <w:p>
      <w:pPr>
        <w:pStyle w:val="ListBullet"/>
      </w:pPr>
      <w:r>
        <w:rPr>
          <w:rFonts w:ascii="Calibri" w:hAnsi="Calibri"/>
        </w:rPr>
        <w:t>digital sökbarhet och spridningspotential,</w:t>
      </w:r>
    </w:p>
    <w:p>
      <w:pPr>
        <w:pStyle w:val="ListBullet"/>
      </w:pPr>
      <w:r>
        <w:rPr>
          <w:rFonts w:ascii="Calibri" w:hAnsi="Calibri"/>
        </w:rPr>
        <w:t>upprepade publiceringar,</w:t>
      </w:r>
    </w:p>
    <w:p>
      <w:pPr>
        <w:pStyle w:val="ListBullet"/>
      </w:pPr>
      <w:r>
        <w:rPr>
          <w:rFonts w:ascii="Calibri" w:hAnsi="Calibri"/>
        </w:rPr>
        <w:t>redaktionens uttryckliga förhandskännedom om skadepotentialen,</w:t>
      </w:r>
    </w:p>
    <w:p>
      <w:pPr>
        <w:pStyle w:val="ListBullet"/>
      </w:pPr>
      <w:r>
        <w:rPr>
          <w:rFonts w:ascii="Calibri" w:hAnsi="Calibri"/>
        </w:rPr>
        <w:t>dokumenterbara förlorade uppdrag, kunder och förtroenderoller,</w:t>
      </w:r>
    </w:p>
    <w:p>
      <w:pPr>
        <w:pStyle w:val="ListBullet"/>
      </w:pPr>
      <w:r>
        <w:rPr>
          <w:rFonts w:ascii="Calibri" w:hAnsi="Calibri"/>
        </w:rPr>
        <w:t>dokumenterbar personlig kris och hotfulla kommentarer riktade även mot familjen, i den mån samband och spridning kan styrkas.</w:t>
      </w:r>
    </w:p>
    <w:p>
      <w:r>
        <w:rPr>
          <w:rFonts w:ascii="Calibri" w:hAnsi="Calibri"/>
        </w:rPr>
        <w:t>Skadebevisningen behöver byggas i tre led:</w:t>
      </w:r>
    </w:p>
    <w:p>
      <w:pPr>
        <w:pStyle w:val="ListBullet"/>
      </w:pPr>
      <w:r>
        <w:rPr>
          <w:rFonts w:ascii="Calibri" w:hAnsi="Calibri"/>
          <w:b/>
        </w:rPr>
        <w:t>Före:</w:t>
      </w:r>
      <w:r>
        <w:rPr>
          <w:rFonts w:ascii="Calibri" w:hAnsi="Calibri"/>
        </w:rPr>
        <w:t xml:space="preserve"> meriter, uppdrag, kunder, förtroenderoller och ekonomisk nivå före publiceringen.</w:t>
      </w:r>
    </w:p>
    <w:p>
      <w:pPr>
        <w:pStyle w:val="ListBullet"/>
      </w:pPr>
      <w:r>
        <w:rPr>
          <w:rFonts w:ascii="Calibri" w:hAnsi="Calibri"/>
          <w:b/>
        </w:rPr>
        <w:t>Händelsen:</w:t>
      </w:r>
      <w:r>
        <w:rPr>
          <w:rFonts w:ascii="Calibri" w:hAnsi="Calibri"/>
        </w:rPr>
        <w:t xml:space="preserve"> publicering, utskick, spridning och vem som mottog artiklarna.</w:t>
      </w:r>
    </w:p>
    <w:p>
      <w:pPr>
        <w:pStyle w:val="ListBullet"/>
      </w:pPr>
      <w:r>
        <w:rPr>
          <w:rFonts w:ascii="Calibri" w:hAnsi="Calibri"/>
          <w:b/>
        </w:rPr>
        <w:t>Efter:</w:t>
      </w:r>
      <w:r>
        <w:rPr>
          <w:rFonts w:ascii="Calibri" w:hAnsi="Calibri"/>
        </w:rPr>
        <w:t xml:space="preserve"> uppsägningar, förlorade kunder, borttagna förtroendeuppdrag och skriftliga hänvisningar till artiklarna.</w:t>
      </w:r>
    </w:p>
    <w:p>
      <w:r>
        <w:rPr>
          <w:rFonts w:ascii="Calibri" w:hAnsi="Calibri"/>
        </w:rPr>
        <w:t>2019-intervjun, äldre SEO-publicitet och kundhistorik är relevant bakgrund. Särskilt starkt blir material som visar att en konkret motpart hänvisade till BT:s artiklar när ett uppdrag avslutades.</w:t>
      </w:r>
    </w:p>
    <w:p>
      <w:pPr>
        <w:pStyle w:val="Heading1"/>
      </w:pPr>
      <w:r>
        <w:rPr>
          <w:rFonts w:ascii="Calibri" w:hAnsi="Calibri"/>
        </w:rPr>
        <w:t>Motargument och hur de ska bemötas</w:t>
      </w:r>
    </w:p>
    <w:p>
      <w:pPr>
        <w:pStyle w:val="Heading2"/>
      </w:pPr>
      <w:r>
        <w:rPr>
          <w:rFonts w:ascii="Calibri" w:hAnsi="Calibri"/>
        </w:rPr>
        <w:t>"Flera personer kände sig lurade"</w:t>
      </w:r>
    </w:p>
    <w:p>
      <w:r>
        <w:rPr>
          <w:rFonts w:ascii="Calibri" w:hAnsi="Calibri"/>
        </w:rPr>
        <w:t>Bemötande: En känsla eller uppgift är inte ett bevisat faktum. Begär kund-för-kund-kontroll av avtal, leverans, prestation, faktura, betalning och kommunikation.</w:t>
      </w:r>
    </w:p>
    <w:p>
      <w:pPr>
        <w:pStyle w:val="Heading2"/>
      </w:pPr>
      <w:r>
        <w:rPr>
          <w:rFonts w:ascii="Calibri" w:hAnsi="Calibri"/>
        </w:rPr>
        <w:t>"William tog ansvar som vd"</w:t>
      </w:r>
    </w:p>
    <w:p>
      <w:r>
        <w:rPr>
          <w:rFonts w:ascii="Calibri" w:hAnsi="Calibri"/>
        </w:rPr>
        <w:t>Bemötande: Att acceptera yttersta ansvar för beslutet att anlita en aktör är inte ett erkännande av att William eller bolaget lurade kunder. Intervjun visar samtidigt avhjälpande åtgärder och en konsekvent förnekelse av lurande.</w:t>
      </w:r>
    </w:p>
    <w:p>
      <w:pPr>
        <w:pStyle w:val="Heading2"/>
      </w:pPr>
      <w:r>
        <w:rPr>
          <w:rFonts w:ascii="Calibri" w:hAnsi="Calibri"/>
        </w:rPr>
        <w:t>"Det fanns problem i säljinformationen"</w:t>
      </w:r>
    </w:p>
    <w:p>
      <w:r>
        <w:rPr>
          <w:rFonts w:ascii="Calibri" w:hAnsi="Calibri"/>
        </w:rPr>
        <w:t>Bemötande: Möjlig felkommunikation i ett avgränsat externt försäljningsled kan motivera granskning, men bär inte utan vidare rubriken att företaget systematiskt lurar sina kunder.</w:t>
      </w:r>
    </w:p>
    <w:p>
      <w:pPr>
        <w:pStyle w:val="Heading2"/>
      </w:pPr>
      <w:r>
        <w:rPr>
          <w:rFonts w:ascii="Calibri" w:hAnsi="Calibri"/>
        </w:rPr>
        <w:t>"BankID-avtal motbevisar inte muntliga löften"</w:t>
      </w:r>
    </w:p>
    <w:p>
      <w:r>
        <w:rPr>
          <w:rFonts w:ascii="Calibri" w:hAnsi="Calibri"/>
        </w:rPr>
        <w:t>Bemötande: Korrekt, men muntliga efterhandsuppgifter motbevisar inte heller avtalen. Bevisvärderingen måste vara kundspecifik. Senare signering och avtalens tydliga prestationsvillkor är relevanta kontrollfakta.</w:t>
      </w:r>
    </w:p>
    <w:p>
      <w:pPr>
        <w:pStyle w:val="Heading2"/>
      </w:pPr>
      <w:r>
        <w:rPr>
          <w:rFonts w:ascii="Calibri" w:hAnsi="Calibri"/>
        </w:rPr>
        <w:t>"De allmänna villkoren tillåter förskottsfakturering"</w:t>
      </w:r>
    </w:p>
    <w:p>
      <w:r>
        <w:rPr>
          <w:rFonts w:ascii="Calibri" w:hAnsi="Calibri"/>
        </w:rPr>
        <w:t>Bemötande: De allmänna villkoren anger också att individuella avtal har företräde. De åberopade individuella prestationsavtalen och fakturorna måste kontrolleras för varje kund. Undvik ett universellt påstående om att ingen förskottsfaktura någonsin förekommit.</w:t>
      </w:r>
    </w:p>
    <w:p>
      <w:pPr>
        <w:pStyle w:val="Heading2"/>
      </w:pPr>
      <w:r>
        <w:rPr>
          <w:rFonts w:ascii="Calibri" w:hAnsi="Calibri"/>
        </w:rPr>
        <w:t>"William var en offentlig företagsföreträdare"</w:t>
      </w:r>
    </w:p>
    <w:p>
      <w:r>
        <w:rPr>
          <w:rFonts w:ascii="Calibri" w:hAnsi="Calibri"/>
        </w:rPr>
        <w:t>Bemötande: Det stärker försvarligheten av granskning, men upphäver inte kravet på sanning eller skälig grund för ett kategoriskt personskadligt påstående.</w:t>
      </w:r>
    </w:p>
    <w:p>
      <w:pPr>
        <w:pStyle w:val="Heading1"/>
      </w:pPr>
      <w:r>
        <w:rPr>
          <w:rFonts w:ascii="Calibri" w:hAnsi="Calibri"/>
        </w:rPr>
        <w:t>Material som ska användas försiktigt</w:t>
      </w:r>
    </w:p>
    <w:p>
      <w:pPr>
        <w:pStyle w:val="ListBullet"/>
      </w:pPr>
      <w:r>
        <w:rPr>
          <w:rFonts w:ascii="Calibri" w:hAnsi="Calibri"/>
          <w:b/>
        </w:rPr>
        <w:t>Flashback:</w:t>
      </w:r>
      <w:r>
        <w:rPr>
          <w:rFonts w:ascii="Calibri" w:hAnsi="Calibri"/>
        </w:rPr>
        <w:t xml:space="preserve"> Anonyma inlägg har lågt sanningsvärde. De ska inte ges en central roll utan bevis om avsändare och konkurrentsamband. Använd dem som möjligt spridnings- eller påverkningsspår, inte som sanningsbevis.</w:t>
      </w:r>
    </w:p>
    <w:p>
      <w:pPr>
        <w:pStyle w:val="ListBullet"/>
      </w:pPr>
      <w:r>
        <w:rPr>
          <w:rFonts w:ascii="Calibri" w:hAnsi="Calibri"/>
          <w:b/>
        </w:rPr>
        <w:t>Konkurrensintresse hos Gota Media:</w:t>
      </w:r>
      <w:r>
        <w:rPr>
          <w:rFonts w:ascii="Calibri" w:hAnsi="Calibri"/>
        </w:rPr>
        <w:t xml:space="preserve"> Den objektiva tjänsteöverlappningen är relevant för utredning. Eric Thulins dokumenterade Reco-agerande gör spåret konkretare, men bevisar fortfarande inte ensamt redaktionell påverkan eller samordning av den ursprungliga artikelserien.</w:t>
      </w:r>
    </w:p>
    <w:p>
      <w:pPr>
        <w:pStyle w:val="ListBullet"/>
      </w:pPr>
      <w:r>
        <w:rPr>
          <w:rFonts w:ascii="Calibri" w:hAnsi="Calibri"/>
          <w:b/>
        </w:rPr>
        <w:t>Senare material om Nenad eller Effektiv Media:</w:t>
      </w:r>
      <w:r>
        <w:rPr>
          <w:rFonts w:ascii="Calibri" w:hAnsi="Calibri"/>
        </w:rPr>
        <w:t xml:space="preserve"> Kan ge ett utredningsspår, men säger i sig lite om vad BT visste 2022. Använd inte som huvudbevis eller personangrepp.</w:t>
      </w:r>
    </w:p>
    <w:p>
      <w:pPr>
        <w:pStyle w:val="ListBullet"/>
      </w:pPr>
      <w:r>
        <w:rPr>
          <w:rFonts w:ascii="Calibri" w:hAnsi="Calibri"/>
          <w:b/>
        </w:rPr>
        <w:t>30 miljoner kronor:</w:t>
      </w:r>
      <w:r>
        <w:rPr>
          <w:rFonts w:ascii="Calibri" w:hAnsi="Calibri"/>
        </w:rPr>
        <w:t xml:space="preserve"> Williams uppgift och relevant kontext, men exakt summa behöver ekonomiskt stöd.</w:t>
      </w:r>
    </w:p>
    <w:p>
      <w:pPr>
        <w:pStyle w:val="ListBullet"/>
      </w:pPr>
      <w:r>
        <w:rPr>
          <w:rFonts w:ascii="Calibri" w:hAnsi="Calibri"/>
          <w:b/>
        </w:rPr>
        <w:t>10-15 heltidsanställda:</w:t>
      </w:r>
      <w:r>
        <w:rPr>
          <w:rFonts w:ascii="Calibri" w:hAnsi="Calibri"/>
        </w:rPr>
        <w:t xml:space="preserve"> Relevant om den styrks med löneunderlag, anställningsavtal eller annan personaldokumentation.</w:t>
      </w:r>
    </w:p>
    <w:p>
      <w:pPr>
        <w:pStyle w:val="ListBullet"/>
      </w:pPr>
      <w:r>
        <w:rPr>
          <w:rFonts w:ascii="Calibri" w:hAnsi="Calibri"/>
          <w:b/>
        </w:rPr>
        <w:t>Kroniskt missnöjda kunder:</w:t>
      </w:r>
      <w:r>
        <w:rPr>
          <w:rFonts w:ascii="Calibri" w:hAnsi="Calibri"/>
        </w:rPr>
        <w:t xml:space="preserve"> Potentiellt relevant källkritik, men måste dokumenteras.</w:t>
      </w:r>
    </w:p>
    <w:p>
      <w:pPr>
        <w:pStyle w:val="Heading1"/>
      </w:pPr>
      <w:r>
        <w:rPr>
          <w:rFonts w:ascii="Calibri" w:hAnsi="Calibri"/>
        </w:rPr>
        <w:t>Process och preskription</w:t>
      </w:r>
    </w:p>
    <w:p>
      <w:r>
        <w:rPr>
          <w:rFonts w:ascii="Calibri" w:hAnsi="Calibri"/>
        </w:rPr>
        <w:t>Den centrala publiceringen uppges vara från den 19 november 2022.</w:t>
      </w:r>
    </w:p>
    <w:p>
      <w:r>
        <w:rPr>
          <w:rFonts w:ascii="Calibri" w:hAnsi="Calibri"/>
        </w:rPr>
        <w:t>Allmänt åtal för tryck- eller yttrandefrihetsbrott omfattas av särskilda och korta frister. Enskilt åtal kan fortfarande behöva bedömas.</w:t>
      </w:r>
    </w:p>
    <w:p>
      <w:r>
        <w:rPr>
          <w:rFonts w:ascii="Calibri" w:hAnsi="Calibri"/>
        </w:rPr>
        <w:t>Vanligt förtal är sannolikt preskriberat. Grovt förtal har normalt fem års åtalspreskription. Om den relevanta gärningen skedde den 19 november 2022 är den principiella slutdagen den 19 november 2027. Exakt frist, ansvarig person, publiceringsform och delgivningskrav måste omedelbart kontrolleras av en specialist på tryck- och yttrandefrihetsrätt.</w:t>
      </w:r>
    </w:p>
    <w:p>
      <w:r>
        <w:rPr>
          <w:rFonts w:ascii="Calibri" w:hAnsi="Calibri"/>
        </w:rPr>
        <w:t>En polisanmälan eller komplettering avbryter inte i sig preskription.</w:t>
      </w:r>
    </w:p>
    <w:p>
      <w:r>
        <w:rPr>
          <w:rFonts w:ascii="Calibri" w:hAnsi="Calibri"/>
        </w:rPr>
        <w:t>Medieombudsmannens beslut i ärende MO 24600 den 9 januari 2025 avskrev ärendet som för sent inkommet. Det var ingen prövning i sak och har inget frikännande bevisvärde för BT.</w:t>
      </w:r>
    </w:p>
    <w:p>
      <w:pPr>
        <w:pStyle w:val="Heading1"/>
      </w:pPr>
      <w:r>
        <w:rPr>
          <w:rFonts w:ascii="Calibri" w:hAnsi="Calibri"/>
        </w:rPr>
        <w:t>Rekommenderad kompletteringsstrategi</w:t>
      </w:r>
    </w:p>
    <w:p>
      <w:pPr>
        <w:numPr>
          <w:ilvl w:val="0"/>
          <w:numId w:val="11"/>
        </w:numPr>
        <w:spacing w:after="160" w:line="280" w:lineRule="auto"/>
        <w:ind w:left="720" w:hanging="360"/>
      </w:pPr>
      <w:r>
        <w:rPr>
          <w:rFonts w:ascii="Calibri" w:hAnsi="Calibri"/>
        </w:rPr>
        <w:t>Ge in den reviderade kompletteringen under befintligt K-nummer.</w:t>
      </w:r>
    </w:p>
    <w:p>
      <w:pPr>
        <w:numPr>
          <w:ilvl w:val="0"/>
          <w:numId w:val="11"/>
        </w:numPr>
        <w:spacing w:after="160" w:line="280" w:lineRule="auto"/>
        <w:ind w:left="720" w:hanging="360"/>
      </w:pPr>
      <w:r>
        <w:rPr>
          <w:rFonts w:ascii="Calibri" w:hAnsi="Calibri"/>
        </w:rPr>
        <w:t>Gör den kategoriska rubriken och personutpekandet till gärningskärna.</w:t>
      </w:r>
    </w:p>
    <w:p>
      <w:pPr>
        <w:numPr>
          <w:ilvl w:val="0"/>
          <w:numId w:val="11"/>
        </w:numPr>
        <w:spacing w:after="160" w:line="280" w:lineRule="auto"/>
        <w:ind w:left="720" w:hanging="360"/>
      </w:pPr>
      <w:r>
        <w:rPr>
          <w:rFonts w:ascii="Calibri" w:hAnsi="Calibri"/>
        </w:rPr>
        <w:t>Åberopa originalljudet och det utökade tidskodade utdragsprotokollet.</w:t>
      </w:r>
    </w:p>
    <w:p>
      <w:pPr>
        <w:numPr>
          <w:ilvl w:val="0"/>
          <w:numId w:val="11"/>
        </w:numPr>
        <w:spacing w:after="160" w:line="280" w:lineRule="auto"/>
        <w:ind w:left="720" w:hanging="360"/>
      </w:pPr>
      <w:r>
        <w:rPr>
          <w:rFonts w:ascii="Calibri" w:hAnsi="Calibri"/>
        </w:rPr>
        <w:t>Bifoga en strukturerad bevismatris.</w:t>
      </w:r>
    </w:p>
    <w:p>
      <w:pPr>
        <w:numPr>
          <w:ilvl w:val="0"/>
          <w:numId w:val="11"/>
        </w:numPr>
        <w:spacing w:after="160" w:line="280" w:lineRule="auto"/>
        <w:ind w:left="720" w:hanging="360"/>
      </w:pPr>
      <w:r>
        <w:rPr>
          <w:rFonts w:ascii="Calibri" w:hAnsi="Calibri"/>
        </w:rPr>
        <w:t>Begär kund-för-kund-utredning och källkontroll.</w:t>
      </w:r>
    </w:p>
    <w:p>
      <w:pPr>
        <w:numPr>
          <w:ilvl w:val="0"/>
          <w:numId w:val="11"/>
        </w:numPr>
        <w:spacing w:after="160" w:line="280" w:lineRule="auto"/>
        <w:ind w:left="720" w:hanging="360"/>
      </w:pPr>
      <w:r>
        <w:rPr>
          <w:rFonts w:ascii="Calibri" w:hAnsi="Calibri"/>
        </w:rPr>
        <w:t>Bifoga de tydligaste avtalen, prestationsfakturorna och externa säljfakturorna.</w:t>
      </w:r>
    </w:p>
    <w:p>
      <w:pPr>
        <w:numPr>
          <w:ilvl w:val="0"/>
          <w:numId w:val="11"/>
        </w:numPr>
        <w:spacing w:after="160" w:line="280" w:lineRule="auto"/>
        <w:ind w:left="720" w:hanging="360"/>
      </w:pPr>
      <w:r>
        <w:rPr>
          <w:rFonts w:ascii="Calibri" w:hAnsi="Calibri"/>
        </w:rPr>
        <w:t>Säkra fullständiga artikelkopior, spridningsuppgifter och ansvarig utgivare.</w:t>
      </w:r>
    </w:p>
    <w:p>
      <w:pPr>
        <w:numPr>
          <w:ilvl w:val="0"/>
          <w:numId w:val="11"/>
        </w:numPr>
        <w:spacing w:after="160" w:line="280" w:lineRule="auto"/>
        <w:ind w:left="720" w:hanging="360"/>
      </w:pPr>
      <w:r>
        <w:rPr>
          <w:rFonts w:ascii="Calibri" w:hAnsi="Calibri"/>
        </w:rPr>
        <w:t>Komplettera skyndsamt med objektiv skadebevisning.</w:t>
      </w:r>
    </w:p>
    <w:p>
      <w:pPr>
        <w:numPr>
          <w:ilvl w:val="0"/>
          <w:numId w:val="11"/>
        </w:numPr>
        <w:spacing w:after="160" w:line="280" w:lineRule="auto"/>
        <w:ind w:left="720" w:hanging="360"/>
      </w:pPr>
      <w:r>
        <w:rPr>
          <w:rFonts w:ascii="Calibri" w:hAnsi="Calibri"/>
        </w:rPr>
        <w:t>Låt specialist bedöma enskilt åtal långt före den principiella femårsfristen.</w:t>
      </w:r>
    </w:p>
    <w:p>
      <w:pPr>
        <w:pStyle w:val="Heading1"/>
      </w:pPr>
      <w:r>
        <w:rPr>
          <w:rFonts w:ascii="Calibri" w:hAnsi="Calibri"/>
        </w:rPr>
        <w:t>Rättskällor</w:t>
      </w:r>
    </w:p>
    <w:p>
      <w:pPr>
        <w:pStyle w:val="ListBullet"/>
      </w:pPr>
      <w:r>
        <w:rPr>
          <w:rFonts w:ascii="Calibri" w:hAnsi="Calibri"/>
        </w:rPr>
        <w:t xml:space="preserve">Brottsbalken 5 kap. 1-2 och 5 §§: </w:t>
      </w:r>
      <w:r>
        <w:rPr>
          <w:rFonts w:ascii="Calibri" w:hAnsi="Calibri"/>
          <w:color w:val="2E74B5"/>
          <w:u w:val="single"/>
        </w:rPr>
        <w:t>https://www.riksdagen.se/sv/dokument-och-lagar/dokument/svensk-forfattningssamling/brottsbalk-1962700_sfs-1962-700/</w:t>
      </w:r>
    </w:p>
    <w:p>
      <w:pPr>
        <w:pStyle w:val="ListBullet"/>
      </w:pPr>
      <w:r>
        <w:rPr>
          <w:rFonts w:ascii="Calibri" w:hAnsi="Calibri"/>
        </w:rPr>
        <w:t xml:space="preserve">Brottsbalken 35 kap.: </w:t>
      </w:r>
      <w:r>
        <w:rPr>
          <w:rFonts w:ascii="Calibri" w:hAnsi="Calibri"/>
          <w:color w:val="2E74B5"/>
          <w:u w:val="single"/>
        </w:rPr>
        <w:t>https://www.riksdagen.se/sv/dokument-och-lagar/dokument/svensk-forfattningssamling/brottsbalk-1962700_sfs-1962-700/</w:t>
      </w:r>
    </w:p>
    <w:p>
      <w:pPr>
        <w:pStyle w:val="ListBullet"/>
      </w:pPr>
      <w:r>
        <w:rPr>
          <w:rFonts w:ascii="Calibri" w:hAnsi="Calibri"/>
        </w:rPr>
        <w:t xml:space="preserve">Högsta domstolen, B 4923-22, NJA 2022 s. 1136: </w:t>
      </w:r>
      <w:r>
        <w:rPr>
          <w:rFonts w:ascii="Calibri" w:hAnsi="Calibri"/>
          <w:color w:val="2E74B5"/>
          <w:u w:val="single"/>
        </w:rPr>
        <w:t>https://www.domstol.se/hogsta-domstolen/avgoranden2/2022/116975/</w:t>
      </w:r>
    </w:p>
    <w:p>
      <w:pPr>
        <w:pStyle w:val="ListBullet"/>
      </w:pPr>
      <w:r>
        <w:rPr>
          <w:rFonts w:ascii="Calibri" w:hAnsi="Calibri"/>
        </w:rPr>
        <w:t xml:space="preserve">Tryckfrihetsförordningen: </w:t>
      </w:r>
      <w:r>
        <w:rPr>
          <w:rFonts w:ascii="Calibri" w:hAnsi="Calibri"/>
          <w:color w:val="2E74B5"/>
          <w:u w:val="single"/>
        </w:rPr>
        <w:t>https://www.riksdagen.se/sv/dokument-och-lagar/dokument/svensk-forfattningssamling/tryckfrihetsforordning-1949105_sfs-1949-105/</w:t>
      </w:r>
    </w:p>
    <w:p>
      <w:pPr>
        <w:pStyle w:val="ListBullet"/>
      </w:pPr>
      <w:r>
        <w:rPr>
          <w:rFonts w:ascii="Calibri" w:hAnsi="Calibri"/>
        </w:rPr>
        <w:t xml:space="preserve">Yttrandefrihetsgrundlagen: </w:t>
      </w:r>
      <w:r>
        <w:rPr>
          <w:rFonts w:ascii="Calibri" w:hAnsi="Calibri"/>
          <w:color w:val="2E74B5"/>
          <w:u w:val="single"/>
        </w:rPr>
        <w:t>https://www.riksdagen.se/sv/dokument-och-lagar/dokument/svensk-forfattningssamling/yttrandefrihetsgrundlag-19911469_sfs-1991-1469/</w:t>
      </w:r>
    </w:p>
    <w:p>
      <w:pPr>
        <w:pStyle w:val="ListBullet"/>
      </w:pPr>
      <w:r>
        <w:rPr>
          <w:rFonts w:ascii="Calibri" w:hAnsi="Calibri"/>
        </w:rPr>
        <w:t xml:space="preserve">Gota Media Företagsmarknad, nuvarande uppgifter om ägande och tjänsteutbud, hämtade den 9 juni 2026: </w:t>
      </w:r>
      <w:r>
        <w:rPr>
          <w:rFonts w:ascii="Calibri" w:hAnsi="Calibri"/>
          <w:color w:val="2E74B5"/>
          <w:u w:val="single"/>
        </w:rPr>
        <w:t>https://gotamedia.se/foretagsmarknad/</w:t>
      </w:r>
    </w:p>
    <w:sectPr w:rsidR="00FC693F" w:rsidRPr="0006063C" w:rsidSect="00034616">
      <w:headerReference w:type="default" r:id="rId9"/>
      <w:footerReference w:type="default" r:id="rId10"/>
      <w:pgSz w:w="12240" w:h="15840"/>
      <w:pgMar w:top="1123" w:right="1296" w:bottom="1037"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Calibri" w:hAnsi="Calibri"/>
        <w:color w:val="606971"/>
        <w:sz w:val="17"/>
      </w:rPr>
      <w:t xml:space="preserve">JURIDISK_ANALYS_K613147-26  |  Sida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color w:val="606971"/>
        <w:sz w:val="17"/>
      </w:rPr>
      <w:t>K-NUMMER 5000-K613147-26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720"/>
        </w:tabs>
        <w:ind w:left="720" w:hanging="360"/>
      </w:pPr>
    </w:lvl>
  </w:abstractNum>
  <w:num w:numId="10">
    <w:abstractNumId w:val="9"/>
  </w:num>
  <w:abstractNum w:abstractNumId="10">
    <w:multiLevelType w:val="singleLevel"/>
    <w:lvl w:ilvl="0">
      <w:start w:val="1"/>
      <w:numFmt w:val="decimal"/>
      <w:lvlText w:val="%1."/>
      <w:suff w:val="tab"/>
      <w:pPr>
        <w:tabs>
          <w:tab w:val="num" w:pos="720"/>
        </w:tabs>
        <w:ind w:left="720" w:hanging="36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alQuote">
    <w:name w:val="Legal Quote"/>
    <w:basedOn w:val="Normal"/>
    <w:pPr>
      <w:spacing w:before="80" w:after="160"/>
      <w:ind w:left="461" w:right="288"/>
    </w:pPr>
    <w:rPr>
      <w:rFonts w:ascii="Calibri" w:hAnsi="Calibri"/>
      <w:i/>
      <w:color w:val="1F4D78"/>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Juridisk analys och kompletteringsstrategi</dc:title>
  <dc:subject>Juridiskt arbetsmaterial</dc:subject>
  <dc:creator>William Rydh</dc:creator>
  <cp:keywords/>
  <dc:description>Skapat från tidskodat och juridiskt arbetsmaterial.</dc:description>
  <cp:lastModifiedBy/>
  <cp:revision>1</cp:revision>
  <dcterms:created xsi:type="dcterms:W3CDTF">2013-12-23T23:15:00Z</dcterms:created>
  <dcterms:modified xsi:type="dcterms:W3CDTF">2013-12-23T23:15:00Z</dcterms:modified>
  <cp:category/>
</cp:coreProperties>
</file>