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Juristunderlag inför möjligt enskilt åtal</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Uppdrag</w:t>
      </w:r>
    </w:p>
    <w:p>
      <w:r>
        <w:rPr>
          <w:rFonts w:ascii="Calibri" w:hAnsi="Calibri"/>
        </w:rPr>
        <w:t>Bedöm och förbered William Rydhs möjligheter att väcka enskilt åtal för grovt förtal genom Borås Tidnings publicering den 19 november 2022 och eventuella senare självständiga publiceringar.</w:t>
      </w:r>
    </w:p>
    <w:p>
      <w:r>
        <w:rPr>
          <w:rFonts w:ascii="Calibri" w:hAnsi="Calibri"/>
        </w:rPr>
        <w:t>Detta dokument är ett partsinriktat beslutsunderlag, inte en färdig stämningsansökan.</w:t>
      </w:r>
    </w:p>
    <w:p>
      <w:pPr>
        <w:pStyle w:val="Heading1"/>
      </w:pPr>
      <w:r>
        <w:rPr>
          <w:rFonts w:ascii="Calibri" w:hAnsi="Calibri"/>
        </w:rPr>
        <w:t>Föreslagen gärningskärna</w:t>
      </w:r>
    </w:p>
    <w:p>
      <w:r>
        <w:rPr>
          <w:rFonts w:ascii="Calibri" w:hAnsi="Calibri"/>
        </w:rPr>
        <w:t>Den centrala rubriken var:</w:t>
      </w:r>
    </w:p>
    <w:p>
      <w:pPr>
        <w:pStyle w:val="LegalQuote"/>
        <w:pBdr>
          <w:left w:val="single" w:sz="18" w:space="8" w:color="2E74B5"/>
        </w:pBdr>
      </w:pPr>
      <w:r>
        <w:rPr>
          <w:rFonts w:ascii="Calibri" w:hAnsi="Calibri"/>
        </w:rPr>
        <w:t>"Så lurar Boråsföretaget sina kunder: 'Har missförstått hela skiten'"</w:t>
      </w:r>
    </w:p>
    <w:p>
      <w:r>
        <w:rPr>
          <w:rFonts w:ascii="Calibri" w:hAnsi="Calibri"/>
        </w:rPr>
        <w:t>Den föreslagna gärningskärnan är att ansvarig utgivare genom publiceringens helhet lämnade ett kategoriskt påstående om att William Rydh, som namngiven, avbildad och ansvarig vd, drev eller ansvarade för ett systematiskt lurande av kunder.</w:t>
      </w:r>
    </w:p>
    <w:p>
      <w:r>
        <w:rPr>
          <w:rFonts w:ascii="Calibri" w:hAnsi="Calibri"/>
        </w:rPr>
        <w:t>Påståendet förstärktes genom ett citat vars verkliga innebörd var känd av redaktionen men som i rubriken kunde uppfattas som att William avfärdade lurade kunder. I originalljudet avsåg "missförstått hela skiten" risken att Borås Tidning skulle missförstå verksamheten och skriva en felaktig artikel.</w:t>
      </w:r>
    </w:p>
    <w:p>
      <w:pPr>
        <w:pStyle w:val="Heading1"/>
      </w:pPr>
      <w:r>
        <w:rPr>
          <w:rFonts w:ascii="Calibri" w:hAnsi="Calibri"/>
        </w:rPr>
        <w:t>Styrkan i målet</w:t>
      </w:r>
    </w:p>
    <w:p>
      <w:r>
        <w:rPr>
          <w:rFonts w:ascii="Calibri" w:hAnsi="Calibri"/>
        </w:rPr>
        <w:t>Målet har en identifierbar och rättsligt relevant kärna:</w:t>
      </w:r>
    </w:p>
    <w:p>
      <w:pPr>
        <w:pStyle w:val="ListBullet"/>
      </w:pPr>
      <w:r>
        <w:rPr>
          <w:rFonts w:ascii="Calibri" w:hAnsi="Calibri"/>
        </w:rPr>
        <w:t>rubriken är kategorisk och beskriver ett ohederligt handlande,</w:t>
      </w:r>
    </w:p>
    <w:p>
      <w:pPr>
        <w:pStyle w:val="ListBullet"/>
      </w:pPr>
      <w:r>
        <w:rPr>
          <w:rFonts w:ascii="Calibri" w:hAnsi="Calibri"/>
        </w:rPr>
        <w:t>William pekas ut personligen genom namn, bild, vd-roll och citat,</w:t>
      </w:r>
    </w:p>
    <w:p>
      <w:pPr>
        <w:pStyle w:val="ListBullet"/>
      </w:pPr>
      <w:r>
        <w:rPr>
          <w:rFonts w:ascii="Calibri" w:hAnsi="Calibri"/>
        </w:rPr>
        <w:t>redaktionen hade tillgång till omfattande motstående och kontrollerbart material,</w:t>
      </w:r>
    </w:p>
    <w:p>
      <w:pPr>
        <w:pStyle w:val="ListBullet"/>
      </w:pPr>
      <w:r>
        <w:rPr>
          <w:rFonts w:ascii="Calibri" w:hAnsi="Calibri"/>
        </w:rPr>
        <w:t>originalljudet visar rubrikcitatets verkliga kontext,</w:t>
      </w:r>
    </w:p>
    <w:p>
      <w:pPr>
        <w:pStyle w:val="ListBullet"/>
      </w:pPr>
      <w:r>
        <w:rPr>
          <w:rFonts w:ascii="Calibri" w:hAnsi="Calibri"/>
        </w:rPr>
        <w:t>faktisk produkt, leverans, prestation, avtal och fakturering kan dokumenteras,</w:t>
      </w:r>
    </w:p>
    <w:p>
      <w:pPr>
        <w:pStyle w:val="ListBullet"/>
      </w:pPr>
      <w:r>
        <w:rPr>
          <w:rFonts w:ascii="Calibri" w:hAnsi="Calibri"/>
        </w:rPr>
        <w:t>extern säljaktör och avhjälpande åtgärder var kända före publiceringen,</w:t>
      </w:r>
    </w:p>
    <w:p>
      <w:pPr>
        <w:pStyle w:val="ListBullet"/>
      </w:pPr>
      <w:r>
        <w:rPr>
          <w:rFonts w:ascii="Calibri" w:hAnsi="Calibri"/>
        </w:rPr>
        <w:t>redaktionen kände till att affärsmodellen flyttade risk från kund till leverantör och avvek tydligt från branschpraxis,</w:t>
      </w:r>
    </w:p>
    <w:p>
      <w:pPr>
        <w:pStyle w:val="ListBullet"/>
      </w:pPr>
      <w:r>
        <w:rPr>
          <w:rFonts w:ascii="Calibri" w:hAnsi="Calibri"/>
        </w:rPr>
        <w:t>publiceringen var ägnad att orsaka mycket stor yrkesmässig skada.</w:t>
      </w:r>
    </w:p>
    <w:p>
      <w:r>
        <w:rPr>
          <w:rFonts w:ascii="Calibri" w:hAnsi="Calibri"/>
        </w:rPr>
        <w:t>Ingen har genom det granskade materialet visats ha blivit lurad av William eller Nordic Digitalization. Kunduppgifter om att känna sig lurad är inte samma sak som bevis för den kategoriska rubriken.</w:t>
      </w:r>
    </w:p>
    <w:p>
      <w:pPr>
        <w:pStyle w:val="Heading1"/>
      </w:pPr>
      <w:r>
        <w:rPr>
          <w:rFonts w:ascii="Calibri" w:hAnsi="Calibri"/>
        </w:rPr>
        <w:t>Starkaste bevisningen</w:t>
      </w:r>
    </w:p>
    <w:p>
      <w:pPr>
        <w:pStyle w:val="Heading2"/>
      </w:pPr>
      <w:r>
        <w:rPr>
          <w:rFonts w:ascii="Calibri" w:hAnsi="Calibri"/>
        </w:rPr>
        <w:t>Originalljudet</w:t>
      </w:r>
    </w:p>
    <w:p>
      <w:r>
        <w:rPr>
          <w:rFonts w:ascii="Calibri" w:hAnsi="Calibri"/>
        </w:rPr>
        <w:t xml:space="preserve">Vid </w:t>
      </w:r>
      <w:r>
        <w:rPr>
          <w:rFonts w:ascii="Consolas" w:hAnsi="Consolas"/>
          <w:color w:val="1F4D78"/>
          <w:sz w:val="19"/>
        </w:rPr>
        <w:t>[01:10:32-01:10:46]</w:t>
      </w:r>
      <w:r>
        <w:rPr>
          <w:rFonts w:ascii="Calibri" w:hAnsi="Calibri"/>
        </w:rPr>
        <w:t xml:space="preserve"> framgår att rubrikcitatet avser Borås Tidnings risk att missförstå. Samma passage finns i en separat inspelning vid cirka </w:t>
      </w:r>
      <w:r>
        <w:rPr>
          <w:rFonts w:ascii="Consolas" w:hAnsi="Consolas"/>
          <w:color w:val="1F4D78"/>
          <w:sz w:val="19"/>
        </w:rPr>
        <w:t>[01:46:07-01:46:20]</w:t>
      </w:r>
      <w:r>
        <w:rPr>
          <w:rFonts w:ascii="Calibri" w:hAnsi="Calibri"/>
        </w:rPr>
        <w:t>.</w:t>
      </w:r>
    </w:p>
    <w:p>
      <w:r>
        <w:rPr>
          <w:rFonts w:ascii="Calibri" w:hAnsi="Calibri"/>
        </w:rPr>
        <w:t xml:space="preserve">Vid </w:t>
      </w:r>
      <w:r>
        <w:rPr>
          <w:rFonts w:ascii="Consolas" w:hAnsi="Consolas"/>
          <w:color w:val="1F4D78"/>
          <w:sz w:val="19"/>
        </w:rPr>
        <w:t>[00:48:02-00:48:54]</w:t>
      </w:r>
      <w:r>
        <w:rPr>
          <w:rFonts w:ascii="Calibri" w:hAnsi="Calibri"/>
        </w:rPr>
        <w:t xml:space="preserve"> varnar William uttryckligen för skada på sitt namn och verksamheten.</w:t>
      </w:r>
    </w:p>
    <w:p>
      <w:r>
        <w:rPr>
          <w:rFonts w:ascii="Calibri" w:hAnsi="Calibri"/>
        </w:rPr>
        <w:t>Vid flera tidskoder förklaras prestationsmodellen, leveransen, den externa aktörens roll, kundkontakter och avhjälpande åtgärder.</w:t>
      </w:r>
    </w:p>
    <w:p>
      <w:pPr>
        <w:pStyle w:val="Heading2"/>
      </w:pPr>
      <w:r>
        <w:rPr>
          <w:rFonts w:ascii="Calibri" w:hAnsi="Calibri"/>
        </w:rPr>
        <w:t>Avtal och fakturor</w:t>
      </w:r>
    </w:p>
    <w:p>
      <w:r>
        <w:rPr>
          <w:rFonts w:ascii="Calibri" w:hAnsi="Calibri"/>
        </w:rPr>
        <w:t>Individuella BankID-avtal anger att fakturering sker endast när avtalade sökfraser rankar topp 10. Fem fakturor specificerar faktisk prestation med datum, sökfras och pris om 42 kronor per dag.</w:t>
      </w:r>
    </w:p>
    <w:p>
      <w:pPr>
        <w:pStyle w:val="Heading2"/>
      </w:pPr>
      <w:r>
        <w:rPr>
          <w:rFonts w:ascii="Calibri" w:hAnsi="Calibri"/>
        </w:rPr>
        <w:t>Produkt- och prestationsdata</w:t>
      </w:r>
    </w:p>
    <w:p>
      <w:r>
        <w:rPr>
          <w:rFonts w:ascii="Calibri" w:hAnsi="Calibri"/>
        </w:rPr>
        <w:t>Dashboard, kundportal, informationsblad och Google-data visar att eRocket var en faktisk tjänst som levererades och mättes.</w:t>
      </w:r>
    </w:p>
    <w:p>
      <w:pPr>
        <w:pStyle w:val="Heading2"/>
      </w:pPr>
      <w:r>
        <w:rPr>
          <w:rFonts w:ascii="Calibri" w:hAnsi="Calibri"/>
        </w:rPr>
        <w:t>Extern säljaktör</w:t>
      </w:r>
    </w:p>
    <w:p>
      <w:r>
        <w:rPr>
          <w:rFonts w:ascii="Calibri" w:hAnsi="Calibri"/>
        </w:rPr>
        <w:t>Fyra fakturor från Empire of Sales styrker betald försäljning av eRocket under februari-april 2022. Detta gör det nödvändigt att skilja den externa försäljningskommunikationen från Williams och leveransbolagets agerande.</w:t>
      </w:r>
    </w:p>
    <w:p>
      <w:pPr>
        <w:pStyle w:val="Heading2"/>
      </w:pPr>
      <w:r>
        <w:rPr>
          <w:rFonts w:ascii="Calibri" w:hAnsi="Calibri"/>
        </w:rPr>
        <w:t>Sammanhängande lanseringskedja</w:t>
      </w:r>
    </w:p>
    <w:p>
      <w:r>
        <w:rPr>
          <w:rFonts w:ascii="Calibri" w:hAnsi="Calibri"/>
        </w:rPr>
        <w:t>William preciserar att tjänsten först prövades med pilotkunder, att positiva resultat följdes av en accelererad kommersialisering under press från finansiären och att extern säljkapacitet därför anlitades. Intervjun stödjer affärsmodellens branschavvikelse, stark finansiering, cirka 18 månaders utveckling och den snabba kedjan från extern aktör till avslutat samarbete. Pilotfasen och den konkreta tidspressen måste styrkas separat.</w:t>
      </w:r>
    </w:p>
    <w:p>
      <w:pPr>
        <w:pStyle w:val="Heading1"/>
      </w:pPr>
      <w:r>
        <w:rPr>
          <w:rFonts w:ascii="Calibri" w:hAnsi="Calibri"/>
        </w:rPr>
        <w:t>Vad som måste bevisas eller säkras</w:t>
      </w:r>
    </w:p>
    <w:p>
      <w:pPr>
        <w:numPr>
          <w:ilvl w:val="0"/>
          <w:numId w:val="10"/>
        </w:numPr>
        <w:spacing w:after="160" w:line="280" w:lineRule="auto"/>
        <w:ind w:left="720" w:hanging="360"/>
      </w:pPr>
      <w:r>
        <w:rPr>
          <w:rFonts w:ascii="Calibri" w:hAnsi="Calibri"/>
        </w:rPr>
        <w:t>Fullständig publicering med rubrik, ingress, text, bild, bildtext och datum.</w:t>
      </w:r>
    </w:p>
    <w:p>
      <w:pPr>
        <w:numPr>
          <w:ilvl w:val="0"/>
          <w:numId w:val="10"/>
        </w:numPr>
        <w:spacing w:after="160" w:line="280" w:lineRule="auto"/>
        <w:ind w:left="720" w:hanging="360"/>
      </w:pPr>
      <w:r>
        <w:rPr>
          <w:rFonts w:ascii="Calibri" w:hAnsi="Calibri"/>
        </w:rPr>
        <w:t>Ansvarig utgivare och om publiceringen omfattades av TF eller YGL.</w:t>
      </w:r>
    </w:p>
    <w:p>
      <w:pPr>
        <w:numPr>
          <w:ilvl w:val="0"/>
          <w:numId w:val="10"/>
        </w:numPr>
        <w:spacing w:after="160" w:line="280" w:lineRule="auto"/>
        <w:ind w:left="720" w:hanging="360"/>
      </w:pPr>
      <w:r>
        <w:rPr>
          <w:rFonts w:ascii="Calibri" w:hAnsi="Calibri"/>
        </w:rPr>
        <w:t>Vilken faktisk uppgift helheten förmedlade om William personligen.</w:t>
      </w:r>
    </w:p>
    <w:p>
      <w:pPr>
        <w:numPr>
          <w:ilvl w:val="0"/>
          <w:numId w:val="10"/>
        </w:numPr>
        <w:spacing w:after="160" w:line="280" w:lineRule="auto"/>
        <w:ind w:left="720" w:hanging="360"/>
      </w:pPr>
      <w:r>
        <w:rPr>
          <w:rFonts w:ascii="Calibri" w:hAnsi="Calibri"/>
        </w:rPr>
        <w:t>Vad redaktionen visste före publiceringen.</w:t>
      </w:r>
    </w:p>
    <w:p>
      <w:pPr>
        <w:numPr>
          <w:ilvl w:val="0"/>
          <w:numId w:val="10"/>
        </w:numPr>
        <w:spacing w:after="160" w:line="280" w:lineRule="auto"/>
        <w:ind w:left="720" w:hanging="360"/>
      </w:pPr>
      <w:r>
        <w:rPr>
          <w:rFonts w:ascii="Calibri" w:hAnsi="Calibri"/>
        </w:rPr>
        <w:t>Vilka kontroller som utfördes av varje kunduppgift.</w:t>
      </w:r>
    </w:p>
    <w:p>
      <w:pPr>
        <w:numPr>
          <w:ilvl w:val="0"/>
          <w:numId w:val="10"/>
        </w:numPr>
        <w:spacing w:after="160" w:line="280" w:lineRule="auto"/>
        <w:ind w:left="720" w:hanging="360"/>
      </w:pPr>
      <w:r>
        <w:rPr>
          <w:rFonts w:ascii="Calibri" w:hAnsi="Calibri"/>
        </w:rPr>
        <w:t>Om BT kan visa sanning eller skälig grund för den kategoriska uppgiften.</w:t>
      </w:r>
    </w:p>
    <w:p>
      <w:pPr>
        <w:numPr>
          <w:ilvl w:val="0"/>
          <w:numId w:val="10"/>
        </w:numPr>
        <w:spacing w:after="160" w:line="280" w:lineRule="auto"/>
        <w:ind w:left="720" w:hanging="360"/>
      </w:pPr>
      <w:r>
        <w:rPr>
          <w:rFonts w:ascii="Calibri" w:hAnsi="Calibri"/>
        </w:rPr>
        <w:t>Publiceringens räckvidd och spridning.</w:t>
      </w:r>
    </w:p>
    <w:p>
      <w:pPr>
        <w:numPr>
          <w:ilvl w:val="0"/>
          <w:numId w:val="10"/>
        </w:numPr>
        <w:spacing w:after="160" w:line="280" w:lineRule="auto"/>
        <w:ind w:left="720" w:hanging="360"/>
      </w:pPr>
      <w:r>
        <w:rPr>
          <w:rFonts w:ascii="Calibri" w:hAnsi="Calibri"/>
        </w:rPr>
        <w:t>Objektiv skada och orsakssamband.</w:t>
      </w:r>
    </w:p>
    <w:p>
      <w:pPr>
        <w:numPr>
          <w:ilvl w:val="0"/>
          <w:numId w:val="10"/>
        </w:numPr>
        <w:spacing w:after="160" w:line="280" w:lineRule="auto"/>
        <w:ind w:left="720" w:hanging="360"/>
      </w:pPr>
      <w:r>
        <w:rPr>
          <w:rFonts w:ascii="Calibri" w:hAnsi="Calibri"/>
        </w:rPr>
        <w:t>Exakt preskriptionstid och krav på delgivning.</w:t>
      </w:r>
    </w:p>
    <w:p>
      <w:pPr>
        <w:pStyle w:val="Heading1"/>
      </w:pPr>
      <w:r>
        <w:rPr>
          <w:rFonts w:ascii="Calibri" w:hAnsi="Calibri"/>
        </w:rPr>
        <w:t>Kund-för-kund-prövningen</w:t>
      </w:r>
    </w:p>
    <w:p>
      <w:r>
        <w:rPr>
          <w:rFonts w:ascii="Calibri" w:hAnsi="Calibri"/>
        </w:rPr>
        <w:t>För att bedöma sanningshalt och skälig grund bör varje BT-källa kartläggas mot:</w:t>
      </w:r>
    </w:p>
    <w:p>
      <w:pPr>
        <w:pStyle w:val="ListBullet"/>
      </w:pPr>
      <w:r>
        <w:rPr>
          <w:rFonts w:ascii="Calibri" w:hAnsi="Calibri"/>
        </w:rPr>
        <w:t>säljare och säljorganisation,</w:t>
      </w:r>
    </w:p>
    <w:p>
      <w:pPr>
        <w:pStyle w:val="ListBullet"/>
      </w:pPr>
      <w:r>
        <w:rPr>
          <w:rFonts w:ascii="Calibri" w:hAnsi="Calibri"/>
        </w:rPr>
        <w:t>manus och avtalsversion,</w:t>
      </w:r>
    </w:p>
    <w:p>
      <w:pPr>
        <w:pStyle w:val="ListBullet"/>
      </w:pPr>
      <w:r>
        <w:rPr>
          <w:rFonts w:ascii="Calibri" w:hAnsi="Calibri"/>
        </w:rPr>
        <w:t>signeringstid och BankID-underlag,</w:t>
      </w:r>
    </w:p>
    <w:p>
      <w:pPr>
        <w:pStyle w:val="ListBullet"/>
      </w:pPr>
      <w:r>
        <w:rPr>
          <w:rFonts w:ascii="Calibri" w:hAnsi="Calibri"/>
        </w:rPr>
        <w:t>styrkta muntliga uppgifter,</w:t>
      </w:r>
    </w:p>
    <w:p>
      <w:pPr>
        <w:pStyle w:val="ListBullet"/>
      </w:pPr>
      <w:r>
        <w:rPr>
          <w:rFonts w:ascii="Calibri" w:hAnsi="Calibri"/>
        </w:rPr>
        <w:t>levererad tjänst,</w:t>
      </w:r>
    </w:p>
    <w:p>
      <w:pPr>
        <w:pStyle w:val="ListBullet"/>
      </w:pPr>
      <w:r>
        <w:rPr>
          <w:rFonts w:ascii="Calibri" w:hAnsi="Calibri"/>
        </w:rPr>
        <w:t>uppnådd prestation,</w:t>
      </w:r>
    </w:p>
    <w:p>
      <w:pPr>
        <w:pStyle w:val="ListBullet"/>
      </w:pPr>
      <w:r>
        <w:rPr>
          <w:rFonts w:ascii="Calibri" w:hAnsi="Calibri"/>
        </w:rPr>
        <w:t>fakturor och betalningar,</w:t>
      </w:r>
    </w:p>
    <w:p>
      <w:pPr>
        <w:pStyle w:val="ListBullet"/>
      </w:pPr>
      <w:r>
        <w:rPr>
          <w:rFonts w:ascii="Calibri" w:hAnsi="Calibri"/>
        </w:rPr>
        <w:t>bestridanden och krediteringar,</w:t>
      </w:r>
    </w:p>
    <w:p>
      <w:pPr>
        <w:pStyle w:val="ListBullet"/>
      </w:pPr>
      <w:r>
        <w:rPr>
          <w:rFonts w:ascii="Calibri" w:hAnsi="Calibri"/>
        </w:rPr>
        <w:t>Nordic Digitalizations åtgärder,</w:t>
      </w:r>
    </w:p>
    <w:p>
      <w:pPr>
        <w:pStyle w:val="ListBullet"/>
      </w:pPr>
      <w:r>
        <w:rPr>
          <w:rFonts w:ascii="Calibri" w:hAnsi="Calibri"/>
        </w:rPr>
        <w:t>BT:s kontroll före publicering.</w:t>
      </w:r>
    </w:p>
    <w:p>
      <w:r>
        <w:rPr>
          <w:rFonts w:ascii="Calibri" w:hAnsi="Calibri"/>
        </w:rPr>
        <w:t>Detta är den mest konkreta vägen att visa skillnaden mellan ett missnöje, möjlig felkommunikation och ett faktiskt lurande.</w:t>
      </w:r>
    </w:p>
    <w:p>
      <w:pPr>
        <w:pStyle w:val="Heading1"/>
      </w:pPr>
      <w:r>
        <w:rPr>
          <w:rFonts w:ascii="Calibri" w:hAnsi="Calibri"/>
        </w:rPr>
        <w:t>Förutsebara invändningar</w:t>
      </w:r>
    </w:p>
    <w:p>
      <w:pPr>
        <w:pStyle w:val="Heading2"/>
      </w:pPr>
      <w:r>
        <w:rPr>
          <w:rFonts w:ascii="Calibri" w:hAnsi="Calibri"/>
        </w:rPr>
        <w:t>Allmänintresse och offentlig företrädare</w:t>
      </w:r>
    </w:p>
    <w:p>
      <w:r>
        <w:rPr>
          <w:rFonts w:ascii="Calibri" w:hAnsi="Calibri"/>
        </w:rPr>
        <w:t>BT kommer med fog att hävda att ämnet fick granskas och att William som vd behövde tåla kritik. Svaret är att försvarlighet inte undanröjer kravet på sanning eller skälig grund för den kategoriska uppgiften.</w:t>
      </w:r>
    </w:p>
    <w:p>
      <w:pPr>
        <w:pStyle w:val="Heading2"/>
      </w:pPr>
      <w:r>
        <w:rPr>
          <w:rFonts w:ascii="Calibri" w:hAnsi="Calibri"/>
        </w:rPr>
        <w:t>Flera likartade källor</w:t>
      </w:r>
    </w:p>
    <w:p>
      <w:r>
        <w:rPr>
          <w:rFonts w:ascii="Calibri" w:hAnsi="Calibri"/>
        </w:rPr>
        <w:t>Flera uppgifter kan stärka BT:s skäliga grund, men endast om källorna var självständiga, tillförlitliga och kontrollerade. Relationer, partsintressen, samma säljled och samma avtalsmissförstånd måste granskas.</w:t>
      </w:r>
    </w:p>
    <w:p>
      <w:pPr>
        <w:pStyle w:val="Heading2"/>
      </w:pPr>
      <w:r>
        <w:rPr>
          <w:rFonts w:ascii="Calibri" w:hAnsi="Calibri"/>
        </w:rPr>
        <w:t>Williams egna uppgifter om problem</w:t>
      </w:r>
    </w:p>
    <w:p>
      <w:r>
        <w:rPr>
          <w:rFonts w:ascii="Calibri" w:hAnsi="Calibri"/>
        </w:rPr>
        <w:t>William beskrev felkommunikation, ett felaktigt beslut att anlita extern aktör och sitt yttersta vd-ansvar. Svaret är att ansvarstagande och avhjälpande inte är ett erkännande av systematiskt lurande.</w:t>
      </w:r>
    </w:p>
    <w:p>
      <w:pPr>
        <w:pStyle w:val="Heading2"/>
      </w:pPr>
      <w:r>
        <w:rPr>
          <w:rFonts w:ascii="Calibri" w:hAnsi="Calibri"/>
        </w:rPr>
        <w:t>Skriftliga avtal utesluter inte muntliga löften</w:t>
      </w:r>
    </w:p>
    <w:p>
      <w:r>
        <w:rPr>
          <w:rFonts w:ascii="Calibri" w:hAnsi="Calibri"/>
        </w:rPr>
        <w:t>Korrekt. Men muntliga källuppgifter utesluter inte heller att avtalet var tydligt och tjänsten levererad. Bevisvärderingen måste göras kundspecifikt.</w:t>
      </w:r>
    </w:p>
    <w:p>
      <w:pPr>
        <w:pStyle w:val="Heading2"/>
      </w:pPr>
      <w:r>
        <w:rPr>
          <w:rFonts w:ascii="Calibri" w:hAnsi="Calibri"/>
        </w:rPr>
        <w:t>Allmänna villkor</w:t>
      </w:r>
    </w:p>
    <w:p>
      <w:r>
        <w:rPr>
          <w:rFonts w:ascii="Calibri" w:hAnsi="Calibri"/>
        </w:rPr>
        <w:t>De allmänna villkoren innehåller en generell förskottsbestämmelse men anger att individuella avtal har företräde. Talan ska därför inte bygga på det absoluta påståendet att ingen förskottsfaktura någonsin förekom. Den ska bygga på de relevanta individuella avtalen och fakturorna.</w:t>
      </w:r>
    </w:p>
    <w:p>
      <w:pPr>
        <w:pStyle w:val="Heading1"/>
      </w:pPr>
      <w:r>
        <w:rPr>
          <w:rFonts w:ascii="Calibri" w:hAnsi="Calibri"/>
        </w:rPr>
        <w:t>Grovhetsbedömning</w:t>
      </w:r>
    </w:p>
    <w:p>
      <w:r>
        <w:rPr>
          <w:rFonts w:ascii="Calibri" w:hAnsi="Calibri"/>
        </w:rPr>
        <w:t>Följande bör åberopas för grovt brott:</w:t>
      </w:r>
    </w:p>
    <w:p>
      <w:pPr>
        <w:pStyle w:val="ListBullet"/>
      </w:pPr>
      <w:r>
        <w:rPr>
          <w:rFonts w:ascii="Calibri" w:hAnsi="Calibri"/>
        </w:rPr>
        <w:t>påståendets allvar: systematiskt lurande av kunder,</w:t>
      </w:r>
    </w:p>
    <w:p>
      <w:pPr>
        <w:pStyle w:val="ListBullet"/>
      </w:pPr>
      <w:r>
        <w:rPr>
          <w:rFonts w:ascii="Calibri" w:hAnsi="Calibri"/>
        </w:rPr>
        <w:t>personlig identifiering genom namn, bild, roll och citat,</w:t>
      </w:r>
    </w:p>
    <w:p>
      <w:pPr>
        <w:pStyle w:val="ListBullet"/>
      </w:pPr>
      <w:r>
        <w:rPr>
          <w:rFonts w:ascii="Calibri" w:hAnsi="Calibri"/>
        </w:rPr>
        <w:t>redaktionellt förändrad citatkontext,</w:t>
      </w:r>
    </w:p>
    <w:p>
      <w:pPr>
        <w:pStyle w:val="ListBullet"/>
      </w:pPr>
      <w:r>
        <w:rPr>
          <w:rFonts w:ascii="Calibri" w:hAnsi="Calibri"/>
        </w:rPr>
        <w:t>etablerad nyhetsförmedlare och stor trovärdighet,</w:t>
      </w:r>
    </w:p>
    <w:p>
      <w:pPr>
        <w:pStyle w:val="ListBullet"/>
      </w:pPr>
      <w:r>
        <w:rPr>
          <w:rFonts w:ascii="Calibri" w:hAnsi="Calibri"/>
        </w:rPr>
        <w:t>digital och upprepad spridning,</w:t>
      </w:r>
    </w:p>
    <w:p>
      <w:pPr>
        <w:pStyle w:val="ListBullet"/>
      </w:pPr>
      <w:r>
        <w:rPr>
          <w:rFonts w:ascii="Calibri" w:hAnsi="Calibri"/>
        </w:rPr>
        <w:t>direkt angrepp på Williams yrkesmässiga heder,</w:t>
      </w:r>
    </w:p>
    <w:p>
      <w:pPr>
        <w:pStyle w:val="ListBullet"/>
      </w:pPr>
      <w:r>
        <w:rPr>
          <w:rFonts w:ascii="Calibri" w:hAnsi="Calibri"/>
        </w:rPr>
        <w:t>konkret och dokumenterbar skada,</w:t>
      </w:r>
    </w:p>
    <w:p>
      <w:pPr>
        <w:pStyle w:val="ListBullet"/>
      </w:pPr>
      <w:r>
        <w:rPr>
          <w:rFonts w:ascii="Calibri" w:hAnsi="Calibri"/>
        </w:rPr>
        <w:t>redaktionens förhandskännedom om risken för allvarlig skada.</w:t>
      </w:r>
    </w:p>
    <w:p>
      <w:r>
        <w:rPr>
          <w:rFonts w:ascii="Calibri" w:hAnsi="Calibri"/>
        </w:rPr>
        <w:t>En möjlig kommersiell intressekonflikt kan utredas: Gota Media uppger offentligt att koncernen äger Borås Tidning och samtidigt erbjuder hemsidor, SEO, SEM och Google-marknadsföring. Överlappningen bevisar inte redaktionell påverkan och bör inte bära talan, men motiverar kontroll av oberoende, partsintressen och källvärdering.</w:t>
      </w:r>
    </w:p>
    <w:p>
      <w:r>
        <w:rPr>
          <w:rFonts w:ascii="Calibri" w:hAnsi="Calibri"/>
        </w:rPr>
        <w:t xml:space="preserve">Skärmdumpar från den 28 juni 2023 visar dessutom att kontot </w:t>
      </w:r>
      <w:r>
        <w:rPr>
          <w:rFonts w:ascii="Consolas" w:hAnsi="Consolas"/>
          <w:color w:val="1F4D78"/>
          <w:sz w:val="19"/>
        </w:rPr>
        <w:t>Eric Oscar T</w:t>
      </w:r>
      <w:r>
        <w:rPr>
          <w:rFonts w:ascii="Calibri" w:hAnsi="Calibri"/>
        </w:rPr>
        <w:t xml:space="preserve"> lämnade ett enstjärnigt Reco-omdöme utan beskriven kundrelation, uppmanade läsaren att läsa Borås Tidnings granskning och länkade till två artiklar. En LinkedIn-skärmdump från samma dag identifierar Eric Thulin som redaktionell utvecklingschef på Gota Media. Reco bör bekräfta identiteten och säkra publicerings-, gransknings- och borttagningsuppgifter.</w:t>
      </w:r>
    </w:p>
    <w:p>
      <w:r>
        <w:rPr>
          <w:rFonts w:ascii="Calibri" w:hAnsi="Calibri"/>
        </w:rPr>
        <w:t>Detta konkreta senare agerande är relevant för fortsatt spridning, skada, kännedom, motiv och redaktionellt oberoende. Det bevisar inte ensamt samordning av den ursprungliga artikelserien. Specialist bör separat bedöma om agerandet den 28 juni 2023 utgör en självständig senare publicerings- eller spridningsgärning, om länkarna och sammanhanget pekade ut William personligen och vilken preskriptionsfrist som i så fall gäller.</w:t>
      </w:r>
    </w:p>
    <w:p>
      <w:r>
        <w:rPr>
          <w:rFonts w:ascii="Calibri" w:hAnsi="Calibri"/>
        </w:rPr>
        <w:t>Den möjliga talan behöver inte visa att en samordnad kampanj låg bakom publiceringen. Den bör primärt vila på BT:s kategoriska uppgift, det personliga utpekandet, den dokumenterade förhandskännedomen, citatets förändrade helhetsintryck och avsaknaden av en redovisad kundspecifik beviskedja som bar slutsatsen om systematiskt lurande. Konkurrens-, käll- och spridningsspåren är stöd- och utredningsspår.</w:t>
      </w:r>
    </w:p>
    <w:p>
      <w:pPr>
        <w:pStyle w:val="Heading1"/>
      </w:pPr>
      <w:r>
        <w:rPr>
          <w:rFonts w:ascii="Calibri" w:hAnsi="Calibri"/>
        </w:rPr>
        <w:t>Processuellt brådskande</w:t>
      </w:r>
    </w:p>
    <w:p>
      <w:pPr>
        <w:pStyle w:val="ListBullet"/>
      </w:pPr>
      <w:r>
        <w:rPr>
          <w:rFonts w:ascii="Calibri" w:hAnsi="Calibri"/>
        </w:rPr>
        <w:t>Allmänt åtal enligt TF/YGL omfattas av särskilda korta frister som sannolikt passerat.</w:t>
      </w:r>
    </w:p>
    <w:p>
      <w:pPr>
        <w:pStyle w:val="ListBullet"/>
      </w:pPr>
      <w:r>
        <w:rPr>
          <w:rFonts w:ascii="Calibri" w:hAnsi="Calibri"/>
        </w:rPr>
        <w:t>Vanligt förtal är sannolikt preskriberat.</w:t>
      </w:r>
    </w:p>
    <w:p>
      <w:pPr>
        <w:pStyle w:val="ListBullet"/>
      </w:pPr>
      <w:r>
        <w:rPr>
          <w:rFonts w:ascii="Calibri" w:hAnsi="Calibri"/>
        </w:rPr>
        <w:t>Grovt förtal har normalt fem års åtalspreskription.</w:t>
      </w:r>
    </w:p>
    <w:p>
      <w:pPr>
        <w:pStyle w:val="ListBullet"/>
      </w:pPr>
      <w:r>
        <w:rPr>
          <w:rFonts w:ascii="Calibri" w:hAnsi="Calibri"/>
        </w:rPr>
        <w:t>Om relevant gärningsdatum är den 19 november 2022 är den principiella slutdagen den 19 november 2027.</w:t>
      </w:r>
    </w:p>
    <w:p>
      <w:pPr>
        <w:pStyle w:val="ListBullet"/>
      </w:pPr>
      <w:r>
        <w:rPr>
          <w:rFonts w:ascii="Calibri" w:hAnsi="Calibri"/>
        </w:rPr>
        <w:t>Polisanmälan och kompletteringen avbryter inte i sig preskription.</w:t>
      </w:r>
    </w:p>
    <w:p>
      <w:pPr>
        <w:pStyle w:val="ListBullet"/>
      </w:pPr>
      <w:r>
        <w:rPr>
          <w:rFonts w:ascii="Calibri" w:hAnsi="Calibri"/>
        </w:rPr>
        <w:t>Exakt frist, ansvarig person och delgivningskrav måste kontrolleras av specialist.</w:t>
      </w:r>
    </w:p>
    <w:p>
      <w:pPr>
        <w:pStyle w:val="ListBullet"/>
      </w:pPr>
      <w:r>
        <w:rPr>
          <w:rFonts w:ascii="Calibri" w:hAnsi="Calibri"/>
        </w:rPr>
        <w:t>Enskilt åtal innebär betydande rättegångskostnadsrisk.</w:t>
      </w:r>
    </w:p>
    <w:p>
      <w:r>
        <w:rPr>
          <w:rFonts w:ascii="Calibri" w:hAnsi="Calibri"/>
        </w:rPr>
        <w:t>Medieombudsmannens beslut den 9 januari 2025 var endast en avskrivning på grund av sen anmälan, inte en sakprövning.</w:t>
      </w:r>
    </w:p>
    <w:p>
      <w:pPr>
        <w:pStyle w:val="Heading1"/>
      </w:pPr>
      <w:r>
        <w:rPr>
          <w:rFonts w:ascii="Calibri" w:hAnsi="Calibri"/>
        </w:rPr>
        <w:t>Material som inte bör bära talan</w:t>
      </w:r>
    </w:p>
    <w:p>
      <w:pPr>
        <w:pStyle w:val="ListBullet"/>
      </w:pPr>
      <w:r>
        <w:rPr>
          <w:rFonts w:ascii="Calibri" w:hAnsi="Calibri"/>
        </w:rPr>
        <w:t>obestyrkta uppgifter om att kundkällorna alltid är missnöjda,</w:t>
      </w:r>
    </w:p>
    <w:p>
      <w:pPr>
        <w:pStyle w:val="ListBullet"/>
      </w:pPr>
      <w:r>
        <w:rPr>
          <w:rFonts w:ascii="Calibri" w:hAnsi="Calibri"/>
        </w:rPr>
        <w:t>anonyma Flashback-inlägg utan bevis om avsändare,</w:t>
      </w:r>
    </w:p>
    <w:p>
      <w:pPr>
        <w:pStyle w:val="ListBullet"/>
      </w:pPr>
      <w:r>
        <w:rPr>
          <w:rFonts w:ascii="Calibri" w:hAnsi="Calibri"/>
        </w:rPr>
        <w:t>påståendet att Gota Media eller konkurrenter samordnade angreppet utan konkret bevisning,</w:t>
      </w:r>
    </w:p>
    <w:p>
      <w:pPr>
        <w:pStyle w:val="ListBullet"/>
      </w:pPr>
      <w:r>
        <w:rPr>
          <w:rFonts w:ascii="Calibri" w:hAnsi="Calibri"/>
        </w:rPr>
        <w:t>senare recensioner om Nenad Krstics eller Effektiv Medias verksamhet,</w:t>
      </w:r>
    </w:p>
    <w:p>
      <w:pPr>
        <w:pStyle w:val="ListBullet"/>
      </w:pPr>
      <w:r>
        <w:rPr>
          <w:rFonts w:ascii="Calibri" w:hAnsi="Calibri"/>
        </w:rPr>
        <w:t>exakt 30-miljonersinvestering utan redovisningsstöd,</w:t>
      </w:r>
    </w:p>
    <w:p>
      <w:pPr>
        <w:pStyle w:val="ListBullet"/>
      </w:pPr>
      <w:r>
        <w:rPr>
          <w:rFonts w:ascii="Calibri" w:hAnsi="Calibri"/>
        </w:rPr>
        <w:t>generella Google-resultat som inte kopplats till relevanta kunder,</w:t>
      </w:r>
    </w:p>
    <w:p>
      <w:pPr>
        <w:pStyle w:val="ListBullet"/>
      </w:pPr>
      <w:r>
        <w:rPr>
          <w:rFonts w:ascii="Calibri" w:hAnsi="Calibri"/>
        </w:rPr>
        <w:t>frånvaro av dom eller åtal som självständigt sanningsbevis.</w:t>
      </w:r>
    </w:p>
    <w:p>
      <w:r>
        <w:rPr>
          <w:rFonts w:ascii="Calibri" w:hAnsi="Calibri"/>
        </w:rPr>
        <w:t>Materialet kan ge bakgrund eller utredningsspår, men den möjliga talan ska vila på publiceringen, personutpekandet, redaktionens förhandskännedom och kundspecifik bevisning.</w:t>
      </w:r>
    </w:p>
    <w:p>
      <w:pPr>
        <w:pStyle w:val="Heading1"/>
      </w:pPr>
      <w:r>
        <w:rPr>
          <w:rFonts w:ascii="Calibri" w:hAnsi="Calibri"/>
        </w:rPr>
        <w:t>Omedelbart juristuppdrag</w:t>
      </w:r>
    </w:p>
    <w:p>
      <w:r>
        <w:rPr>
          <w:rFonts w:ascii="Calibri" w:hAnsi="Calibri"/>
        </w:rPr>
        <w:t>En specialist på tryck- och yttrandefrihetsrätt bör få i uppdrag att inom en avgränsad första bedömning:</w:t>
      </w:r>
    </w:p>
    <w:p>
      <w:pPr>
        <w:numPr>
          <w:ilvl w:val="0"/>
          <w:numId w:val="11"/>
        </w:numPr>
        <w:spacing w:after="160" w:line="280" w:lineRule="auto"/>
        <w:ind w:left="720" w:hanging="360"/>
      </w:pPr>
      <w:r>
        <w:rPr>
          <w:rFonts w:ascii="Calibri" w:hAnsi="Calibri"/>
        </w:rPr>
        <w:t>Identifiera ansvarig utgivare och rätt publiceringsform.</w:t>
      </w:r>
    </w:p>
    <w:p>
      <w:pPr>
        <w:numPr>
          <w:ilvl w:val="0"/>
          <w:numId w:val="11"/>
        </w:numPr>
        <w:spacing w:after="160" w:line="280" w:lineRule="auto"/>
        <w:ind w:left="720" w:hanging="360"/>
      </w:pPr>
      <w:r>
        <w:rPr>
          <w:rFonts w:ascii="Calibri" w:hAnsi="Calibri"/>
        </w:rPr>
        <w:t>Bedöma om rubriken och helheten är en förtalsgrundande uppgift om William.</w:t>
      </w:r>
    </w:p>
    <w:p>
      <w:pPr>
        <w:numPr>
          <w:ilvl w:val="0"/>
          <w:numId w:val="11"/>
        </w:numPr>
        <w:spacing w:after="160" w:line="280" w:lineRule="auto"/>
        <w:ind w:left="720" w:hanging="360"/>
      </w:pPr>
      <w:r>
        <w:rPr>
          <w:rFonts w:ascii="Calibri" w:hAnsi="Calibri"/>
        </w:rPr>
        <w:t>Bedöma sannings- och skälig-grund-frågan mot bevismatrisen.</w:t>
      </w:r>
    </w:p>
    <w:p>
      <w:pPr>
        <w:numPr>
          <w:ilvl w:val="0"/>
          <w:numId w:val="11"/>
        </w:numPr>
        <w:spacing w:after="160" w:line="280" w:lineRule="auto"/>
        <w:ind w:left="720" w:hanging="360"/>
      </w:pPr>
      <w:r>
        <w:rPr>
          <w:rFonts w:ascii="Calibri" w:hAnsi="Calibri"/>
        </w:rPr>
        <w:t>Bedöma om grovhetsrekvisitet har realistisk möjlighet att nås.</w:t>
      </w:r>
    </w:p>
    <w:p>
      <w:pPr>
        <w:numPr>
          <w:ilvl w:val="0"/>
          <w:numId w:val="11"/>
        </w:numPr>
        <w:spacing w:after="160" w:line="280" w:lineRule="auto"/>
        <w:ind w:left="720" w:hanging="360"/>
      </w:pPr>
      <w:r>
        <w:rPr>
          <w:rFonts w:ascii="Calibri" w:hAnsi="Calibri"/>
        </w:rPr>
        <w:t>Fastställa sista dag för talan och delgivning.</w:t>
      </w:r>
    </w:p>
    <w:p>
      <w:pPr>
        <w:numPr>
          <w:ilvl w:val="0"/>
          <w:numId w:val="11"/>
        </w:numPr>
        <w:spacing w:after="160" w:line="280" w:lineRule="auto"/>
        <w:ind w:left="720" w:hanging="360"/>
      </w:pPr>
      <w:r>
        <w:rPr>
          <w:rFonts w:ascii="Calibri" w:hAnsi="Calibri"/>
        </w:rPr>
        <w:t>Lämna ett tydligt besked om utsikter och kostnadsrisk.</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JURISTUNDERLAG_K613147-26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Juristunderlag inför möjligt enskilt åtal</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