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2E74B5"/>
          <w:sz w:val="18"/>
        </w:rPr>
        <w:t>FORMELLT UNDERLAG</w:t>
      </w:r>
    </w:p>
    <w:p>
      <w:pPr>
        <w:keepNext/>
        <w:spacing w:before="0" w:after="120"/>
      </w:pPr>
      <w:r>
        <w:rPr>
          <w:rFonts w:ascii="Calibri" w:hAnsi="Calibri"/>
          <w:b/>
          <w:color w:val="000000"/>
          <w:sz w:val="46"/>
        </w:rPr>
        <w:t>STÄMNINGSANSÖKAN – ENSKILT ÅTAL OCH SKADESTÅND</w:t>
      </w:r>
    </w:p>
    <w:p>
      <w:pPr>
        <w:spacing w:after="240"/>
      </w:pPr>
      <w:r>
        <w:rPr>
          <w:rFonts w:ascii="Calibri" w:hAnsi="Calibri"/>
          <w:i/>
          <w:color w:val="606971"/>
          <w:sz w:val="22"/>
        </w:rPr>
        <w:t>Upprättat den 11 juni 2026</w:t>
      </w:r>
    </w:p>
    <w:p>
      <w:pPr>
        <w:spacing w:after="240"/>
        <w:pBdr>
          <w:bottom w:val="single" w:sz="12" w:space="1" w:color="2E74B5"/>
        </w:pBdr>
      </w:pPr>
    </w:p>
    <w:p>
      <w:pPr>
        <w:pStyle w:val="Heading1"/>
      </w:pPr>
      <w:r>
        <w:rPr>
          <w:rFonts w:ascii="Calibri" w:hAnsi="Calibri"/>
        </w:rPr>
        <w:t>Yttrandefrihetsbrottet grovt förtal, alternativt förtal</w:t>
      </w:r>
    </w:p>
    <w:p>
      <w:r>
        <w:rPr>
          <w:rFonts w:ascii="Calibri" w:hAnsi="Calibri"/>
          <w:b/>
        </w:rPr>
        <w:t>ADVOKATVERSION – PROCESSUTKAST</w:t>
      </w:r>
    </w:p>
    <w:p>
      <w:r>
        <w:rPr>
          <w:rFonts w:ascii="Calibri" w:hAnsi="Calibri"/>
        </w:rPr>
        <w:t>Denna version är utformad för ombuds slutliga kontroll och ingivande. Talan är medvetet koncentrerad till det tydligaste personutpekandet, den kategoriska rubriken, rubrikcitatets verkliga kontext och den omfattande motinformation som redaktionen hade före publiceringen.</w:t>
      </w:r>
    </w:p>
    <w:p>
      <w:pPr>
        <w:pStyle w:val="Heading1"/>
      </w:pPr>
      <w:r>
        <w:rPr>
          <w:rFonts w:ascii="Calibri" w:hAnsi="Calibri"/>
        </w:rPr>
        <w:t>1. Domstol</w:t>
      </w:r>
    </w:p>
    <w:p>
      <w:r>
        <w:rPr>
          <w:rFonts w:ascii="Calibri" w:hAnsi="Calibri"/>
          <w:b/>
        </w:rPr>
        <w:t>Preliminärt:</w:t>
      </w:r>
      <w:r>
        <w:rPr>
          <w:rFonts w:ascii="Calibri" w:hAnsi="Calibri"/>
        </w:rPr>
        <w:t xml:space="preserve"> Göteborgs tingsrätt i egenskap av behörig</w:t>
      </w:r>
    </w:p>
    <w:p>
      <w:r>
        <w:rPr>
          <w:rFonts w:ascii="Calibri" w:hAnsi="Calibri"/>
        </w:rPr>
        <w:t>yttrandefrihetsdomstol.</w:t>
      </w:r>
    </w:p>
    <w:p>
      <w:pPr>
        <w:pStyle w:val="Heading1"/>
      </w:pPr>
      <w:r>
        <w:rPr>
          <w:rFonts w:ascii="Calibri" w:hAnsi="Calibri"/>
        </w:rPr>
        <w:t>2. Parter</w:t>
      </w:r>
    </w:p>
    <w:p>
      <w:pPr>
        <w:pStyle w:val="Heading2"/>
      </w:pPr>
      <w:r>
        <w:rPr>
          <w:rFonts w:ascii="Calibri" w:hAnsi="Calibri"/>
        </w:rPr>
        <w:t>Enskild åklagare, målsägande och skadeståndskärande</w:t>
      </w:r>
    </w:p>
    <w:p>
      <w:r>
        <w:rPr>
          <w:rFonts w:ascii="Calibri" w:hAnsi="Calibri"/>
          <w:b/>
        </w:rPr>
        <w:t>William Vladimir Rydh</w:t>
      </w:r>
      <w:r>
        <w:rPr>
          <w:rFonts w:ascii="Calibri" w:hAnsi="Calibri"/>
        </w:rPr>
        <w:t xml:space="preserve"> Personnummer: 19860513-1013 Adress: Gärdebovägen 3, 511 71 Fritsla Telefon: 076-880 52 47 E-post: william@adwisemedia.se</w:t>
      </w:r>
    </w:p>
    <w:p>
      <w:pPr>
        <w:pStyle w:val="Heading2"/>
      </w:pPr>
      <w:r>
        <w:rPr>
          <w:rFonts w:ascii="Calibri" w:hAnsi="Calibri"/>
        </w:rPr>
        <w:t>Tilltalad</w:t>
      </w:r>
    </w:p>
    <w:p>
      <w:r>
        <w:rPr>
          <w:rFonts w:ascii="Calibri" w:hAnsi="Calibri"/>
          <w:b/>
        </w:rPr>
        <w:t>Stefan Eklund</w:t>
      </w:r>
      <w:r>
        <w:rPr>
          <w:rFonts w:ascii="Calibri" w:hAnsi="Calibri"/>
        </w:rPr>
        <w:t xml:space="preserve"> Preliminär ställning: ansvarig utgivare för BT.se vid den aktuella publiceringen. Delgivningsadress: Borås Tidning, Allégatan 67, Borås.</w:t>
      </w:r>
    </w:p>
    <w:p>
      <w:r>
        <w:rPr>
          <w:rFonts w:ascii="Calibri" w:hAnsi="Calibri"/>
        </w:rPr>
        <w:t>Den historiska utgivaruppgiften ska styrkas genom officiellt utgivarintyg.</w:t>
      </w:r>
    </w:p>
    <w:p>
      <w:pPr>
        <w:pStyle w:val="Heading2"/>
      </w:pPr>
      <w:r>
        <w:rPr>
          <w:rFonts w:ascii="Calibri" w:hAnsi="Calibri"/>
        </w:rPr>
        <w:t>Skadeståndssvarande</w:t>
      </w:r>
    </w:p>
    <w:p>
      <w:r>
        <w:rPr>
          <w:rFonts w:ascii="Calibri" w:hAnsi="Calibri"/>
          <w:b/>
        </w:rPr>
        <w:t>Den juridiska person som bedrev BT.se vid publiceringen</w:t>
      </w:r>
      <w:r>
        <w:rPr>
          <w:rFonts w:ascii="Calibri" w:hAnsi="Calibri"/>
        </w:rPr>
        <w:t>, preliminärt Gota Media AB, med organisationsnummer och delgivningsadress att verifiera.</w:t>
      </w:r>
    </w:p>
    <w:p>
      <w:r>
        <w:rPr>
          <w:rFonts w:ascii="Calibri" w:hAnsi="Calibri"/>
        </w:rPr>
        <w:t>Skadeståndsansvaret görs gällande solidariskt med den ansvarige utgivaren enligt 9 kap. 2 och 6 §§ yttrandefrihetsgrundlagen.</w:t>
      </w:r>
    </w:p>
    <w:p>
      <w:pPr>
        <w:pStyle w:val="Heading1"/>
      </w:pPr>
      <w:r>
        <w:rPr>
          <w:rFonts w:ascii="Calibri" w:hAnsi="Calibri"/>
        </w:rPr>
        <w:t>3. Saken</w:t>
      </w:r>
    </w:p>
    <w:p>
      <w:r>
        <w:rPr>
          <w:rFonts w:ascii="Calibri" w:hAnsi="Calibri"/>
        </w:rPr>
        <w:t>Enskilt åtal för yttrandefrihetsbrottet grovt förtal, alternativt förtal, genom Borås Tidnings publicering på den grundlagsskyddade databasen BT.se omkring den 19 november 2022, samt skadestånd på grund av brottet.</w:t>
      </w:r>
    </w:p>
    <w:p>
      <w:pPr>
        <w:pStyle w:val="Heading1"/>
      </w:pPr>
      <w:r>
        <w:rPr>
          <w:rFonts w:ascii="Calibri" w:hAnsi="Calibri"/>
        </w:rPr>
        <w:t>4. Yrkanden</w:t>
      </w:r>
    </w:p>
    <w:p>
      <w:pPr>
        <w:numPr>
          <w:ilvl w:val="0"/>
          <w:numId w:val="10"/>
        </w:numPr>
        <w:spacing w:after="160" w:line="280" w:lineRule="auto"/>
        <w:ind w:left="720" w:hanging="360"/>
      </w:pPr>
      <w:r>
        <w:rPr>
          <w:rFonts w:ascii="Calibri" w:hAnsi="Calibri"/>
        </w:rPr>
        <w:t xml:space="preserve">William Rydh yrkar att Stefan Eklund döms för yttrandefrihetsbrottet </w:t>
      </w:r>
      <w:r>
        <w:rPr>
          <w:rFonts w:ascii="Calibri" w:hAnsi="Calibri"/>
          <w:b/>
        </w:rPr>
        <w:t>grovt förtal</w:t>
      </w:r>
      <w:r>
        <w:rPr>
          <w:rFonts w:ascii="Calibri" w:hAnsi="Calibri"/>
        </w:rPr>
        <w:t>, alternativt förtal, enligt 5 kap. 1 § yttrandefrihetsgrundlagen, 7 kap. 3 § tryckfrihetsförordningen och 5 kap. 1 och 2 §§ brottsbalken.</w:t>
      </w:r>
    </w:p>
    <w:p>
      <w:pPr>
        <w:numPr>
          <w:ilvl w:val="0"/>
          <w:numId w:val="10"/>
        </w:numPr>
        <w:spacing w:after="160" w:line="280" w:lineRule="auto"/>
        <w:ind w:left="720" w:hanging="360"/>
      </w:pPr>
      <w:r>
        <w:rPr>
          <w:rFonts w:ascii="Calibri" w:hAnsi="Calibri"/>
        </w:rPr>
        <w:t xml:space="preserve">William Rydh yrkar att Stefan Eklund och den rätteligen identifierade skadeståndssvarande juridiska personen förpliktas att solidariskt betala </w:t>
      </w:r>
      <w:r>
        <w:rPr>
          <w:rFonts w:ascii="Calibri" w:hAnsi="Calibri"/>
          <w:b/>
        </w:rPr>
        <w:t>2 000 000 kronor</w:t>
      </w:r>
      <w:r>
        <w:rPr>
          <w:rFonts w:ascii="Calibri" w:hAnsi="Calibri"/>
        </w:rPr>
        <w:t xml:space="preserve"> till William Rydh, varav 500 000 kronor avser kränkning och 1 500 000 kronor avser personlig ren förmögenhetsskada och inkomstförlust.</w:t>
      </w:r>
    </w:p>
    <w:p>
      <w:pPr>
        <w:numPr>
          <w:ilvl w:val="0"/>
          <w:numId w:val="10"/>
        </w:numPr>
        <w:spacing w:after="160" w:line="280" w:lineRule="auto"/>
        <w:ind w:left="720" w:hanging="360"/>
      </w:pPr>
      <w:r>
        <w:rPr>
          <w:rFonts w:ascii="Calibri" w:hAnsi="Calibri"/>
        </w:rPr>
        <w:t>På beloppet yrkas ränta enligt 4 och 6 §§ räntelagen från den dag skadan uppkom, eftersom anspråket grundas på ett uppsåtligt brott, till dess betalning sker.</w:t>
      </w:r>
    </w:p>
    <w:p>
      <w:pPr>
        <w:numPr>
          <w:ilvl w:val="0"/>
          <w:numId w:val="10"/>
        </w:numPr>
        <w:spacing w:after="160" w:line="280" w:lineRule="auto"/>
        <w:ind w:left="720" w:hanging="360"/>
      </w:pPr>
      <w:r>
        <w:rPr>
          <w:rFonts w:ascii="Calibri" w:hAnsi="Calibri"/>
        </w:rPr>
        <w:t>William Rydh yrkar att domstolen, med stöd av 5 kap. 7 § yttrandefrihetsgrundlagen och 5 kap. 6 § skadeståndslagen, förpliktar svarandena att på egen bekostnad återge domen eller ett av domstolen bestämt sammandrag på BT.se med tydlig exponering.</w:t>
      </w:r>
    </w:p>
    <w:p>
      <w:pPr>
        <w:numPr>
          <w:ilvl w:val="0"/>
          <w:numId w:val="10"/>
        </w:numPr>
        <w:spacing w:after="160" w:line="280" w:lineRule="auto"/>
        <w:ind w:left="720" w:hanging="360"/>
      </w:pPr>
      <w:r>
        <w:rPr>
          <w:rFonts w:ascii="Calibri" w:hAnsi="Calibri"/>
        </w:rPr>
        <w:t>William Rydh yrkar ersättning för sina rättegångskostnader med belopp som anges senare.</w:t>
      </w:r>
    </w:p>
    <w:p>
      <w:r>
        <w:rPr>
          <w:rFonts w:ascii="Calibri" w:hAnsi="Calibri"/>
        </w:rPr>
        <w:t>Det personliga ekonomiska yrkandet är beräknat med utgångspunkt i den dokumenterade inkomstnivån före kollapsen, den kraftiga inkomstminskningen under 2024 och den fortsatta yrkesmässiga skadan. Beloppet ska före huvudförhandling slutligt avstämmas mot deklarationer, faktisk inkomst, ersättningar och övrig skadebegränsning.</w:t>
      </w:r>
    </w:p>
    <w:p>
      <w:pPr>
        <w:pStyle w:val="Heading1"/>
      </w:pPr>
      <w:r>
        <w:rPr>
          <w:rFonts w:ascii="Calibri" w:hAnsi="Calibri"/>
        </w:rPr>
        <w:t>5. Utvidgat ekonomiskt anspråk – total skadebild cirka 50 miljoner kronor</w:t>
      </w:r>
    </w:p>
    <w:p>
      <w:r>
        <w:rPr>
          <w:rFonts w:ascii="Calibri" w:hAnsi="Calibri"/>
        </w:rPr>
        <w:t xml:space="preserve">Utöver Williams personliga anspråk föreligger en preliminärt beräknad värdeförlust hänförlig till eRocket om </w:t>
      </w:r>
      <w:r>
        <w:rPr>
          <w:rFonts w:ascii="Calibri" w:hAnsi="Calibri"/>
          <w:b/>
        </w:rPr>
        <w:t>48 000 000 kronor</w:t>
      </w:r>
      <w:r>
        <w:rPr>
          <w:rFonts w:ascii="Calibri" w:hAnsi="Calibri"/>
        </w:rPr>
        <w:t>. Beloppet ligger inom värderingsintervallet 39,6–48,4 miljoner kronor i värderingen daterad den 18 januari 2024. Värderingen togs fram mer än tre månader före konkurserna den 23 april 2024 och anger även ett medelvärde om 44 miljoner kronor samt en nuvärdesindikation om 52,4 miljoner kronor.</w:t>
      </w:r>
    </w:p>
    <w:p>
      <w:r>
        <w:rPr>
          <w:rFonts w:ascii="Calibri" w:hAnsi="Calibri"/>
        </w:rPr>
        <w:t xml:space="preserve">Detta anspråk ska föras av rätt innehavare till eRocket, relevant konkursbo eller annan som genom överlåtelse har förvärvat anspråket. När rätt kärande och rättighetskedjan har fastställts kan talan utvidgas eller samordnas så att den samlade skadebilden uppgår till </w:t>
      </w:r>
      <w:r>
        <w:rPr>
          <w:rFonts w:ascii="Calibri" w:hAnsi="Calibri"/>
          <w:b/>
        </w:rPr>
        <w:t>50 000 000 kronor</w:t>
      </w:r>
      <w:r>
        <w:rPr>
          <w:rFonts w:ascii="Calibri" w:hAnsi="Calibri"/>
        </w:rPr>
        <w:t>.</w:t>
      </w:r>
    </w:p>
    <w:p>
      <w:r>
        <w:rPr>
          <w:rFonts w:ascii="Calibri" w:hAnsi="Calibri"/>
        </w:rPr>
        <w:t>Anspråket om plattformens värde får inte läggas samman med samma framtida vinster en gång till. Värderingen, orsakssambandet och alternativförloppet ska styrkas genom oberoende sakkunnig.</w:t>
      </w:r>
    </w:p>
    <w:p>
      <w:pPr>
        <w:pStyle w:val="Heading1"/>
      </w:pPr>
      <w:r>
        <w:rPr>
          <w:rFonts w:ascii="Calibri" w:hAnsi="Calibri"/>
        </w:rPr>
        <w:t>6. Gärningsbeskrivning</w:t>
      </w:r>
    </w:p>
    <w:p>
      <w:r>
        <w:rPr>
          <w:rFonts w:ascii="Calibri" w:hAnsi="Calibri"/>
        </w:rPr>
        <w:t>Stefan Eklund var ansvarig utgivare för BT.se när Borås Tidning omkring den 19 november 2022 publicerade och tillhandahöll en artikel och tillhörande redaktionell presentation om Nordic Digitalization AB, tjänsten eRocket och William Rydh.</w:t>
      </w:r>
    </w:p>
    <w:p>
      <w:r>
        <w:rPr>
          <w:rFonts w:ascii="Calibri" w:hAnsi="Calibri"/>
        </w:rPr>
        <w:t>Publiceringen har varit åtkomlig genom bland annat följande adresser:</w:t>
      </w:r>
    </w:p>
    <w:p>
      <w:pPr>
        <w:pStyle w:val="ListBullet"/>
      </w:pPr>
      <w:r>
        <w:rPr>
          <w:rFonts w:ascii="Consolas" w:hAnsi="Consolas"/>
          <w:color w:val="1F4D78"/>
          <w:sz w:val="19"/>
        </w:rPr>
        <w:t>https://www.bt.se/boras/kunderna-jagas-av-entreprenorens-foretag-hotas-av-stamning-e886c1ba/</w:t>
      </w:r>
    </w:p>
    <w:p>
      <w:pPr>
        <w:pStyle w:val="ListBullet"/>
      </w:pPr>
      <w:r>
        <w:rPr>
          <w:rFonts w:ascii="Consolas" w:hAnsi="Consolas"/>
          <w:color w:val="1F4D78"/>
          <w:sz w:val="19"/>
        </w:rPr>
        <w:t>https://www.bt.se/boras/kunderna-jagas-av-entreprenorens-foretag-hotas-av-stamning/</w:t>
      </w:r>
    </w:p>
    <w:p>
      <w:r>
        <w:rPr>
          <w:rFonts w:ascii="Calibri" w:hAnsi="Calibri"/>
        </w:rPr>
        <w:t>Borås Tidning lämnade i den redaktionella presentationen det kategoriska påståendet:</w:t>
      </w:r>
    </w:p>
    <w:p>
      <w:pPr>
        <w:pStyle w:val="LegalQuote"/>
        <w:pBdr>
          <w:left w:val="single" w:sz="18" w:space="8" w:color="2E74B5"/>
        </w:pBdr>
      </w:pPr>
      <w:r>
        <w:rPr>
          <w:rFonts w:ascii="Calibri" w:hAnsi="Calibri"/>
        </w:rPr>
        <w:t>"Så lurar Boråsföretaget sina kunder: 'Har missförstått hela skiten'"</w:t>
      </w:r>
    </w:p>
    <w:p>
      <w:r>
        <w:rPr>
          <w:rFonts w:ascii="Calibri" w:hAnsi="Calibri"/>
        </w:rPr>
        <w:t>Genom rubrik, ingress, brödtext, bild, bildtext, namn, vd-beteckning, personliga citat och bolagskopplingar pekades William Rydh ut som den personligt och moraliskt ansvarige för ett systematiskt och medvetet lurande av kunder.</w:t>
      </w:r>
    </w:p>
    <w:p>
      <w:r>
        <w:rPr>
          <w:rFonts w:ascii="Calibri" w:hAnsi="Calibri"/>
        </w:rPr>
        <w:t>Publiceringens uppgift var ägnad att utsätta William Rydh för andras missaktning.</w:t>
      </w:r>
    </w:p>
    <w:p>
      <w:r>
        <w:rPr>
          <w:rFonts w:ascii="Calibri" w:hAnsi="Calibri"/>
        </w:rPr>
        <w:t>Uppgiften var inte sann. Det saknades i vart fall tillräcklig skälig grund för det kategoriska personutpekandet. Redaktionen kände före publiceringen till eller hade tillgång till kontrollerbar information om bland annat:</w:t>
      </w:r>
    </w:p>
    <w:p>
      <w:pPr>
        <w:pStyle w:val="ListBullet"/>
      </w:pPr>
      <w:r>
        <w:rPr>
          <w:rFonts w:ascii="Calibri" w:hAnsi="Calibri"/>
        </w:rPr>
        <w:t>att eRocket var en verklig digital tjänst med faktisk och mätbar leverans,</w:t>
      </w:r>
    </w:p>
    <w:p>
      <w:pPr>
        <w:pStyle w:val="ListBullet"/>
      </w:pPr>
      <w:r>
        <w:rPr>
          <w:rFonts w:ascii="Calibri" w:hAnsi="Calibri"/>
        </w:rPr>
        <w:t>att individuella avtal gjorde fakturering beroende av uppnådd Google-prestation,</w:t>
      </w:r>
    </w:p>
    <w:p>
      <w:pPr>
        <w:pStyle w:val="ListBullet"/>
      </w:pPr>
      <w:r>
        <w:rPr>
          <w:rFonts w:ascii="Calibri" w:hAnsi="Calibri"/>
        </w:rPr>
        <w:t>att avtal signerades med BankID,</w:t>
      </w:r>
    </w:p>
    <w:p>
      <w:pPr>
        <w:pStyle w:val="ListBullet"/>
      </w:pPr>
      <w:r>
        <w:rPr>
          <w:rFonts w:ascii="Calibri" w:hAnsi="Calibri"/>
        </w:rPr>
        <w:t>att fakturor specificerade faktisk prestation,</w:t>
      </w:r>
    </w:p>
    <w:p>
      <w:pPr>
        <w:pStyle w:val="ListBullet"/>
      </w:pPr>
      <w:r>
        <w:rPr>
          <w:rFonts w:ascii="Calibri" w:hAnsi="Calibri"/>
        </w:rPr>
        <w:t>att en extern säljaktör hade en central roll under den tidiga försäljningsfasen,</w:t>
      </w:r>
    </w:p>
    <w:p>
      <w:pPr>
        <w:pStyle w:val="ListBullet"/>
      </w:pPr>
      <w:r>
        <w:rPr>
          <w:rFonts w:ascii="Calibri" w:hAnsi="Calibri"/>
        </w:rPr>
        <w:t>att bolaget avslutade samarbetet och vidtog åtgärder när möjlig felkommunikation framkom,</w:t>
      </w:r>
    </w:p>
    <w:p>
      <w:pPr>
        <w:pStyle w:val="ListBullet"/>
      </w:pPr>
      <w:r>
        <w:rPr>
          <w:rFonts w:ascii="Calibri" w:hAnsi="Calibri"/>
        </w:rPr>
        <w:t>att William öppet erbjöd redaktionen att kontrollera den externa aktören,</w:t>
      </w:r>
    </w:p>
    <w:p>
      <w:pPr>
        <w:pStyle w:val="ListBullet"/>
      </w:pPr>
      <w:r>
        <w:rPr>
          <w:rFonts w:ascii="Calibri" w:hAnsi="Calibri"/>
        </w:rPr>
        <w:t>att William uttryckligen förnekade lurande och varnade för ett felaktigt personutpekande.</w:t>
      </w:r>
    </w:p>
    <w:p>
      <w:r>
        <w:rPr>
          <w:rFonts w:ascii="Calibri" w:hAnsi="Calibri"/>
        </w:rPr>
        <w:t>Redaktionen kände också rubrikcitatets verkliga sammanhang. I originalljudet avsåg uttrycket "missförstått hela skiten" risken att Borås Tidning skulle missförstå verksamheten och skriva en skadlig artikel. Genom rubrikens utformning fick citatet i stället innebörden att William avfärdade eller förringade lurade kunder.</w:t>
      </w:r>
    </w:p>
    <w:p>
      <w:r>
        <w:rPr>
          <w:rFonts w:ascii="Calibri" w:hAnsi="Calibri"/>
        </w:rPr>
        <w:t>Gärningen ska bedömas som grov med hänsyn till uppgiftens allvarliga innehåll, det tydliga personutpekandet, spridningen genom en etablerad nyhetsförmedlare, den långvariga digitala tillgängligheten, användningen av ett kontextförändrat citat och den synnerligen allvarliga yrkesmässiga och personliga skada som gärningen var ägnad att medföra.</w:t>
      </w:r>
    </w:p>
    <w:p>
      <w:pPr>
        <w:pStyle w:val="Heading1"/>
      </w:pPr>
      <w:r>
        <w:rPr>
          <w:rFonts w:ascii="Calibri" w:hAnsi="Calibri"/>
        </w:rPr>
        <w:t>7. Ansvar enligt yttrandefrihetsgrundlagen</w:t>
      </w:r>
    </w:p>
    <w:p>
      <w:r>
        <w:rPr>
          <w:rFonts w:ascii="Calibri" w:hAnsi="Calibri"/>
        </w:rPr>
        <w:t>Justitiekanslern har i beslut den 10 juni 2026, ärende 2026/5101, konstaterat att BT.se omfattas av automatiskt grundlagsskydd enligt databasregeln.</w:t>
      </w:r>
    </w:p>
    <w:p>
      <w:r>
        <w:rPr>
          <w:rFonts w:ascii="Calibri" w:hAnsi="Calibri"/>
        </w:rPr>
        <w:t>Utgivaren ansvarar enligt 6 kap. yttrandefrihetsgrundlagen och ska anses ha haft kännedom om innehållet och medgett publiceringen. Den som ansvarar för yttrandefrihetsbrottet ansvarar även för skadestånd. Krav kan därutöver riktas mot den som bedrev verksamheten, och flera ansvariga svarar solidariskt.</w:t>
      </w:r>
    </w:p>
    <w:p>
      <w:r>
        <w:rPr>
          <w:rFonts w:ascii="Calibri" w:hAnsi="Calibri"/>
        </w:rPr>
        <w:t>William underrättade Borås Tidning och Stefan Eklund om den omtvistade publiceringen och begärde rättelse redan den 19–20 november 2022.</w:t>
      </w:r>
    </w:p>
    <w:p>
      <w:pPr>
        <w:pStyle w:val="Heading1"/>
      </w:pPr>
      <w:r>
        <w:rPr>
          <w:rFonts w:ascii="Calibri" w:hAnsi="Calibri"/>
        </w:rPr>
        <w:t>8. William Rydh pekades ut personligen</w:t>
      </w:r>
    </w:p>
    <w:p>
      <w:r>
        <w:rPr>
          <w:rFonts w:ascii="Calibri" w:hAnsi="Calibri"/>
        </w:rPr>
        <w:t>Talan avser inte att ett aktiebolag som sådant har förtalats. Talan avser att William Rydh pekades ut som fysisk person.</w:t>
      </w:r>
    </w:p>
    <w:p>
      <w:r>
        <w:rPr>
          <w:rFonts w:ascii="Calibri" w:hAnsi="Calibri"/>
        </w:rPr>
        <w:t>William identifierades genom:</w:t>
      </w:r>
    </w:p>
    <w:p>
      <w:pPr>
        <w:pStyle w:val="ListBullet"/>
      </w:pPr>
      <w:r>
        <w:rPr>
          <w:rFonts w:ascii="Calibri" w:hAnsi="Calibri"/>
        </w:rPr>
        <w:t>namn,</w:t>
      </w:r>
    </w:p>
    <w:p>
      <w:pPr>
        <w:pStyle w:val="ListBullet"/>
      </w:pPr>
      <w:r>
        <w:rPr>
          <w:rFonts w:ascii="Calibri" w:hAnsi="Calibri"/>
        </w:rPr>
        <w:t>bild och bildtext,</w:t>
      </w:r>
    </w:p>
    <w:p>
      <w:pPr>
        <w:pStyle w:val="ListBullet"/>
      </w:pPr>
      <w:r>
        <w:rPr>
          <w:rFonts w:ascii="Calibri" w:hAnsi="Calibri"/>
        </w:rPr>
        <w:t>presentation som vd och ansvarig företrädare,</w:t>
      </w:r>
    </w:p>
    <w:p>
      <w:pPr>
        <w:pStyle w:val="ListBullet"/>
      </w:pPr>
      <w:r>
        <w:rPr>
          <w:rFonts w:ascii="Calibri" w:hAnsi="Calibri"/>
        </w:rPr>
        <w:t>personligt citat i den centrala rubriken,</w:t>
      </w:r>
    </w:p>
    <w:p>
      <w:pPr>
        <w:pStyle w:val="ListBullet"/>
      </w:pPr>
      <w:r>
        <w:rPr>
          <w:rFonts w:ascii="Calibri" w:hAnsi="Calibri"/>
        </w:rPr>
        <w:t>kopplingar till andra bolag och hans yrkesidentitet,</w:t>
      </w:r>
    </w:p>
    <w:p>
      <w:pPr>
        <w:pStyle w:val="ListBullet"/>
      </w:pPr>
      <w:r>
        <w:rPr>
          <w:rFonts w:ascii="Calibri" w:hAnsi="Calibri"/>
        </w:rPr>
        <w:t>den lokala kontexten där han sedan länge var verksam som företagare.</w:t>
      </w:r>
    </w:p>
    <w:p>
      <w:r>
        <w:rPr>
          <w:rFonts w:ascii="Calibri" w:hAnsi="Calibri"/>
        </w:rPr>
        <w:t>Publiceringen ska bedömas som en helhet. För en vanlig läsare var budskapet att William drev, möjliggjorde eller personligen ansvarade för det påstådda lurandet.</w:t>
      </w:r>
    </w:p>
    <w:p>
      <w:pPr>
        <w:pStyle w:val="Heading1"/>
      </w:pPr>
      <w:r>
        <w:rPr>
          <w:rFonts w:ascii="Calibri" w:hAnsi="Calibri"/>
        </w:rPr>
        <w:t>9. Uppgiften var förtalsgrundande</w:t>
      </w:r>
    </w:p>
    <w:p>
      <w:r>
        <w:rPr>
          <w:rFonts w:ascii="Calibri" w:hAnsi="Calibri"/>
        </w:rPr>
        <w:t>Formuleringen "Så lurar Boråsföretaget sina kunder" var inte en redovisning av att vissa personer upplevde sig missnöjda. Ordet "lurar" uttryckte ett kategoriskt påstående om medvetet ohederligt handlande.</w:t>
      </w:r>
    </w:p>
    <w:p>
      <w:r>
        <w:rPr>
          <w:rFonts w:ascii="Calibri" w:hAnsi="Calibri"/>
        </w:rPr>
        <w:t>Påståendet förstärktes av uppgifter om ofrivilliga kunder, fortsatt fakturering, kunders utsatthet och det felplacerade citatet om att någon hade "missförstått hela skiten".</w:t>
      </w:r>
    </w:p>
    <w:p>
      <w:r>
        <w:rPr>
          <w:rFonts w:ascii="Calibri" w:hAnsi="Calibri"/>
        </w:rPr>
        <w:t>Helheten var ägnad att få läsaren att uppfatta William som ohederlig, manipulativ och klandervärd i sitt yrkesutövande.</w:t>
      </w:r>
    </w:p>
    <w:p>
      <w:pPr>
        <w:pStyle w:val="Heading1"/>
      </w:pPr>
      <w:r>
        <w:rPr>
          <w:rFonts w:ascii="Calibri" w:hAnsi="Calibri"/>
        </w:rPr>
        <w:t>10. Publiceringen saknade sanning eller skälig grund</w:t>
      </w:r>
    </w:p>
    <w:p>
      <w:r>
        <w:rPr>
          <w:rFonts w:ascii="Calibri" w:hAnsi="Calibri"/>
        </w:rPr>
        <w:t>William bestrider inte Borås Tidnings rätt att kritiskt granska kundklagomål, försäljningsmetoder och företagets verksamhet. Talan avser att tidningen gick från omtvistade kundupplevelser och möjliga fel i ett avgränsat försäljningsled till ett kategoriskt påstående om att verksamheten lurade kunder, samtidigt som William personligen pekades ut.</w:t>
      </w:r>
    </w:p>
    <w:p>
      <w:r>
        <w:rPr>
          <w:rFonts w:ascii="Calibri" w:hAnsi="Calibri"/>
        </w:rPr>
        <w:t>Redaktionen hade eller erbjöds före publiceringen:</w:t>
      </w:r>
    </w:p>
    <w:p>
      <w:pPr>
        <w:pStyle w:val="ListBullet"/>
      </w:pPr>
      <w:r>
        <w:rPr>
          <w:rFonts w:ascii="Calibri" w:hAnsi="Calibri"/>
        </w:rPr>
        <w:t>en närmare två timmar lång intervju,</w:t>
      </w:r>
    </w:p>
    <w:p>
      <w:pPr>
        <w:pStyle w:val="ListBullet"/>
      </w:pPr>
      <w:r>
        <w:rPr>
          <w:rFonts w:ascii="Calibri" w:hAnsi="Calibri"/>
        </w:rPr>
        <w:t>förklaring av prestationsmodellen,</w:t>
      </w:r>
    </w:p>
    <w:p>
      <w:pPr>
        <w:pStyle w:val="ListBullet"/>
      </w:pPr>
      <w:r>
        <w:rPr>
          <w:rFonts w:ascii="Calibri" w:hAnsi="Calibri"/>
        </w:rPr>
        <w:t>uppgifter om kundportal och faktisk Google-data,</w:t>
      </w:r>
    </w:p>
    <w:p>
      <w:pPr>
        <w:pStyle w:val="ListBullet"/>
      </w:pPr>
      <w:r>
        <w:rPr>
          <w:rFonts w:ascii="Calibri" w:hAnsi="Calibri"/>
        </w:rPr>
        <w:t>BankID-avtal och prestationsvillkor,</w:t>
      </w:r>
    </w:p>
    <w:p>
      <w:pPr>
        <w:pStyle w:val="ListBullet"/>
      </w:pPr>
      <w:r>
        <w:rPr>
          <w:rFonts w:ascii="Calibri" w:hAnsi="Calibri"/>
        </w:rPr>
        <w:t>uppgifter om att kunder utan prestation inte fakturerades,</w:t>
      </w:r>
    </w:p>
    <w:p>
      <w:pPr>
        <w:pStyle w:val="ListBullet"/>
      </w:pPr>
      <w:r>
        <w:rPr>
          <w:rFonts w:ascii="Calibri" w:hAnsi="Calibri"/>
        </w:rPr>
        <w:t>uppgifter om den externa säljaktörens roll,</w:t>
      </w:r>
    </w:p>
    <w:p>
      <w:pPr>
        <w:pStyle w:val="ListBullet"/>
      </w:pPr>
      <w:r>
        <w:rPr>
          <w:rFonts w:ascii="Calibri" w:hAnsi="Calibri"/>
        </w:rPr>
        <w:t>uppgifter om avslutat samarbete och korrigerande åtgärder,</w:t>
      </w:r>
    </w:p>
    <w:p>
      <w:pPr>
        <w:pStyle w:val="ListBullet"/>
      </w:pPr>
      <w:r>
        <w:rPr>
          <w:rFonts w:ascii="Calibri" w:hAnsi="Calibri"/>
        </w:rPr>
        <w:t>möjlighet att kontrollera det externa säljledet,</w:t>
      </w:r>
    </w:p>
    <w:p>
      <w:pPr>
        <w:pStyle w:val="ListBullet"/>
      </w:pPr>
      <w:r>
        <w:rPr>
          <w:rFonts w:ascii="Calibri" w:hAnsi="Calibri"/>
        </w:rPr>
        <w:t>uttrycklig varning om skada på Williams namn och verksamhet.</w:t>
      </w:r>
    </w:p>
    <w:p>
      <w:r>
        <w:rPr>
          <w:rFonts w:ascii="Calibri" w:hAnsi="Calibri"/>
        </w:rPr>
        <w:t>Det material som hittills säkrats visar en verklig produkt, en verklig prestationsmodell, verklig leverans och ett verkligt externt säljled. Det visar inte att William systematiskt eller medvetet lurade kunder.</w:t>
      </w:r>
    </w:p>
    <w:p>
      <w:pPr>
        <w:pStyle w:val="Heading1"/>
      </w:pPr>
      <w:r>
        <w:rPr>
          <w:rFonts w:ascii="Calibri" w:hAnsi="Calibri"/>
        </w:rPr>
        <w:t>11. Rubrikcitatets verkliga sammanhang</w:t>
      </w:r>
    </w:p>
    <w:p>
      <w:r>
        <w:rPr>
          <w:rFonts w:ascii="Calibri" w:hAnsi="Calibri"/>
        </w:rPr>
        <w:t xml:space="preserve">I den oklippta intervjun vid cirka </w:t>
      </w:r>
      <w:r>
        <w:rPr>
          <w:rFonts w:ascii="Consolas" w:hAnsi="Consolas"/>
          <w:color w:val="1F4D78"/>
          <w:sz w:val="19"/>
        </w:rPr>
        <w:t>[01:10:32–01:10:46]</w:t>
      </w:r>
      <w:r>
        <w:rPr>
          <w:rFonts w:ascii="Calibri" w:hAnsi="Calibri"/>
        </w:rPr>
        <w:t xml:space="preserve"> sade William i sak att det fanns en risk att Borås Tidning skulle komma till bolaget, missförstå helheten och skriva en skadlig artikel.</w:t>
      </w:r>
    </w:p>
    <w:p>
      <w:r>
        <w:rPr>
          <w:rFonts w:ascii="Calibri" w:hAnsi="Calibri"/>
        </w:rPr>
        <w:t>Rubrikens kombination:</w:t>
      </w:r>
    </w:p>
    <w:p>
      <w:pPr>
        <w:pStyle w:val="LegalQuote"/>
        <w:pBdr>
          <w:left w:val="single" w:sz="18" w:space="8" w:color="2E74B5"/>
        </w:pBdr>
      </w:pPr>
      <w:r>
        <w:rPr>
          <w:rFonts w:ascii="Calibri" w:hAnsi="Calibri"/>
        </w:rPr>
        <w:t>"Så lurar Boråsföretaget sina kunder: 'Har missförstått hela skiten'"</w:t>
      </w:r>
    </w:p>
    <w:p>
      <w:r>
        <w:rPr>
          <w:rFonts w:ascii="Calibri" w:hAnsi="Calibri"/>
        </w:rPr>
        <w:t>gav citatet en annan innebörd. Läsaren kunde uppfatta att William avfärdade kundernas berättelser, trots att orden i själva verket var en varning riktad till reportrarna.</w:t>
      </w:r>
    </w:p>
    <w:p>
      <w:r>
        <w:rPr>
          <w:rFonts w:ascii="Calibri" w:hAnsi="Calibri"/>
        </w:rPr>
        <w:t>Redaktionen hade originalljudet och kände till sammanhanget.</w:t>
      </w:r>
    </w:p>
    <w:p>
      <w:pPr>
        <w:pStyle w:val="Heading1"/>
      </w:pPr>
      <w:r>
        <w:rPr>
          <w:rFonts w:ascii="Calibri" w:hAnsi="Calibri"/>
        </w:rPr>
        <w:t>12. Den alternativa och dokumenterade händelsekedjan</w:t>
      </w:r>
    </w:p>
    <w:p>
      <w:r>
        <w:rPr>
          <w:rFonts w:ascii="Calibri" w:hAnsi="Calibri"/>
        </w:rPr>
        <w:t>eRocket utvecklades under en längre tid och kommersialiserades som en tjänst där leverantören bar den initiala prestationsrisken. Den externa säljaktören anlitades för att snabbt bygga försäljningskapacitet.</w:t>
      </w:r>
    </w:p>
    <w:p>
      <w:r>
        <w:rPr>
          <w:rFonts w:ascii="Calibri" w:hAnsi="Calibri"/>
        </w:rPr>
        <w:t>När uppgifter om möjlig felkommunikation framkom:</w:t>
      </w:r>
    </w:p>
    <w:p>
      <w:pPr>
        <w:pStyle w:val="ListBullet"/>
      </w:pPr>
      <w:r>
        <w:rPr>
          <w:rFonts w:ascii="Calibri" w:hAnsi="Calibri"/>
        </w:rPr>
        <w:t>genomfördes intern kontroll,</w:t>
      </w:r>
    </w:p>
    <w:p>
      <w:pPr>
        <w:pStyle w:val="ListBullet"/>
      </w:pPr>
      <w:r>
        <w:rPr>
          <w:rFonts w:ascii="Calibri" w:hAnsi="Calibri"/>
        </w:rPr>
        <w:t>kunder kontaktades,</w:t>
      </w:r>
    </w:p>
    <w:p>
      <w:pPr>
        <w:pStyle w:val="ListBullet"/>
      </w:pPr>
      <w:r>
        <w:rPr>
          <w:rFonts w:ascii="Calibri" w:hAnsi="Calibri"/>
        </w:rPr>
        <w:t>felaktiga eller omtvistade avtal hanterades,</w:t>
      </w:r>
    </w:p>
    <w:p>
      <w:pPr>
        <w:pStyle w:val="ListBullet"/>
      </w:pPr>
      <w:r>
        <w:rPr>
          <w:rFonts w:ascii="Calibri" w:hAnsi="Calibri"/>
        </w:rPr>
        <w:t>det externa samarbetet avslutades,</w:t>
      </w:r>
    </w:p>
    <w:p>
      <w:pPr>
        <w:pStyle w:val="ListBullet"/>
      </w:pPr>
      <w:r>
        <w:rPr>
          <w:rFonts w:ascii="Calibri" w:hAnsi="Calibri"/>
        </w:rPr>
        <w:t>intern försäljnings- och kundvårdskapacitet byggdes upp.</w:t>
      </w:r>
    </w:p>
    <w:p>
      <w:r>
        <w:rPr>
          <w:rFonts w:ascii="Calibri" w:hAnsi="Calibri"/>
        </w:rPr>
        <w:t>Denna händelsekedja var känd av redaktionen. Den motiverade en noggrann kund-för-kund-granskning. Den bar inte den kategoriska slutsatsen att William lurade kunder.</w:t>
      </w:r>
    </w:p>
    <w:p>
      <w:pPr>
        <w:pStyle w:val="Heading1"/>
      </w:pPr>
      <w:r>
        <w:rPr>
          <w:rFonts w:ascii="Calibri" w:hAnsi="Calibri"/>
        </w:rPr>
        <w:t>13. Grovhetsbedömningen</w:t>
      </w:r>
    </w:p>
    <w:p>
      <w:r>
        <w:rPr>
          <w:rFonts w:ascii="Calibri" w:hAnsi="Calibri"/>
        </w:rPr>
        <w:t>Följande omständigheter åberopas sammantaget:</w:t>
      </w:r>
    </w:p>
    <w:p>
      <w:pPr>
        <w:numPr>
          <w:ilvl w:val="0"/>
          <w:numId w:val="11"/>
        </w:numPr>
        <w:spacing w:after="160" w:line="280" w:lineRule="auto"/>
        <w:ind w:left="720" w:hanging="360"/>
      </w:pPr>
      <w:r>
        <w:rPr>
          <w:rFonts w:ascii="Calibri" w:hAnsi="Calibri"/>
        </w:rPr>
        <w:t>Uppgiften beskrev ett systematiskt och medvetet lurande av kunder.</w:t>
      </w:r>
    </w:p>
    <w:p>
      <w:pPr>
        <w:numPr>
          <w:ilvl w:val="0"/>
          <w:numId w:val="11"/>
        </w:numPr>
        <w:spacing w:after="160" w:line="280" w:lineRule="auto"/>
        <w:ind w:left="720" w:hanging="360"/>
      </w:pPr>
      <w:r>
        <w:rPr>
          <w:rFonts w:ascii="Calibri" w:hAnsi="Calibri"/>
        </w:rPr>
        <w:t>William pekades ut genom namn, bild, roll och personligt citat.</w:t>
      </w:r>
    </w:p>
    <w:p>
      <w:pPr>
        <w:numPr>
          <w:ilvl w:val="0"/>
          <w:numId w:val="11"/>
        </w:numPr>
        <w:spacing w:after="160" w:line="280" w:lineRule="auto"/>
        <w:ind w:left="720" w:hanging="360"/>
      </w:pPr>
      <w:r>
        <w:rPr>
          <w:rFonts w:ascii="Calibri" w:hAnsi="Calibri"/>
        </w:rPr>
        <w:t>Uppgiften angrep direkt hans yrkesmässiga heder och trovärdighet.</w:t>
      </w:r>
    </w:p>
    <w:p>
      <w:pPr>
        <w:numPr>
          <w:ilvl w:val="0"/>
          <w:numId w:val="11"/>
        </w:numPr>
        <w:spacing w:after="160" w:line="280" w:lineRule="auto"/>
        <w:ind w:left="720" w:hanging="360"/>
      </w:pPr>
      <w:r>
        <w:rPr>
          <w:rFonts w:ascii="Calibri" w:hAnsi="Calibri"/>
        </w:rPr>
        <w:t>Publiceringen skedde genom en etablerad regional nyhetsförmedlare med hög trovärdighet och betydande räckvidd.</w:t>
      </w:r>
    </w:p>
    <w:p>
      <w:pPr>
        <w:numPr>
          <w:ilvl w:val="0"/>
          <w:numId w:val="11"/>
        </w:numPr>
        <w:spacing w:after="160" w:line="280" w:lineRule="auto"/>
        <w:ind w:left="720" w:hanging="360"/>
      </w:pPr>
      <w:r>
        <w:rPr>
          <w:rFonts w:ascii="Calibri" w:hAnsi="Calibri"/>
        </w:rPr>
        <w:t>Publiceringen var digitalt sökbar och kunde spridas till kunder, samarbetspartner och uppdragsgivare.</w:t>
      </w:r>
    </w:p>
    <w:p>
      <w:pPr>
        <w:numPr>
          <w:ilvl w:val="0"/>
          <w:numId w:val="11"/>
        </w:numPr>
        <w:spacing w:after="160" w:line="280" w:lineRule="auto"/>
        <w:ind w:left="720" w:hanging="360"/>
      </w:pPr>
      <w:r>
        <w:rPr>
          <w:rFonts w:ascii="Calibri" w:hAnsi="Calibri"/>
        </w:rPr>
        <w:t>Citatets verkliga sammanhang var känt men gavs genom rubriken en annan klandrande innebörd.</w:t>
      </w:r>
    </w:p>
    <w:p>
      <w:pPr>
        <w:numPr>
          <w:ilvl w:val="0"/>
          <w:numId w:val="11"/>
        </w:numPr>
        <w:spacing w:after="160" w:line="280" w:lineRule="auto"/>
        <w:ind w:left="720" w:hanging="360"/>
      </w:pPr>
      <w:r>
        <w:rPr>
          <w:rFonts w:ascii="Calibri" w:hAnsi="Calibri"/>
        </w:rPr>
        <w:t>Redaktionen hade omfattande motinformation och varnades uttryckligen för skadepotentialen.</w:t>
      </w:r>
    </w:p>
    <w:p>
      <w:pPr>
        <w:numPr>
          <w:ilvl w:val="0"/>
          <w:numId w:val="11"/>
        </w:numPr>
        <w:spacing w:after="160" w:line="280" w:lineRule="auto"/>
        <w:ind w:left="720" w:hanging="360"/>
      </w:pPr>
      <w:r>
        <w:rPr>
          <w:rFonts w:ascii="Calibri" w:hAnsi="Calibri"/>
        </w:rPr>
        <w:t>Publiceringen träffade kärnan i Williams yrkesidentitet efter omkring tio års verksamhet inom digital marknadsföring och SEO.</w:t>
      </w:r>
    </w:p>
    <w:p>
      <w:pPr>
        <w:numPr>
          <w:ilvl w:val="0"/>
          <w:numId w:val="11"/>
        </w:numPr>
        <w:spacing w:after="160" w:line="280" w:lineRule="auto"/>
        <w:ind w:left="720" w:hanging="360"/>
      </w:pPr>
      <w:r>
        <w:rPr>
          <w:rFonts w:ascii="Calibri" w:hAnsi="Calibri"/>
        </w:rPr>
        <w:t>Publiceringen följdes av konkret fortsatt spridning, bland annat genom ett enstjärnigt Reco-omdöme som enbart länkade till BT:s artiklar.</w:t>
      </w:r>
    </w:p>
    <w:p>
      <w:pPr>
        <w:numPr>
          <w:ilvl w:val="0"/>
          <w:numId w:val="11"/>
        </w:numPr>
        <w:spacing w:after="160" w:line="280" w:lineRule="auto"/>
        <w:ind w:left="720" w:hanging="360"/>
      </w:pPr>
      <w:r>
        <w:rPr>
          <w:rFonts w:ascii="Calibri" w:hAnsi="Calibri"/>
        </w:rPr>
        <w:t>Den dokumenterade skadeutvecklingen omfattar förlorat förtroendeuppdrag, bolagskollaps, konkurs och en mycket kraftig personlig inkomstminskning.</w:t>
      </w:r>
    </w:p>
    <w:p>
      <w:pPr>
        <w:pStyle w:val="Heading1"/>
      </w:pPr>
      <w:r>
        <w:rPr>
          <w:rFonts w:ascii="Calibri" w:hAnsi="Calibri"/>
        </w:rPr>
        <w:t>14. Personlig skada och orsakssamband</w:t>
      </w:r>
    </w:p>
    <w:p>
      <w:r>
        <w:rPr>
          <w:rFonts w:ascii="Calibri" w:hAnsi="Calibri"/>
        </w:rPr>
        <w:t>Williams deklarerade tjänsteinkomster var:</w:t>
      </w:r>
    </w:p>
    <w:p>
      <w:pPr>
        <w:pStyle w:val="ListBullet"/>
      </w:pPr>
      <w:r>
        <w:rPr>
          <w:rFonts w:ascii="Calibri" w:hAnsi="Calibri"/>
        </w:rPr>
        <w:t>582 176 kronor för inkomståret 2021,</w:t>
      </w:r>
    </w:p>
    <w:p>
      <w:pPr>
        <w:pStyle w:val="ListBullet"/>
      </w:pPr>
      <w:r>
        <w:rPr>
          <w:rFonts w:ascii="Calibri" w:hAnsi="Calibri"/>
        </w:rPr>
        <w:t>577 032 kronor för inkomståret 2022,</w:t>
      </w:r>
    </w:p>
    <w:p>
      <w:pPr>
        <w:pStyle w:val="ListBullet"/>
      </w:pPr>
      <w:r>
        <w:rPr>
          <w:rFonts w:ascii="Calibri" w:hAnsi="Calibri"/>
        </w:rPr>
        <w:t>653 868 kronor för inkomståret 2023,</w:t>
      </w:r>
    </w:p>
    <w:p>
      <w:pPr>
        <w:pStyle w:val="ListBullet"/>
      </w:pPr>
      <w:r>
        <w:rPr>
          <w:rFonts w:ascii="Calibri" w:hAnsi="Calibri"/>
        </w:rPr>
        <w:t>58 140 kronor för inkomståret 2024, bestående av ersättning från arbetslöshetskassa.</w:t>
      </w:r>
    </w:p>
    <w:p>
      <w:r>
        <w:rPr>
          <w:rFonts w:ascii="Calibri" w:hAnsi="Calibri"/>
        </w:rPr>
        <w:t>Underlaget visar alltså en stabil inkomstnivå före kollapsen och därefter en dramatisk minskning. Den personliga inkomstskadan har fortsatt efter 2024.</w:t>
      </w:r>
    </w:p>
    <w:p>
      <w:r>
        <w:rPr>
          <w:rFonts w:ascii="Calibri" w:hAnsi="Calibri"/>
        </w:rPr>
        <w:t>Publiceringen var inte den enda belastningen på verksamheten. Pandemin, finansieringsproblem och senare utebliven finansiering ska beaktas. Williams ståndpunkt är att BT:s publicering var en väsentlig och utlösande orsak till förtroendekollapsen och den kedja som följde. Skadan ska därför bedömas genom ett realistiskt alternativförlopp och med avräkning för andra orsaker och faktiska inkomster.</w:t>
      </w:r>
    </w:p>
    <w:p>
      <w:r>
        <w:rPr>
          <w:rFonts w:ascii="Calibri" w:hAnsi="Calibri"/>
        </w:rPr>
        <w:t>Redan i december 2022 uppgav William i samtida korrespondens att Borås Yrkeshögskola, efter fyra år, inte gav honom fortsatt förtroende med hänvisning till artiklarna. Detta är ett konkret och tidsnära exempel på den yrkesmässiga skadan.</w:t>
      </w:r>
    </w:p>
    <w:p>
      <w:r>
        <w:rPr>
          <w:rFonts w:ascii="Calibri" w:hAnsi="Calibri"/>
        </w:rPr>
        <w:t>Den ekonomiska skadan kan, om den exakta storleken inte kan bevisas fullt ut utan oproportionerlig svårighet, uppskattas enligt 35 kap. 5 § rättegångsbalken.</w:t>
      </w:r>
    </w:p>
    <w:p>
      <w:pPr>
        <w:pStyle w:val="Heading1"/>
      </w:pPr>
      <w:r>
        <w:rPr>
          <w:rFonts w:ascii="Calibri" w:hAnsi="Calibri"/>
        </w:rPr>
        <w:t>15. Kränkningsersättning</w:t>
      </w:r>
    </w:p>
    <w:p>
      <w:r>
        <w:rPr>
          <w:rFonts w:ascii="Calibri" w:hAnsi="Calibri"/>
        </w:rPr>
        <w:t>Publiceringen innebar ett allvarligt angrepp på Williams heder, person och yrkesidentitet.</w:t>
      </w:r>
    </w:p>
    <w:p>
      <w:r>
        <w:rPr>
          <w:rFonts w:ascii="Calibri" w:hAnsi="Calibri"/>
        </w:rPr>
        <w:t>Vid bestämmande av kränkningsersättningen ska särskilt beaktas:</w:t>
      </w:r>
    </w:p>
    <w:p>
      <w:pPr>
        <w:pStyle w:val="ListBullet"/>
      </w:pPr>
      <w:r>
        <w:rPr>
          <w:rFonts w:ascii="Calibri" w:hAnsi="Calibri"/>
        </w:rPr>
        <w:t>det kategoriska påståendet om lurande,</w:t>
      </w:r>
    </w:p>
    <w:p>
      <w:pPr>
        <w:pStyle w:val="ListBullet"/>
      </w:pPr>
      <w:r>
        <w:rPr>
          <w:rFonts w:ascii="Calibri" w:hAnsi="Calibri"/>
        </w:rPr>
        <w:t>namn- och bildpubliceringen,</w:t>
      </w:r>
    </w:p>
    <w:p>
      <w:pPr>
        <w:pStyle w:val="ListBullet"/>
      </w:pPr>
      <w:r>
        <w:rPr>
          <w:rFonts w:ascii="Calibri" w:hAnsi="Calibri"/>
        </w:rPr>
        <w:t>den etablerade avsändarens trovärdighet,</w:t>
      </w:r>
    </w:p>
    <w:p>
      <w:pPr>
        <w:pStyle w:val="ListBullet"/>
      </w:pPr>
      <w:r>
        <w:rPr>
          <w:rFonts w:ascii="Calibri" w:hAnsi="Calibri"/>
        </w:rPr>
        <w:t>risken för omfattande och långvarig digital spridning,</w:t>
      </w:r>
    </w:p>
    <w:p>
      <w:pPr>
        <w:pStyle w:val="ListBullet"/>
      </w:pPr>
      <w:r>
        <w:rPr>
          <w:rFonts w:ascii="Calibri" w:hAnsi="Calibri"/>
        </w:rPr>
        <w:t>den kontextförändrande användningen av Williams citat,</w:t>
      </w:r>
    </w:p>
    <w:p>
      <w:pPr>
        <w:pStyle w:val="ListBullet"/>
      </w:pPr>
      <w:r>
        <w:rPr>
          <w:rFonts w:ascii="Calibri" w:hAnsi="Calibri"/>
        </w:rPr>
        <w:t>att angreppet riktades mot hans yrkesmässiga existens,</w:t>
      </w:r>
    </w:p>
    <w:p>
      <w:pPr>
        <w:pStyle w:val="ListBullet"/>
      </w:pPr>
      <w:r>
        <w:rPr>
          <w:rFonts w:ascii="Calibri" w:hAnsi="Calibri"/>
        </w:rPr>
        <w:t>att redaktionen varnades före publiceringen,</w:t>
      </w:r>
    </w:p>
    <w:p>
      <w:pPr>
        <w:pStyle w:val="ListBullet"/>
      </w:pPr>
      <w:r>
        <w:rPr>
          <w:rFonts w:ascii="Calibri" w:hAnsi="Calibri"/>
        </w:rPr>
        <w:t>att skadan och spridningen fortsatte efter publiceringen.</w:t>
      </w:r>
    </w:p>
    <w:p>
      <w:pPr>
        <w:pStyle w:val="Heading1"/>
      </w:pPr>
      <w:r>
        <w:rPr>
          <w:rFonts w:ascii="Calibri" w:hAnsi="Calibri"/>
        </w:rPr>
        <w:t>16. Den ekonomiska skadan på eRocket</w:t>
      </w:r>
    </w:p>
    <w:p>
      <w:r>
        <w:rPr>
          <w:rFonts w:ascii="Calibri" w:hAnsi="Calibri"/>
        </w:rPr>
        <w:t>Nordic Digitalizations resultatrapport, utskriven den 31 oktober 2022, visar intäkter om 3 979 474,54 kronor och ett beräknat resultat om 987 257,69 kronor. Materialet visar att verksamheten hade verklig omsättning och ett positivt resultat före den anmälda publiceringen.</w:t>
      </w:r>
    </w:p>
    <w:p>
      <w:r>
        <w:rPr>
          <w:rFonts w:ascii="Calibri" w:hAnsi="Calibri"/>
        </w:rPr>
        <w:t>Den tio sidor långa värderingen, daterad och digitalt skapad den 18 januari 2024, anger ett värdeintervall om 39,6–48,4 miljoner kronor, ett medelvärde om 44 miljoner kronor och en nuvärdesindikation om 52,4 miljoner kronor för eRocket. Den använder nuvärdesberäkning och jämförelser med svenska kapitalresningar inom SaaS, AI och media. Värderingen togs fram mer än tre månader före konkurserna den 23 april 2024 och utgör därför ett tidsnära förkonkursunderlag, inte en efterhandsuppskattning skapad för denna process.</w:t>
      </w:r>
    </w:p>
    <w:p>
      <w:r>
        <w:rPr>
          <w:rFonts w:ascii="Calibri" w:hAnsi="Calibri"/>
        </w:rPr>
        <w:t>Värderingen är ett viktigt indiciestöd för satsningens ekonomiska storlek och för att yrkandet om 48 miljoner kronor ligger inom ett dokumenterat värdeintervall. Dess oberoende och underliggande antaganden ska styrkas genom uppdragsunderlag, förhör med värderaren och kompletterande sakkunnig orsaksanalys.</w:t>
      </w:r>
    </w:p>
    <w:p>
      <w:r>
        <w:rPr>
          <w:rFonts w:ascii="Calibri" w:hAnsi="Calibri"/>
        </w:rPr>
        <w:t>Konkursbouppteckningarna efter konkurserna den 23 april 2024 visar att eRocket-rättigheternas fördelning var oklar och att tillgången inte kunde värderas. Detta visar den slutliga värdeförstöringen men innebär också att rätt kärande måste fastställas före ett fullt ekonomiskt yrkande.</w:t>
      </w:r>
    </w:p>
    <w:p>
      <w:pPr>
        <w:pStyle w:val="Heading1"/>
      </w:pPr>
      <w:r>
        <w:rPr>
          <w:rFonts w:ascii="Calibri" w:hAnsi="Calibri"/>
        </w:rPr>
        <w:t>17. Konkurrens- och oberoendespåret</w:t>
      </w:r>
    </w:p>
    <w:p>
      <w:r>
        <w:rPr>
          <w:rFonts w:ascii="Calibri" w:hAnsi="Calibri"/>
        </w:rPr>
        <w:t>Gota Media bedrev eller bedriver verksamhet inom digital marknadsföring, hemsidor, SEO och Google-marknadsföring. Den kommersiella överlappningen bevisar inte i sig otillbörlig redaktionell påverkan.</w:t>
      </w:r>
    </w:p>
    <w:p>
      <w:r>
        <w:rPr>
          <w:rFonts w:ascii="Calibri" w:hAnsi="Calibri"/>
        </w:rPr>
        <w:t xml:space="preserve">Den 28 juni 2023 lämnade kontot </w:t>
      </w:r>
      <w:r>
        <w:rPr>
          <w:rFonts w:ascii="Consolas" w:hAnsi="Consolas"/>
          <w:color w:val="1F4D78"/>
          <w:sz w:val="19"/>
        </w:rPr>
        <w:t>Eric Oscar T</w:t>
      </w:r>
      <w:r>
        <w:rPr>
          <w:rFonts w:ascii="Calibri" w:hAnsi="Calibri"/>
        </w:rPr>
        <w:t xml:space="preserve"> ett enstjärnigt omdöme på Nordic Digitalizations Reco-sida. Omdömet beskrev ingen egen kundrelation utan uppmanade läsaren att läsa Borås Tidnings granskning och länkade till två artiklar. En samtida LinkedIn-skärmdump identifierar Eric Thulin som redaktionell utvecklingschef på Gota Media.</w:t>
      </w:r>
    </w:p>
    <w:p>
      <w:r>
        <w:rPr>
          <w:rFonts w:ascii="Calibri" w:hAnsi="Calibri"/>
        </w:rPr>
        <w:t>Händelsen åberopas som konkret bevisning om fortsatt spridning, skadeförstärkning och ett legitimt utredningsspår om redaktionellt oberoende. Den åberopas inte ensam som bevis för att den ursprungliga artikelserien var samordnad av kommersiella intressen.</w:t>
      </w:r>
    </w:p>
    <w:p>
      <w:pPr>
        <w:pStyle w:val="Heading1"/>
      </w:pPr>
      <w:r>
        <w:rPr>
          <w:rFonts w:ascii="Calibri" w:hAnsi="Calibri"/>
        </w:rPr>
        <w:t>18. Begärd edition och inhämtning</w:t>
      </w:r>
    </w:p>
    <w:p>
      <w:r>
        <w:rPr>
          <w:rFonts w:ascii="Calibri" w:hAnsi="Calibri"/>
        </w:rPr>
        <w:t>William begär att domstolen, efter motpartens yttrande, förelägger innehavaren att ge in följande i den utsträckning materialet inte omfattas av grundlagsskyddat källskydd:</w:t>
      </w:r>
    </w:p>
    <w:p>
      <w:pPr>
        <w:numPr>
          <w:ilvl w:val="0"/>
          <w:numId w:val="12"/>
        </w:numPr>
        <w:spacing w:after="160" w:line="280" w:lineRule="auto"/>
        <w:ind w:left="720" w:hanging="360"/>
      </w:pPr>
      <w:r>
        <w:rPr>
          <w:rFonts w:ascii="Calibri" w:hAnsi="Calibri"/>
        </w:rPr>
        <w:t>Fullständig kopia av den aktuella BT.se-publiceringen med rubrik, ingress, brödtext, bilder, bildtexter, byline och publiceringsdatum.</w:t>
      </w:r>
    </w:p>
    <w:p>
      <w:pPr>
        <w:numPr>
          <w:ilvl w:val="0"/>
          <w:numId w:val="12"/>
        </w:numPr>
        <w:spacing w:after="160" w:line="280" w:lineRule="auto"/>
        <w:ind w:left="720" w:hanging="360"/>
      </w:pPr>
      <w:r>
        <w:rPr>
          <w:rFonts w:ascii="Calibri" w:hAnsi="Calibri"/>
        </w:rPr>
        <w:t>Publicerings- och ändringshistorik som visar när innehållet först publicerades, ändrades och slutade tillhandahållas.</w:t>
      </w:r>
    </w:p>
    <w:p>
      <w:pPr>
        <w:numPr>
          <w:ilvl w:val="0"/>
          <w:numId w:val="12"/>
        </w:numPr>
        <w:spacing w:after="160" w:line="280" w:lineRule="auto"/>
        <w:ind w:left="720" w:hanging="360"/>
      </w:pPr>
      <w:r>
        <w:rPr>
          <w:rFonts w:ascii="Calibri" w:hAnsi="Calibri"/>
        </w:rPr>
        <w:t>Officiell uppgift om ansvarig utgivare för BT.se vid samtliga relevanta tidpunkter.</w:t>
      </w:r>
    </w:p>
    <w:p>
      <w:pPr>
        <w:numPr>
          <w:ilvl w:val="0"/>
          <w:numId w:val="12"/>
        </w:numPr>
        <w:spacing w:after="160" w:line="280" w:lineRule="auto"/>
        <w:ind w:left="720" w:hanging="360"/>
      </w:pPr>
      <w:r>
        <w:rPr>
          <w:rFonts w:ascii="Calibri" w:hAnsi="Calibri"/>
        </w:rPr>
        <w:t>Tillgänglig statistik över publiceringens räckvidd och sidvisningar.</w:t>
      </w:r>
    </w:p>
    <w:p>
      <w:pPr>
        <w:numPr>
          <w:ilvl w:val="0"/>
          <w:numId w:val="12"/>
        </w:numPr>
        <w:spacing w:after="160" w:line="280" w:lineRule="auto"/>
        <w:ind w:left="720" w:hanging="360"/>
      </w:pPr>
      <w:r>
        <w:rPr>
          <w:rFonts w:ascii="Calibri" w:hAnsi="Calibri"/>
        </w:rPr>
        <w:t>Uppgift om den juridiska person som bedrev BT.se vid publiceringen.</w:t>
      </w:r>
    </w:p>
    <w:p>
      <w:r>
        <w:rPr>
          <w:rFonts w:ascii="Calibri" w:hAnsi="Calibri"/>
        </w:rPr>
        <w:t>Begäran avser inte identiteten på skyddade källor.</w:t>
      </w:r>
    </w:p>
    <w:p>
      <w:pPr>
        <w:pStyle w:val="Heading1"/>
      </w:pPr>
      <w:r>
        <w:rPr>
          <w:rFonts w:ascii="Calibri" w:hAnsi="Calibri"/>
        </w:rPr>
        <w:t>19. Bevisning</w:t>
      </w:r>
    </w:p>
    <w:p>
      <w:r>
        <w:rPr>
          <w:rFonts w:ascii="Calibri" w:hAnsi="Calibri"/>
        </w:rPr>
        <w:t xml:space="preserve">William åberopar den separata handlingen </w:t>
      </w:r>
      <w:r>
        <w:rPr>
          <w:rFonts w:ascii="Calibri" w:hAnsi="Calibri"/>
          <w:b/>
        </w:rPr>
        <w:t>Formell bevisuppgift – advokatversion</w:t>
      </w:r>
      <w:r>
        <w:rPr>
          <w:rFonts w:ascii="Calibri" w:hAnsi="Calibri"/>
        </w:rPr>
        <w:t>.</w:t>
      </w:r>
    </w:p>
    <w:p>
      <w:pPr>
        <w:pStyle w:val="Heading1"/>
      </w:pPr>
      <w:r>
        <w:rPr>
          <w:rFonts w:ascii="Calibri" w:hAnsi="Calibri"/>
        </w:rPr>
        <w:t>20. Processuella upplysningar</w:t>
      </w:r>
    </w:p>
    <w:p>
      <w:r>
        <w:rPr>
          <w:rFonts w:ascii="Calibri" w:hAnsi="Calibri"/>
        </w:rPr>
        <w:t>Justitiekanslern beslutade den 10 juni 2026 i ärende 2026/5101 att inte inleda förundersökning. JK tog inte ställning till om förtalsbrott begåtts och klargjorde att beslutet inte påverkade Williams möjlighet att själv väcka enskilt åtal.</w:t>
      </w:r>
    </w:p>
    <w:p>
      <w:r>
        <w:rPr>
          <w:rFonts w:ascii="Calibri" w:hAnsi="Calibri"/>
        </w:rPr>
        <w:t>Ansökan ska delges den rätteligen ansvarige inom tillämplig preskriptionstid. Den exakta preskriptionsfristen och betydelsen av databaspubliceringens tillhandahållande ska fastställas före ingivande.</w:t>
      </w:r>
    </w:p>
    <w:p>
      <w:r>
        <w:rPr>
          <w:rFonts w:ascii="Calibri" w:hAnsi="Calibri"/>
        </w:rPr>
        <w:t>För den ursprungliga publiceringen den 19 november 2022 måste särskilt kontrolleras om åtalspreskriptionen för grovt förtal innebär att stämning måste delges preliminärt senast den 19 november 2027. Betydelsen av Williams underrättelser den 19–20 november 2022 och 6 kap. 6 och 7 §§ yttrandefrihetsgrundlagen ska bedömas mot exakt publicerings-, ändrings- och borttagningstid.</w:t>
      </w:r>
    </w:p>
    <w:p>
      <w:pPr>
        <w:pStyle w:val="Heading1"/>
      </w:pPr>
      <w:r>
        <w:rPr>
          <w:rFonts w:ascii="Calibri" w:hAnsi="Calibri"/>
        </w:rPr>
        <w:t>21. Bilagor vid ingivande</w:t>
      </w:r>
    </w:p>
    <w:p>
      <w:pPr>
        <w:numPr>
          <w:ilvl w:val="0"/>
          <w:numId w:val="13"/>
        </w:numPr>
        <w:spacing w:after="160" w:line="280" w:lineRule="auto"/>
        <w:ind w:left="720" w:hanging="360"/>
      </w:pPr>
      <w:r>
        <w:rPr>
          <w:rFonts w:ascii="Calibri" w:hAnsi="Calibri"/>
        </w:rPr>
        <w:t>Fullständig och verifierad kopia av den aktuella BT.se-publiceringen.</w:t>
      </w:r>
    </w:p>
    <w:p>
      <w:pPr>
        <w:numPr>
          <w:ilvl w:val="0"/>
          <w:numId w:val="13"/>
        </w:numPr>
        <w:spacing w:after="160" w:line="280" w:lineRule="auto"/>
        <w:ind w:left="720" w:hanging="360"/>
      </w:pPr>
      <w:r>
        <w:rPr>
          <w:rFonts w:ascii="Calibri" w:hAnsi="Calibri"/>
        </w:rPr>
        <w:t>Officiellt intyg om ansvarig utgivare.</w:t>
      </w:r>
    </w:p>
    <w:p>
      <w:pPr>
        <w:numPr>
          <w:ilvl w:val="0"/>
          <w:numId w:val="13"/>
        </w:numPr>
        <w:spacing w:after="160" w:line="280" w:lineRule="auto"/>
        <w:ind w:left="720" w:hanging="360"/>
      </w:pPr>
      <w:r>
        <w:rPr>
          <w:rFonts w:ascii="Calibri" w:hAnsi="Calibri"/>
        </w:rPr>
        <w:t>Dokumentation om publicerings-, ändrings- och borttagningstid.</w:t>
      </w:r>
    </w:p>
    <w:p>
      <w:pPr>
        <w:numPr>
          <w:ilvl w:val="0"/>
          <w:numId w:val="13"/>
        </w:numPr>
        <w:spacing w:after="160" w:line="280" w:lineRule="auto"/>
        <w:ind w:left="720" w:hanging="360"/>
      </w:pPr>
      <w:r>
        <w:rPr>
          <w:rFonts w:ascii="Calibri" w:hAnsi="Calibri"/>
        </w:rPr>
        <w:t>Formell bevisuppgift med slutlig bilagenumrering.</w:t>
      </w:r>
    </w:p>
    <w:p>
      <w:pPr>
        <w:numPr>
          <w:ilvl w:val="0"/>
          <w:numId w:val="13"/>
        </w:numPr>
        <w:spacing w:after="160" w:line="280" w:lineRule="auto"/>
        <w:ind w:left="720" w:hanging="360"/>
      </w:pPr>
      <w:r>
        <w:rPr>
          <w:rFonts w:ascii="Calibri" w:hAnsi="Calibri"/>
        </w:rPr>
        <w:t>Rättelsemejl och underrättelser den 19–20 november 2022.</w:t>
      </w:r>
    </w:p>
    <w:p>
      <w:pPr>
        <w:numPr>
          <w:ilvl w:val="0"/>
          <w:numId w:val="13"/>
        </w:numPr>
        <w:spacing w:after="160" w:line="280" w:lineRule="auto"/>
        <w:ind w:left="720" w:hanging="360"/>
      </w:pPr>
      <w:r>
        <w:rPr>
          <w:rFonts w:ascii="Calibri" w:hAnsi="Calibri"/>
        </w:rPr>
        <w:t>Oklippt originalljud och tidskodat utdragsprotokoll.</w:t>
      </w:r>
    </w:p>
    <w:p>
      <w:pPr>
        <w:numPr>
          <w:ilvl w:val="0"/>
          <w:numId w:val="13"/>
        </w:numPr>
        <w:spacing w:after="160" w:line="280" w:lineRule="auto"/>
        <w:ind w:left="720" w:hanging="360"/>
      </w:pPr>
      <w:r>
        <w:rPr>
          <w:rFonts w:ascii="Calibri" w:hAnsi="Calibri"/>
        </w:rPr>
        <w:t>Utvald objektiv motbevisning om avtal, prestation och extern säljaktör.</w:t>
      </w:r>
    </w:p>
    <w:p>
      <w:pPr>
        <w:numPr>
          <w:ilvl w:val="0"/>
          <w:numId w:val="13"/>
        </w:numPr>
        <w:spacing w:after="160" w:line="280" w:lineRule="auto"/>
        <w:ind w:left="720" w:hanging="360"/>
      </w:pPr>
      <w:r>
        <w:rPr>
          <w:rFonts w:ascii="Calibri" w:hAnsi="Calibri"/>
        </w:rPr>
        <w:t>Skadebevisning och ekonomisk sammanställning.</w:t>
      </w:r>
    </w:p>
    <w:p>
      <w:pPr>
        <w:numPr>
          <w:ilvl w:val="0"/>
          <w:numId w:val="13"/>
        </w:numPr>
        <w:spacing w:after="160" w:line="280" w:lineRule="auto"/>
        <w:ind w:left="720" w:hanging="360"/>
      </w:pPr>
      <w:r>
        <w:rPr>
          <w:rFonts w:ascii="Calibri" w:hAnsi="Calibri"/>
        </w:rPr>
        <w:t>Justitiekanslerns beslut den 10 juni 2026.</w:t>
      </w:r>
    </w:p>
    <w:p>
      <w:r>
        <w:rPr>
          <w:rFonts w:ascii="Calibri" w:hAnsi="Calibri"/>
        </w:rPr>
        <w:t xml:space="preserve">Fritsla den </w:t>
      </w:r>
      <w:r>
        <w:rPr>
          <w:rFonts w:ascii="Consolas" w:hAnsi="Consolas"/>
          <w:color w:val="1F4D78"/>
          <w:sz w:val="19"/>
        </w:rPr>
        <w:t>[DATUM FÖR INGIVANDE]</w:t>
      </w:r>
    </w:p>
    <w:p>
      <w:r>
        <w:rPr>
          <w:rFonts w:ascii="Calibri" w:hAnsi="Calibri"/>
        </w:rPr>
        <w:t>William Vladimir Rydh</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06971"/>
        <w:sz w:val="17"/>
      </w:rPr>
      <w:t xml:space="preserve">STAMNINGSANSOKAN_ENSKILT_ATAL_SKADESTAND_ADVOKATVERSION  |  Sida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06971"/>
        <w:sz w:val="17"/>
      </w:rPr>
      <w:t>JURIDISKT ARBETSMATERIAL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abstractNum w:abstractNumId="12">
    <w:multiLevelType w:val="singleLevel"/>
    <w:lvl w:ilvl="0">
      <w:start w:val="1"/>
      <w:numFmt w:val="decimal"/>
      <w:lvlText w:val="%1."/>
      <w:suff w:val="tab"/>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basedOn w:val="Normal"/>
    <w:pPr>
      <w:spacing w:before="80" w:after="160"/>
      <w:ind w:left="461" w:right="288"/>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STÄMNINGSANSÖKAN – ENSKILT ÅTAL OCH SKADESTÅND</dc:title>
  <dc:subject>Juridiskt arbetsmaterial</dc:subject>
  <dc:creator>William Rydh</dc:creator>
  <cp:keywords/>
  <dc:description>Skapat från tidskodat och juridiskt arbetsmaterial.</dc:description>
  <cp:lastModifiedBy/>
  <cp:revision>1</cp:revision>
  <dcterms:created xsi:type="dcterms:W3CDTF">2013-12-23T23:15:00Z</dcterms:created>
  <dcterms:modified xsi:type="dcterms:W3CDTF">2013-12-23T23:15:00Z</dcterms:modified>
  <cp:category/>
</cp:coreProperties>
</file>