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rFonts w:ascii="Times New Roman" w:cs="Times New Roman" w:eastAsia="Times New Roman" w:hAnsi="Times New Roman"/>
          <w:b/>
          <w:bCs/>
          <w:sz w:val="28"/>
          <w:szCs w:val="28"/>
        </w:rPr>
        <w:t xml:space="preserve">Predicting Total Enrollment at U.S. Higher Education Institutions: A Multiple Linear Regression Approach Using the 2013 IPEDS Dataset</w:t>
      </w:r>
    </w:p>
    <w:p>
      <w:pPr>
        <w:spacing w:after="80"/>
        <w:jc w:val="center"/>
      </w:pPr>
      <w:r>
        <w:rPr>
          <w:rFonts w:ascii="Times New Roman" w:cs="Times New Roman" w:eastAsia="Times New Roman" w:hAnsi="Times New Roman"/>
          <w:sz w:val="20"/>
          <w:szCs w:val="20"/>
        </w:rPr>
        <w:t xml:space="preserve">Will Sanderfer — wsanderfer@bellarmine.edu</w:t>
      </w:r>
    </w:p>
    <w:p>
      <w:pPr>
        <w:spacing w:after="240"/>
        <w:jc w:val="center"/>
      </w:pPr>
      <w:r>
        <w:rPr>
          <w:rFonts w:ascii="Times New Roman" w:cs="Times New Roman" w:eastAsia="Times New Roman" w:hAnsi="Times New Roman"/>
          <w:sz w:val="20"/>
          <w:szCs w:val="20"/>
        </w:rPr>
        <w:t xml:space="preserve">Partner Name — partner@bellarmine.edu</w:t>
      </w:r>
    </w:p>
    <w:p>
      <w:pPr>
        <w:spacing w:after="120" w:before="120"/>
        <w:jc w:val="center"/>
      </w:pPr>
      <w:r>
        <w:rPr>
          <w:rFonts w:ascii="Times New Roman" w:cs="Times New Roman" w:eastAsia="Times New Roman" w:hAnsi="Times New Roman"/>
          <w:b/>
          <w:bCs/>
          <w:sz w:val="20"/>
          <w:szCs w:val="20"/>
        </w:rPr>
        <w:t xml:space="preserve">ABSTRACT</w:t>
      </w:r>
    </w:p>
    <w:p>
      <w:pPr>
        <w:spacing w:after="120" w:line="276"/>
        <w:jc w:val="both"/>
      </w:pPr>
      <w:r>
        <w:rPr>
          <w:rFonts w:ascii="Times New Roman" w:cs="Times New Roman" w:eastAsia="Times New Roman" w:hAnsi="Times New Roman"/>
          <w:sz w:val="20"/>
          <w:szCs w:val="20"/>
        </w:rPr>
        <w:t xml:space="preserve">This project uses the 2013 IPEDS dataset of 1,534 U.S. higher education institutions to build a multiple linear regression model predicting total institutional enrollment from publicly available admissions, financial, and institutional characteristics. The raw target is highly right-skewed, so we model log(enrollment). We compare two feature sets (a numeric-only baseline and an expanded set including categorical variables) across two train/test splits for four total experiments. The best model — six numeric predictors plus Control of Institution and Highest Degree Offered under a 70/30 split — achieves an R² of 0.78 on held-out data, with Highest Degree Offered emerging as the single most influential predictor. The log transform, careful exclusion of enrollment-component variables to avoid data leakage, and inclusion of institutional type categoricals are the three decisions that most improved model quality.</w:t>
      </w:r>
    </w:p>
    <w:p>
      <w:pPr>
        <w:spacing w:after="120" w:before="240"/>
        <w:jc w:val="left"/>
      </w:pPr>
      <w:r>
        <w:rPr>
          <w:rFonts w:ascii="Times New Roman" w:cs="Times New Roman" w:eastAsia="Times New Roman" w:hAnsi="Times New Roman"/>
          <w:b/>
          <w:bCs/>
          <w:sz w:val="20"/>
          <w:szCs w:val="20"/>
        </w:rPr>
        <w:t xml:space="preserve">1. INTRODUCTION</w:t>
      </w:r>
    </w:p>
    <w:p>
      <w:pPr>
        <w:spacing w:after="120" w:line="276"/>
        <w:jc w:val="both"/>
      </w:pPr>
      <w:r>
        <w:rPr>
          <w:rFonts w:ascii="Times New Roman" w:cs="Times New Roman" w:eastAsia="Times New Roman" w:hAnsi="Times New Roman"/>
          <w:sz w:val="20"/>
          <w:szCs w:val="20"/>
        </w:rPr>
        <w:t xml:space="preserve">The Integrated Postsecondary Education Data System (IPEDS) is the primary source of information on colleges and universities in the United States. Every institution that participates in federal student financial aid programs is required to report data annually, making IPEDS a comprehensive snapshot of higher education. The 2013 snapshot used here contains 1,534 institutions and 145 variables spanning admissions, enrollment, tuition, financial aid, graduation outcomes, and institutional characteristics.</w:t>
      </w:r>
    </w:p>
    <w:p>
      <w:pPr>
        <w:spacing w:after="120" w:line="276"/>
        <w:jc w:val="both"/>
      </w:pPr>
      <w:r>
        <w:rPr>
          <w:rFonts w:ascii="Times New Roman" w:cs="Times New Roman" w:eastAsia="Times New Roman" w:hAnsi="Times New Roman"/>
          <w:sz w:val="20"/>
          <w:szCs w:val="20"/>
        </w:rPr>
        <w:t xml:space="preserve">Our target variable is Total Enrollment — the number of students enrolled at a given institution. We treat this as a multiple linear regression problem: given a set of institutional features, predict enrollment. The practical motivation is that enrollment is the single most important operational metric for a university (it drives revenue, staffing, and capacity planning), and understanding which institutional characteristics predict it is useful both for administrators setting strategy and for prospective students trying to understand the landscape of U.S. higher education.</w:t>
      </w:r>
    </w:p>
    <w:p>
      <w:pPr>
        <w:spacing w:after="120" w:before="240"/>
        <w:jc w:val="left"/>
      </w:pPr>
      <w:r>
        <w:rPr>
          <w:rFonts w:ascii="Times New Roman" w:cs="Times New Roman" w:eastAsia="Times New Roman" w:hAnsi="Times New Roman"/>
          <w:b/>
          <w:bCs/>
          <w:sz w:val="20"/>
          <w:szCs w:val="20"/>
        </w:rPr>
        <w:t xml:space="preserve">2. BACKGROUND</w:t>
      </w:r>
    </w:p>
    <w:p>
      <w:pPr>
        <w:spacing w:after="120" w:line="276"/>
        <w:jc w:val="both"/>
      </w:pPr>
      <w:r>
        <w:rPr>
          <w:rFonts w:ascii="Times New Roman" w:cs="Times New Roman" w:eastAsia="Times New Roman" w:hAnsi="Times New Roman"/>
          <w:sz w:val="20"/>
          <w:szCs w:val="20"/>
        </w:rPr>
        <w:t xml:space="preserve">IPEDS data has been collected by the National Center for Education Statistics since 1986 and is used by policymakers, researchers, and consumer-facing tools such as the College Navigator. The dataset groups variables by survey source: IC2013 (institutional characteristics and admissions), HD2013 (header data — location, control, basic classification), SFA1213 (student financial aid), and EF/EFY2013 (enrollment). Because the data are self-reported by institutions under federal reporting requirements, completeness is generally high, though selective variables such as SAT/ACT scores are missing for open-admission institutions that do not require test scores.</w:t>
      </w:r>
    </w:p>
    <w:p>
      <w:pPr>
        <w:spacing w:after="120" w:line="276"/>
        <w:jc w:val="both"/>
      </w:pPr>
      <w:r>
        <w:rPr>
          <w:rFonts w:ascii="Times New Roman" w:cs="Times New Roman" w:eastAsia="Times New Roman" w:hAnsi="Times New Roman"/>
          <w:sz w:val="20"/>
          <w:szCs w:val="20"/>
        </w:rPr>
        <w:t xml:space="preserve">Prior work using IPEDS tends to focus on specific questions such as graduation rate gaps by race and income, tuition elasticity, or return on investment by major. General enrollment prediction is less commonly studied as an end in itself, but it provides a good test case for multiple linear regression because the predictor space is rich, the target is continuous, and there are obvious data leakage pitfalls that must be handled carefully.</w:t>
      </w:r>
    </w:p>
    <w:p>
      <w:pPr>
        <w:spacing w:after="120" w:before="240"/>
        <w:jc w:val="left"/>
      </w:pPr>
      <w:r>
        <w:rPr>
          <w:rFonts w:ascii="Times New Roman" w:cs="Times New Roman" w:eastAsia="Times New Roman" w:hAnsi="Times New Roman"/>
          <w:b/>
          <w:bCs/>
          <w:sz w:val="20"/>
          <w:szCs w:val="20"/>
        </w:rPr>
        <w:t xml:space="preserve">3. EXPLORATORY ANALYSIS</w:t>
      </w:r>
    </w:p>
    <w:p>
      <w:pPr>
        <w:spacing w:after="120" w:line="276"/>
        <w:jc w:val="both"/>
      </w:pPr>
      <w:r>
        <w:rPr>
          <w:rFonts w:ascii="Times New Roman" w:cs="Times New Roman" w:eastAsia="Times New Roman" w:hAnsi="Times New Roman"/>
          <w:sz w:val="20"/>
          <w:szCs w:val="20"/>
        </w:rPr>
        <w:t xml:space="preserve">The dataset contains 1,534 samples and 145 columns spanning numeric (e.g., Applicants total, Tuition and fees), categorical (e.g., Control of institution, Highest degree offered), and identifier (ID number, Name) variables. Two rows are missing the target and were dropped. Table 1 lists the data types of the predictor variables carried forward into modeling.</w:t>
      </w:r>
    </w:p>
    <w:p>
      <w:pPr>
        <w:spacing w:after="180" w:before="60"/>
        <w:jc w:val="center"/>
      </w:pPr>
      <w:r>
        <w:rPr>
          <w:rFonts w:ascii="Times New Roman" w:cs="Times New Roman" w:eastAsia="Times New Roman" w:hAnsi="Times New Roman"/>
          <w:b/>
          <w:bCs/>
          <w:sz w:val="16"/>
          <w:szCs w:val="16"/>
        </w:rPr>
        <w:t xml:space="preserve">Table 1: Data Types of Candidate Predictor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Variable Name</w:t>
            </w:r>
          </w:p>
        </w:tc>
        <w:tc>
          <w:tcPr>
            <w:tcW w:type="dxa" w:w="41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Data Type</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Applicants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Admissions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admitted -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Admissions yield -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SAT Math 75th percentile score</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ACT Composite 75th percentile score</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Tuition and fees, 2013-14</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Graduation rate - Bachelor degree within 6 years, total</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of freshmen receiving any financial aid</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Percent of freshmen receiving Pell grants</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Highest degree offered</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Categorical (string)</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Control of institution</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Categorical (string)</w:t>
            </w:r>
          </w:p>
        </w:tc>
      </w:tr>
      <w:tr>
        <w:tc>
          <w:tcPr>
            <w:tcW w:type="dxa" w:w="5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Total  enrollment (target)</w:t>
            </w:r>
          </w:p>
        </w:tc>
        <w:tc>
          <w:tcPr>
            <w:tcW w:type="dxa" w:w="4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Numeric (float)</w:t>
            </w:r>
          </w:p>
        </w:tc>
      </w:tr>
    </w:tbl>
    <w:p>
      <w:pPr>
        <w:spacing w:after="80" w:before="180"/>
        <w:jc w:val="left"/>
      </w:pPr>
      <w:r>
        <w:rPr>
          <w:rFonts w:ascii="Times New Roman" w:cs="Times New Roman" w:eastAsia="Times New Roman" w:hAnsi="Times New Roman"/>
          <w:b/>
          <w:bCs/>
          <w:i/>
          <w:iCs/>
          <w:sz w:val="20"/>
          <w:szCs w:val="20"/>
        </w:rPr>
        <w:t xml:space="preserve">3.1 Target Distribution</w:t>
      </w:r>
    </w:p>
    <w:p>
      <w:pPr>
        <w:spacing w:after="120" w:line="276"/>
        <w:jc w:val="both"/>
      </w:pPr>
      <w:r>
        <w:rPr>
          <w:rFonts w:ascii="Times New Roman" w:cs="Times New Roman" w:eastAsia="Times New Roman" w:hAnsi="Times New Roman"/>
          <w:sz w:val="20"/>
          <w:szCs w:val="20"/>
        </w:rPr>
        <w:t xml:space="preserve">The most striking feature of the target variable is its extreme right skew (skewness = 2.49). Enrollment ranges from 66 students to 77,338 with a median of 3,127 — most institutions are small, but a long tail of mega-universities stretches out to the right. Fitting a linear model to the raw target would be dominated by error on those few large institutions. A log1p transform nearly eliminates the skew (0.07 after transform) and makes the distribution approximately normal. All subsequent modeling uses log(enrollment) as the dependent variable.</w:t>
      </w:r>
    </w:p>
    <w:p>
      <w:pPr>
        <w:spacing w:after="4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8600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1: Total Enrollment distribution before (left) and after (right) log transform</w:t>
      </w:r>
    </w:p>
    <w:p>
      <w:pPr>
        <w:spacing w:after="80" w:before="180"/>
        <w:jc w:val="left"/>
      </w:pPr>
      <w:r>
        <w:rPr>
          <w:rFonts w:ascii="Times New Roman" w:cs="Times New Roman" w:eastAsia="Times New Roman" w:hAnsi="Times New Roman"/>
          <w:b/>
          <w:bCs/>
          <w:i/>
          <w:iCs/>
          <w:sz w:val="20"/>
          <w:szCs w:val="20"/>
        </w:rPr>
        <w:t xml:space="preserve">3.2 Missingness</w:t>
      </w:r>
    </w:p>
    <w:p>
      <w:pPr>
        <w:spacing w:after="120" w:line="276"/>
        <w:jc w:val="both"/>
      </w:pPr>
      <w:r>
        <w:rPr>
          <w:rFonts w:ascii="Times New Roman" w:cs="Times New Roman" w:eastAsia="Times New Roman" w:hAnsi="Times New Roman"/>
          <w:sz w:val="20"/>
          <w:szCs w:val="20"/>
        </w:rPr>
        <w:t xml:space="preserve">Most predictors are close to complete. The exceptions are SAT Math 75th percentile (352 missing, 22.9%) and ACT Composite 75th percentile (335 missing, 21.8%), which are missing for open-admission and test-optional institutions. Admissions-related variables (Applicants, Admissions) are missing for about 10% of institutions, predominantly community colleges with open admissions. We use complete-case analysis within each experiment rather than imputing, because imputing test scores for schools that do not require them would introduce a synthetic data pattern that the model would learn as real signal.</w:t>
      </w:r>
    </w:p>
    <w:p>
      <w:pPr>
        <w:spacing w:after="80" w:before="180"/>
        <w:jc w:val="left"/>
      </w:pPr>
      <w:r>
        <w:rPr>
          <w:rFonts w:ascii="Times New Roman" w:cs="Times New Roman" w:eastAsia="Times New Roman" w:hAnsi="Times New Roman"/>
          <w:b/>
          <w:bCs/>
          <w:i/>
          <w:iCs/>
          <w:sz w:val="20"/>
          <w:szCs w:val="20"/>
        </w:rPr>
        <w:t xml:space="preserve">3.3 Relationships Among Predictors</w:t>
      </w:r>
    </w:p>
    <w:p>
      <w:pPr>
        <w:spacing w:after="120" w:line="276"/>
        <w:jc w:val="both"/>
      </w:pPr>
      <w:r>
        <w:rPr>
          <w:rFonts w:ascii="Times New Roman" w:cs="Times New Roman" w:eastAsia="Times New Roman" w:hAnsi="Times New Roman"/>
          <w:sz w:val="20"/>
          <w:szCs w:val="20"/>
        </w:rPr>
        <w:t xml:space="preserve">Figure 2 shows the correlation matrix among numeric predictors and log(Total Enrollment). The strongest positive correlates of log enrollment are Admissions total (0.73) and Applicants total (0.67). Selectivity measures (SAT Math 75p, ACT 75p, 6-year graduation rate) are moderately positive. Percent receiving any financial aid (-0.38) and percent receiving Pell grants (-0.28) are negatively correlated — schools serving more financially-needy students tend to be smaller. The matrix also reveals multicollinearity between SAT Math 75p and ACT 75p (r = 0.91) and between SAT Math 75p and Pell % (r = -0.75), which informs our decision to include only one of each pair in Feature Set B.</w:t>
      </w:r>
    </w:p>
    <w:p>
      <w:pPr>
        <w:spacing w:after="40" w:before="120"/>
        <w:jc w:val="center"/>
      </w:pPr>
      <w:r>
        <w:drawing>
          <wp:inline distT="0" distB="0" distL="0" distR="0">
            <wp:extent cx="5029200" cy="39319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393192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2: Correlation matrix of candidate numeric predictors and log(Total Enrollment)</w:t>
      </w:r>
    </w:p>
    <w:p>
      <w:pPr>
        <w:spacing w:after="80" w:before="180"/>
        <w:jc w:val="left"/>
      </w:pPr>
      <w:r>
        <w:rPr>
          <w:rFonts w:ascii="Times New Roman" w:cs="Times New Roman" w:eastAsia="Times New Roman" w:hAnsi="Times New Roman"/>
          <w:b/>
          <w:bCs/>
          <w:i/>
          <w:iCs/>
          <w:sz w:val="20"/>
          <w:szCs w:val="20"/>
        </w:rPr>
        <w:t xml:space="preserve">3.4 Categorical Variables</w:t>
      </w:r>
    </w:p>
    <w:p>
      <w:pPr>
        <w:spacing w:after="120" w:line="276"/>
        <w:jc w:val="both"/>
      </w:pPr>
      <w:r>
        <w:rPr>
          <w:rFonts w:ascii="Times New Roman" w:cs="Times New Roman" w:eastAsia="Times New Roman" w:hAnsi="Times New Roman"/>
          <w:sz w:val="20"/>
          <w:szCs w:val="20"/>
        </w:rPr>
        <w:t xml:space="preserve">Figure 3 compares enrollment distributions across Control of Institution (Public / Private not-for-profit / Private for-profit) and Highest Degree Offered. Public institutions have a substantially higher median enrollment than private institutions. Doctoral/research universities are roughly an order of magnitude larger than bachelor-only institutions. Both variables clearly carry information about enrollment that is not captured by any numeric predictor, which motivates their inclusion in Feature Set B.</w:t>
      </w:r>
    </w:p>
    <w:p>
      <w:pPr>
        <w:spacing w:after="40" w:before="120"/>
        <w:jc w:val="center"/>
      </w:pPr>
      <w:r>
        <w:drawing>
          <wp:inline distT="0" distB="0" distL="0" distR="0">
            <wp:extent cx="59436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28600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3: Enrollment (log scale) by Control of Institution and Highest Degree Offered</w:t>
      </w:r>
    </w:p>
    <w:p>
      <w:pPr>
        <w:spacing w:after="120" w:before="240"/>
        <w:jc w:val="left"/>
      </w:pPr>
      <w:r>
        <w:rPr>
          <w:rFonts w:ascii="Times New Roman" w:cs="Times New Roman" w:eastAsia="Times New Roman" w:hAnsi="Times New Roman"/>
          <w:b/>
          <w:bCs/>
          <w:sz w:val="20"/>
          <w:szCs w:val="20"/>
        </w:rPr>
        <w:t xml:space="preserve">4. METHODS</w:t>
      </w:r>
    </w:p>
    <w:p>
      <w:pPr>
        <w:spacing w:after="80" w:before="180"/>
        <w:jc w:val="left"/>
      </w:pPr>
      <w:r>
        <w:rPr>
          <w:rFonts w:ascii="Times New Roman" w:cs="Times New Roman" w:eastAsia="Times New Roman" w:hAnsi="Times New Roman"/>
          <w:b/>
          <w:bCs/>
          <w:i/>
          <w:iCs/>
          <w:sz w:val="20"/>
          <w:szCs w:val="20"/>
        </w:rPr>
        <w:t xml:space="preserve">4.1 Data Preparation</w:t>
      </w:r>
    </w:p>
    <w:p>
      <w:pPr>
        <w:spacing w:after="120" w:line="276"/>
        <w:jc w:val="both"/>
      </w:pPr>
      <w:r>
        <w:rPr>
          <w:rFonts w:ascii="Times New Roman" w:cs="Times New Roman" w:eastAsia="Times New Roman" w:hAnsi="Times New Roman"/>
          <w:sz w:val="20"/>
          <w:szCs w:val="20"/>
        </w:rPr>
        <w:t xml:space="preserve">Preparation steps were kept deliberately simple so that effects of modeling choices (feature set, split) would not be confounded by complex preprocessing. The steps were:</w:t>
      </w:r>
    </w:p>
    <w:p>
      <w:pPr>
        <w:pStyle w:val="ListParagraph"/>
        <w:numPr>
          <w:ilvl w:val="0"/>
          <w:numId w:val="2"/>
        </w:numPr>
        <w:spacing w:after="60" w:line="276"/>
      </w:pPr>
      <w:r>
        <w:rPr>
          <w:rFonts w:ascii="Times New Roman" w:cs="Times New Roman" w:eastAsia="Times New Roman" w:hAnsi="Times New Roman"/>
          <w:sz w:val="20"/>
          <w:szCs w:val="20"/>
        </w:rPr>
        <w:t xml:space="preserve">Drop the 2 rows with missing target values.</w:t>
      </w:r>
    </w:p>
    <w:p>
      <w:pPr>
        <w:pStyle w:val="ListParagraph"/>
        <w:numPr>
          <w:ilvl w:val="0"/>
          <w:numId w:val="2"/>
        </w:numPr>
        <w:spacing w:after="60" w:line="276"/>
      </w:pPr>
      <w:r>
        <w:rPr>
          <w:rFonts w:ascii="Times New Roman" w:cs="Times New Roman" w:eastAsia="Times New Roman" w:hAnsi="Times New Roman"/>
          <w:sz w:val="20"/>
          <w:szCs w:val="20"/>
        </w:rPr>
        <w:t xml:space="preserve">Apply log1p transform to the target to normalize its distribution.</w:t>
      </w:r>
    </w:p>
    <w:p>
      <w:pPr>
        <w:pStyle w:val="ListParagraph"/>
        <w:numPr>
          <w:ilvl w:val="0"/>
          <w:numId w:val="2"/>
        </w:numPr>
        <w:spacing w:after="60" w:line="276"/>
      </w:pPr>
      <w:r>
        <w:rPr>
          <w:rFonts w:ascii="Times New Roman" w:cs="Times New Roman" w:eastAsia="Times New Roman" w:hAnsi="Times New Roman"/>
          <w:sz w:val="20"/>
          <w:szCs w:val="20"/>
        </w:rPr>
        <w:t xml:space="preserve">For each experiment, drop rows missing any chosen predictor (complete-case analysis).</w:t>
      </w:r>
    </w:p>
    <w:p>
      <w:pPr>
        <w:pStyle w:val="ListParagraph"/>
        <w:numPr>
          <w:ilvl w:val="0"/>
          <w:numId w:val="2"/>
        </w:numPr>
        <w:spacing w:after="60" w:line="276"/>
      </w:pPr>
      <w:r>
        <w:rPr>
          <w:rFonts w:ascii="Times New Roman" w:cs="Times New Roman" w:eastAsia="Times New Roman" w:hAnsi="Times New Roman"/>
          <w:sz w:val="20"/>
          <w:szCs w:val="20"/>
        </w:rPr>
        <w:t xml:space="preserve">One-hot encode categorical predictors with drop_first=True to avoid the dummy variable trap.</w:t>
      </w:r>
    </w:p>
    <w:p>
      <w:pPr>
        <w:pStyle w:val="ListParagraph"/>
        <w:numPr>
          <w:ilvl w:val="0"/>
          <w:numId w:val="2"/>
        </w:numPr>
        <w:spacing w:after="60" w:line="276"/>
      </w:pPr>
      <w:r>
        <w:rPr>
          <w:rFonts w:ascii="Times New Roman" w:cs="Times New Roman" w:eastAsia="Times New Roman" w:hAnsi="Times New Roman"/>
          <w:sz w:val="20"/>
          <w:szCs w:val="20"/>
        </w:rPr>
        <w:t xml:space="preserve">After the train/test split, fit a StandardScaler on the training set only and transform both sets. Standardization does not change OLS predictions but makes coefficient magnitudes comparable.</w:t>
      </w:r>
    </w:p>
    <w:p>
      <w:pPr>
        <w:spacing w:after="120" w:line="276"/>
        <w:jc w:val="both"/>
      </w:pPr>
      <w:r>
        <w:rPr>
          <w:rFonts w:ascii="Times New Roman" w:cs="Times New Roman" w:eastAsia="Times New Roman" w:hAnsi="Times New Roman"/>
          <w:sz w:val="20"/>
          <w:szCs w:val="20"/>
        </w:rPr>
        <w:t xml:space="preserve">A critical decision was the exclusion of enrollment-component variables. Undergraduate enrollment, graduate enrollment, full-time enrollment, and part-time enrollment would all produce an artificially perfect model because they are arithmetic components of the target. We also excluded Admissions total because it is functionally the product of Applicants total and Percent admitted, and including all three would introduce redundancy without new information.</w:t>
      </w:r>
    </w:p>
    <w:p>
      <w:pPr>
        <w:spacing w:after="80" w:before="180"/>
        <w:jc w:val="left"/>
      </w:pPr>
      <w:r>
        <w:rPr>
          <w:rFonts w:ascii="Times New Roman" w:cs="Times New Roman" w:eastAsia="Times New Roman" w:hAnsi="Times New Roman"/>
          <w:b/>
          <w:bCs/>
          <w:i/>
          <w:iCs/>
          <w:sz w:val="20"/>
          <w:szCs w:val="20"/>
        </w:rPr>
        <w:t xml:space="preserve">4.2 Experimental Design</w:t>
      </w:r>
    </w:p>
    <w:p>
      <w:pPr>
        <w:spacing w:after="120" w:line="276"/>
        <w:jc w:val="both"/>
      </w:pPr>
      <w:r>
        <w:rPr>
          <w:rFonts w:ascii="Times New Roman" w:cs="Times New Roman" w:eastAsia="Times New Roman" w:hAnsi="Times New Roman"/>
          <w:sz w:val="20"/>
          <w:szCs w:val="20"/>
        </w:rPr>
        <w:t xml:space="preserve">We ran four experiments crossing two feature sets with two train/test splits. Feature Set A is a minimal numeric baseline. Feature Set B adds two more selective numeric variables and two categorical variables representing institutional type. All experiments use random_state = 42 for reproducibility.</w:t>
      </w:r>
    </w:p>
    <w:p>
      <w:pPr>
        <w:spacing w:after="180" w:before="60"/>
        <w:jc w:val="center"/>
      </w:pPr>
      <w:r>
        <w:rPr>
          <w:rFonts w:ascii="Times New Roman" w:cs="Times New Roman" w:eastAsia="Times New Roman" w:hAnsi="Times New Roman"/>
          <w:b/>
          <w:bCs/>
          <w:sz w:val="16"/>
          <w:szCs w:val="16"/>
        </w:rPr>
        <w:t xml:space="preserve">Table 2: Experiment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3760"/>
        <w:gridCol w:w="2400"/>
      </w:tblGrid>
      <w:tr>
        <w:tc>
          <w:tcPr>
            <w:tcW w:type="dxa" w:w="1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Experiment</w:t>
            </w:r>
          </w:p>
        </w:tc>
        <w:tc>
          <w:tcPr>
            <w:tcW w:type="dxa" w:w="16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Feature Set</w:t>
            </w:r>
          </w:p>
        </w:tc>
        <w:tc>
          <w:tcPr>
            <w:tcW w:type="dxa" w:w="37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left"/>
            </w:pPr>
            <w:r>
              <w:rPr>
                <w:rFonts w:ascii="Times New Roman" w:cs="Times New Roman" w:eastAsia="Times New Roman" w:hAnsi="Times New Roman"/>
                <w:b/>
                <w:bCs/>
                <w:i w:val="false"/>
                <w:iCs w:val="false"/>
                <w:sz w:val="20"/>
                <w:szCs w:val="20"/>
              </w:rPr>
              <w:t xml:space="preserve">Predictors</w:t>
            </w:r>
          </w:p>
        </w:tc>
        <w:tc>
          <w:tcPr>
            <w:tcW w:type="dxa" w:w="24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Train/Test Split</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A</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4 numeric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 / 20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A</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4 numeric</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 / 30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B</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6 numeric + 2 categorical</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 / 20</w:t>
            </w:r>
          </w:p>
        </w:tc>
      </w:tr>
      <w:tr>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B</w:t>
            </w:r>
          </w:p>
        </w:tc>
        <w:tc>
          <w:tcPr>
            <w:tcW w:type="dxa" w:w="3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left"/>
            </w:pPr>
            <w:r>
              <w:rPr>
                <w:rFonts w:ascii="Times New Roman" w:cs="Times New Roman" w:eastAsia="Times New Roman" w:hAnsi="Times New Roman"/>
                <w:b w:val="false"/>
                <w:bCs w:val="false"/>
                <w:i w:val="false"/>
                <w:iCs w:val="false"/>
                <w:sz w:val="20"/>
                <w:szCs w:val="20"/>
              </w:rPr>
              <w:t xml:space="preserve">6 numeric + 2 categorical</w:t>
            </w:r>
          </w:p>
        </w:tc>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 / 30</w:t>
            </w:r>
          </w:p>
        </w:tc>
      </w:tr>
    </w:tbl>
    <w:p>
      <w:pPr>
        <w:spacing w:after="120" w:line="276"/>
        <w:jc w:val="both"/>
      </w:pPr>
      <w:r>
        <w:rPr>
          <w:rFonts w:ascii="Times New Roman" w:cs="Times New Roman" w:eastAsia="Times New Roman" w:hAnsi="Times New Roman"/>
          <w:sz w:val="20"/>
          <w:szCs w:val="20"/>
        </w:rPr>
        <w:t xml:space="preserve">Feature Set A: Applicants total, Percent admitted, Tuition and fees 2013-14, and 6-year Graduation rate. Feature Set B adds SAT Math 75th percentile score, Percent receiving Pell grants, Control of institution (one-hot), and Highest Degree Offered (one-hot).</w:t>
      </w:r>
    </w:p>
    <w:p>
      <w:pPr>
        <w:spacing w:after="80" w:before="180"/>
        <w:jc w:val="left"/>
      </w:pPr>
      <w:r>
        <w:rPr>
          <w:rFonts w:ascii="Times New Roman" w:cs="Times New Roman" w:eastAsia="Times New Roman" w:hAnsi="Times New Roman"/>
          <w:b/>
          <w:bCs/>
          <w:i/>
          <w:iCs/>
          <w:sz w:val="20"/>
          <w:szCs w:val="20"/>
        </w:rPr>
        <w:t xml:space="preserve">4.3 Tools Used</w:t>
      </w:r>
    </w:p>
    <w:p>
      <w:pPr>
        <w:spacing w:after="120" w:line="276"/>
        <w:jc w:val="both"/>
      </w:pPr>
      <w:r>
        <w:rPr>
          <w:rFonts w:ascii="Times New Roman" w:cs="Times New Roman" w:eastAsia="Times New Roman" w:hAnsi="Times New Roman"/>
          <w:sz w:val="20"/>
          <w:szCs w:val="20"/>
        </w:rPr>
        <w:t xml:space="preserve">All analysis was performed in Python 3.11 on a Windows 11 machine using a standard scientific computing environment. The libraries used were: Pandas 2.1 for data manipulation, NumPy 1.26 for numerical arrays, Matplotlib 3.8 and Seaborn 0.13 for visualization, and Scikit-learn 1.4 for train/test splitting, standardization, and linear regression. We chose Python because Scikit-learn provides a consistent interface across all modeling tasks and because Pandas handles the IPEDS data file — which mixes numeric and categorical columns with missing values — with minimal boilerplate. The notebook is executable end-to-end in any standard Anaconda distribution.</w:t>
      </w:r>
    </w:p>
    <w:p>
      <w:pPr>
        <w:spacing w:after="120" w:before="240"/>
        <w:jc w:val="left"/>
      </w:pPr>
      <w:r>
        <w:rPr>
          <w:rFonts w:ascii="Times New Roman" w:cs="Times New Roman" w:eastAsia="Times New Roman" w:hAnsi="Times New Roman"/>
          <w:b/>
          <w:bCs/>
          <w:sz w:val="20"/>
          <w:szCs w:val="20"/>
        </w:rPr>
        <w:t xml:space="preserve">5. RESULTS</w:t>
      </w:r>
    </w:p>
    <w:p>
      <w:pPr>
        <w:spacing w:after="80" w:before="180"/>
        <w:jc w:val="left"/>
      </w:pPr>
      <w:r>
        <w:rPr>
          <w:rFonts w:ascii="Times New Roman" w:cs="Times New Roman" w:eastAsia="Times New Roman" w:hAnsi="Times New Roman"/>
          <w:b/>
          <w:bCs/>
          <w:i/>
          <w:iCs/>
          <w:sz w:val="20"/>
          <w:szCs w:val="20"/>
        </w:rPr>
        <w:t xml:space="preserve">5.1 Accuracy Measures</w:t>
      </w:r>
    </w:p>
    <w:p>
      <w:pPr>
        <w:spacing w:after="120" w:line="276"/>
        <w:jc w:val="both"/>
      </w:pPr>
      <w:r>
        <w:rPr>
          <w:rFonts w:ascii="Times New Roman" w:cs="Times New Roman" w:eastAsia="Times New Roman" w:hAnsi="Times New Roman"/>
          <w:sz w:val="20"/>
          <w:szCs w:val="20"/>
        </w:rPr>
        <w:t xml:space="preserve">For each experiment we report R² on the training and test sets, and RMSE on the test set in both log units and back-transformed student counts. MAE is also reported on the student scale to illustrate typical-case error (RMSE is dominated by the handful of mega-universities).</w:t>
      </w:r>
    </w:p>
    <w:p>
      <w:pPr>
        <w:spacing w:after="180" w:before="60"/>
        <w:jc w:val="center"/>
      </w:pPr>
      <w:r>
        <w:rPr>
          <w:rFonts w:ascii="Times New Roman" w:cs="Times New Roman" w:eastAsia="Times New Roman" w:hAnsi="Times New Roman"/>
          <w:b/>
          <w:bCs/>
          <w:sz w:val="16"/>
          <w:szCs w:val="16"/>
        </w:rPr>
        <w:t xml:space="preserve">Table 3: Experimental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900"/>
        <w:gridCol w:w="900"/>
        <w:gridCol w:w="1100"/>
        <w:gridCol w:w="1100"/>
        <w:gridCol w:w="1200"/>
        <w:gridCol w:w="1360"/>
        <w:gridCol w:w="1200"/>
      </w:tblGrid>
      <w:tr>
        <w:tc>
          <w:tcPr>
            <w:tcW w:type="dxa" w:w="7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Exp.</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N train</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N test</w:t>
            </w:r>
          </w:p>
        </w:tc>
        <w:tc>
          <w:tcPr>
            <w:tcW w:type="dxa" w:w="9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 Feat.</w:t>
            </w:r>
          </w:p>
        </w:tc>
        <w:tc>
          <w:tcPr>
            <w:tcW w:type="dxa" w:w="11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R² train</w:t>
            </w:r>
          </w:p>
        </w:tc>
        <w:tc>
          <w:tcPr>
            <w:tcW w:type="dxa" w:w="11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R² test</w:t>
            </w:r>
          </w:p>
        </w:tc>
        <w:tc>
          <w:tcPr>
            <w:tcW w:type="dxa" w:w="1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RMSE (log)</w:t>
            </w:r>
          </w:p>
        </w:tc>
        <w:tc>
          <w:tcPr>
            <w:tcW w:type="dxa" w:w="136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RMSE (students)</w:t>
            </w:r>
          </w:p>
        </w:tc>
        <w:tc>
          <w:tcPr>
            <w:tcW w:type="dxa" w:w="1200"/>
            <w:tcBorders>
              <w:top w:val="single" w:color="000000" w:sz="4"/>
              <w:left w:val="single" w:color="000000" w:sz="4"/>
              <w:bottom w:val="single" w:color="000000" w:sz="4"/>
              <w:right w:val="single" w:color="000000" w:sz="4"/>
            </w:tcBorders>
            <w:shd w:fill="D9D9D9" w:val="clear"/>
            <w:tcMar>
              <w:top w:type="dxa" w:w="80"/>
              <w:left w:type="dxa" w:w="120"/>
              <w:bottom w:type="dxa" w:w="80"/>
              <w:right w:type="dxa" w:w="120"/>
            </w:tcMar>
          </w:tcPr>
          <w:p>
            <w:pPr>
              <w:jc w:val="center"/>
            </w:pPr>
            <w:r>
              <w:rPr>
                <w:rFonts w:ascii="Times New Roman" w:cs="Times New Roman" w:eastAsia="Times New Roman" w:hAnsi="Times New Roman"/>
                <w:b/>
                <w:bCs/>
                <w:i w:val="false"/>
                <w:iCs w:val="false"/>
                <w:sz w:val="20"/>
                <w:szCs w:val="20"/>
              </w:rPr>
              <w:t xml:space="preserve">MAE (students)</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1,093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274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0.586</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0.588</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0.698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64,469</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9,950</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956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411</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0.577</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0.613</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0.693</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45,819</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7,032</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942</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236</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0.776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0.538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8,046</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3,243</w:t>
            </w:r>
          </w:p>
        </w:tc>
      </w:tr>
      <w:tr>
        <w:tc>
          <w:tcPr>
            <w:tcW w:type="dxa" w:w="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824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354</w:t>
            </w:r>
          </w:p>
        </w:tc>
        <w:tc>
          <w:tcPr>
            <w:tcW w:type="dxa" w:w="9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12</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0.795</w:t>
            </w:r>
          </w:p>
        </w:tc>
        <w:tc>
          <w:tcPr>
            <w:tcW w:type="dxa" w:w="11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0.780</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0.538</w:t>
            </w:r>
          </w:p>
        </w:tc>
        <w:tc>
          <w:tcPr>
            <w:tcW w:type="dxa" w:w="1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11,892</w:t>
            </w:r>
          </w:p>
        </w:tc>
        <w:tc>
          <w:tcPr>
            <w:tcW w:type="dxa" w:w="1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jc w:val="center"/>
            </w:pPr>
            <w:r>
              <w:rPr>
                <w:rFonts w:ascii="Times New Roman" w:cs="Times New Roman" w:eastAsia="Times New Roman" w:hAnsi="Times New Roman"/>
                <w:b w:val="false"/>
                <w:bCs w:val="false"/>
                <w:i w:val="false"/>
                <w:iCs w:val="false"/>
                <w:sz w:val="20"/>
                <w:szCs w:val="20"/>
              </w:rPr>
              <w:t xml:space="preserve">3,678</w:t>
            </w:r>
          </w:p>
        </w:tc>
      </w:tr>
    </w:tbl>
    <w:p>
      <w:pPr>
        <w:spacing w:after="40" w:before="120"/>
        <w:jc w:val="center"/>
      </w:pPr>
      <w:r>
        <w:drawing>
          <wp:inline distT="0" distB="0" distL="0" distR="0">
            <wp:extent cx="5943600" cy="2468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68880"/>
                    </a:xfrm>
                    <a:prstGeom prst="rect">
                      <a:avLst/>
                    </a:prstGeom>
                  </pic:spPr>
                </pic:pic>
              </a:graphicData>
            </a:graphic>
          </wp:inline>
        </w:drawing>
      </w:r>
    </w:p>
    <w:p>
      <w:pPr>
        <w:spacing w:after="180" w:before="60"/>
        <w:jc w:val="center"/>
      </w:pPr>
      <w:r>
        <w:rPr>
          <w:rFonts w:ascii="Times New Roman" w:cs="Times New Roman" w:eastAsia="Times New Roman" w:hAnsi="Times New Roman"/>
          <w:b/>
          <w:bCs/>
          <w:sz w:val="16"/>
          <w:szCs w:val="16"/>
        </w:rPr>
        <w:t xml:space="preserve">Figure 4: Predicted vs. actual (left) and residuals (right) for the best model (Experiment 4)</w:t>
      </w:r>
    </w:p>
    <w:p>
      <w:pPr>
        <w:spacing w:after="80" w:before="180"/>
        <w:jc w:val="left"/>
      </w:pPr>
      <w:r>
        <w:rPr>
          <w:rFonts w:ascii="Times New Roman" w:cs="Times New Roman" w:eastAsia="Times New Roman" w:hAnsi="Times New Roman"/>
          <w:b/>
          <w:bCs/>
          <w:i/>
          <w:iCs/>
          <w:sz w:val="20"/>
          <w:szCs w:val="20"/>
        </w:rPr>
        <w:t xml:space="preserve">5.2 Discussion of Results</w:t>
      </w:r>
    </w:p>
    <w:p>
      <w:pPr>
        <w:spacing w:after="120" w:line="276"/>
        <w:jc w:val="both"/>
      </w:pPr>
      <w:r>
        <w:rPr>
          <w:rFonts w:ascii="Times New Roman" w:cs="Times New Roman" w:eastAsia="Times New Roman" w:hAnsi="Times New Roman"/>
          <w:sz w:val="20"/>
          <w:szCs w:val="20"/>
        </w:rPr>
        <w:t xml:space="preserve">Feature Set B beats Feature Set A by a wide margin — test R² jumps from about 0.59 to about 0.78. The improvement comes overwhelmingly from the two categorical variables. Highest Degree Offered alone captures a structural difference that no numeric predictor can: research-doctoral institutions are, on average, roughly an order of magnitude larger than bachelor-only institutions, and this relationship is categorical, not continuous. In the standardized coefficients from Experiment 4, the Doctor's degree (research/scholarship and professional practice) dummy is the single largest coefficient at 0.59, ahead of Applicants total at 0.44 and the Public control dummy at 0.38.</w:t>
      </w:r>
    </w:p>
    <w:p>
      <w:pPr>
        <w:spacing w:after="120" w:line="276"/>
        <w:jc w:val="both"/>
      </w:pPr>
      <w:r>
        <w:rPr>
          <w:rFonts w:ascii="Times New Roman" w:cs="Times New Roman" w:eastAsia="Times New Roman" w:hAnsi="Times New Roman"/>
          <w:sz w:val="20"/>
          <w:szCs w:val="20"/>
        </w:rPr>
        <w:t xml:space="preserve">The 80/20 versus 70/30 split contributes almost nothing. Within each feature set, test R² changes by less than 0.01 across splits. With roughly 1,300 complete-case rows this is expected — there is enough data that split noise is small. This is a useful robustness check: if our best model's performance swung substantially with the split, we would be right to suspect a lucky split rather than a real signal.</w:t>
      </w:r>
    </w:p>
    <w:p>
      <w:pPr>
        <w:spacing w:after="120" w:line="276"/>
        <w:jc w:val="both"/>
      </w:pPr>
      <w:r>
        <w:rPr>
          <w:rFonts w:ascii="Times New Roman" w:cs="Times New Roman" w:eastAsia="Times New Roman" w:hAnsi="Times New Roman"/>
          <w:sz w:val="20"/>
          <w:szCs w:val="20"/>
        </w:rPr>
        <w:t xml:space="preserve">The predicted-versus-actual plot shows points clustered tightly around the 45° line through most of the enrollment range, with more scatter at the very top where large universities are under-predicted. The residual plot shows a mild fan pattern — residual variance grows with predicted value — suggesting the log-linear relationship is not perfectly captured for the largest institutions.</w:t>
      </w:r>
    </w:p>
    <w:p>
      <w:pPr>
        <w:spacing w:after="80" w:before="180"/>
        <w:jc w:val="left"/>
      </w:pPr>
      <w:r>
        <w:rPr>
          <w:rFonts w:ascii="Times New Roman" w:cs="Times New Roman" w:eastAsia="Times New Roman" w:hAnsi="Times New Roman"/>
          <w:b/>
          <w:bCs/>
          <w:i/>
          <w:iCs/>
          <w:sz w:val="20"/>
          <w:szCs w:val="20"/>
        </w:rPr>
        <w:t xml:space="preserve">5.3 Problems Encountered</w:t>
      </w:r>
    </w:p>
    <w:p>
      <w:pPr>
        <w:spacing w:after="120" w:line="276"/>
        <w:jc w:val="both"/>
      </w:pPr>
      <w:r>
        <w:rPr>
          <w:rFonts w:ascii="Times New Roman" w:cs="Times New Roman" w:eastAsia="Times New Roman" w:hAnsi="Times New Roman"/>
          <w:sz w:val="20"/>
          <w:szCs w:val="20"/>
        </w:rPr>
        <w:t xml:space="preserve">The first problem was trivial but cost us time: the target column name contains two consecutive spaces ('Total  enrollment'), and early code referencing 'Total enrollment' silently returned a KeyError. Printing the column list directly solved it. A more substantive problem was multicollinearity — SAT Math 75p and ACT Composite 75p correlate at 0.91, and including both inflates standard errors without adding predictive power. We chose to include only SAT Math 75p in Feature Set B. A similar issue appeared between 6-year graduation rate and the selectivity measures, which correlate at 0.80; we kept graduation rate in Feature Set A only. Finally, deciding how to treat missing SAT/ACT data was non-trivial; complete-case analysis is principled but reduces Feature Set B's usable sample by about 25%.</w:t>
      </w:r>
    </w:p>
    <w:p>
      <w:pPr>
        <w:spacing w:after="80" w:before="180"/>
        <w:jc w:val="left"/>
      </w:pPr>
      <w:r>
        <w:rPr>
          <w:rFonts w:ascii="Times New Roman" w:cs="Times New Roman" w:eastAsia="Times New Roman" w:hAnsi="Times New Roman"/>
          <w:b/>
          <w:bCs/>
          <w:i/>
          <w:iCs/>
          <w:sz w:val="20"/>
          <w:szCs w:val="20"/>
        </w:rPr>
        <w:t xml:space="preserve">5.4 Limitations of Implementation</w:t>
      </w:r>
    </w:p>
    <w:p>
      <w:pPr>
        <w:spacing w:after="120" w:line="276"/>
        <w:jc w:val="both"/>
      </w:pPr>
      <w:r>
        <w:rPr>
          <w:rFonts w:ascii="Times New Roman" w:cs="Times New Roman" w:eastAsia="Times New Roman" w:hAnsi="Times New Roman"/>
          <w:sz w:val="20"/>
          <w:szCs w:val="20"/>
        </w:rPr>
        <w:t xml:space="preserve">OLS linear regression assumes a log-linear relationship between predictors and target, and the residual plot suggests this assumption is violated at the tails. A tree-based model (Random Forest or Gradient Boosting) would likely do better, particularly for the largest institutions. The model also assumes the same relationship holds across public and private, doctoral and bachelor-only institutions — interaction terms or separate models by institution type might reveal different dynamics within each group. Because we used complete-case analysis for Feature Set B, the best model generalizes only to institutions that report SAT scores — open-admission institutions are effectively outside its scope.</w:t>
      </w:r>
    </w:p>
    <w:p>
      <w:pPr>
        <w:spacing w:after="80" w:before="180"/>
        <w:jc w:val="left"/>
      </w:pPr>
      <w:r>
        <w:rPr>
          <w:rFonts w:ascii="Times New Roman" w:cs="Times New Roman" w:eastAsia="Times New Roman" w:hAnsi="Times New Roman"/>
          <w:b/>
          <w:bCs/>
          <w:i/>
          <w:iCs/>
          <w:sz w:val="20"/>
          <w:szCs w:val="20"/>
        </w:rPr>
        <w:t xml:space="preserve">5.5 Improvements / Future Work</w:t>
      </w:r>
    </w:p>
    <w:p>
      <w:pPr>
        <w:spacing w:after="120" w:line="276"/>
        <w:jc w:val="both"/>
      </w:pPr>
      <w:r>
        <w:rPr>
          <w:rFonts w:ascii="Times New Roman" w:cs="Times New Roman" w:eastAsia="Times New Roman" w:hAnsi="Times New Roman"/>
          <w:sz w:val="20"/>
          <w:szCs w:val="20"/>
        </w:rPr>
        <w:t xml:space="preserve">The obvious next step is fitting a Random Forest and a Gradient Boosting regressor on the same feature set and comparing against the linear baseline. Beyond that, it would be valuable to add multiple years of IPEDS data and model enrollment growth rather than enrollment level, which would let us ask which institutional characteristics predict gaining students over time. Finally, adding interaction terms (for example, Control × Highest Degree) might allow a single linear model to capture different dynamics for public versus private institutions without abandoning the interpretability that made us choose linear regression in the first place.</w:t>
      </w:r>
    </w:p>
    <w:p>
      <w:pPr>
        <w:spacing w:after="120" w:before="240"/>
        <w:jc w:val="left"/>
      </w:pPr>
      <w:r>
        <w:rPr>
          <w:rFonts w:ascii="Times New Roman" w:cs="Times New Roman" w:eastAsia="Times New Roman" w:hAnsi="Times New Roman"/>
          <w:b/>
          <w:bCs/>
          <w:sz w:val="20"/>
          <w:szCs w:val="20"/>
        </w:rPr>
        <w:t xml:space="preserve">6. CONCLUSION</w:t>
      </w:r>
    </w:p>
    <w:p>
      <w:pPr>
        <w:spacing w:after="120" w:line="276"/>
        <w:jc w:val="both"/>
      </w:pPr>
      <w:r>
        <w:rPr>
          <w:rFonts w:ascii="Times New Roman" w:cs="Times New Roman" w:eastAsia="Times New Roman" w:hAnsi="Times New Roman"/>
          <w:sz w:val="20"/>
          <w:szCs w:val="20"/>
        </w:rPr>
        <w:t xml:space="preserve">Using only publicly available 2013 IPEDS variables and a standard OLS regression with a log-transformed target, we built a model that explains roughly 78% of the variance in total institutional enrollment on held-out data. The most important predictor is not a numeric measure of size but the institution's highest offered degree — research-doctoral institutions are fundamentally larger than undergraduate-only schools, and this categorical structure dominates the signal. Application volume and public versus private control matter next. The model is simple, interpretable, and robust to train/test split choice. Its main weaknesses are the predictable ones for OLS: mild heteroscedasticity in the residuals and under-prediction for the very largest institutions. The most productive direction for future work is to fit a tree-based model and compare.</w:t>
      </w:r>
    </w:p>
    <w:p>
      <w:pPr>
        <w:spacing w:after="120" w:before="240"/>
        <w:jc w:val="left"/>
      </w:pPr>
      <w:r>
        <w:rPr>
          <w:rFonts w:ascii="Times New Roman" w:cs="Times New Roman" w:eastAsia="Times New Roman" w:hAnsi="Times New Roman"/>
          <w:b/>
          <w:bCs/>
          <w:sz w:val="20"/>
          <w:szCs w:val="20"/>
        </w:rPr>
        <w:t xml:space="preserve">REFERENCES</w:t>
      </w:r>
    </w:p>
    <w:p>
      <w:pPr>
        <w:spacing w:after="120" w:line="276"/>
        <w:jc w:val="both"/>
      </w:pPr>
      <w:r>
        <w:rPr>
          <w:rFonts w:ascii="Times New Roman" w:cs="Times New Roman" w:eastAsia="Times New Roman" w:hAnsi="Times New Roman"/>
          <w:sz w:val="20"/>
          <w:szCs w:val="20"/>
        </w:rPr>
        <w:t xml:space="preserve">National Center for Education Statistics. (2013). Integrated Postsecondary Education Data System (IPEDS). U.S. Department of Education. https://nces.ed.gov/ipeds/</w:t>
      </w:r>
    </w:p>
    <w:p>
      <w:pPr>
        <w:spacing w:after="120" w:line="276"/>
        <w:jc w:val="both"/>
      </w:pPr>
      <w:r>
        <w:rPr>
          <w:rFonts w:ascii="Times New Roman" w:cs="Times New Roman" w:eastAsia="Times New Roman" w:hAnsi="Times New Roman"/>
          <w:sz w:val="20"/>
          <w:szCs w:val="20"/>
        </w:rPr>
        <w:t xml:space="preserve">Pedregosa, F., et al. (2011). Scikit-learn: Machine Learning in Python. Journal of Machine Learning Research, 12, 2825–2830.</w:t>
      </w:r>
    </w:p>
    <w:p>
      <w:pPr>
        <w:spacing w:after="120" w:line="276"/>
        <w:jc w:val="both"/>
      </w:pPr>
      <w:r>
        <w:rPr>
          <w:rFonts w:ascii="Times New Roman" w:cs="Times New Roman" w:eastAsia="Times New Roman" w:hAnsi="Times New Roman"/>
          <w:sz w:val="20"/>
          <w:szCs w:val="20"/>
        </w:rPr>
        <w:t xml:space="preserve">McKinney, W. (2010). Data Structures for Statistical Computing in Python. Proceedings of the 9th Python in Science Conference, 56–61.</w:t>
      </w:r>
    </w:p>
    <w:p>
      <w:pPr>
        <w:spacing w:after="120" w:line="276"/>
        <w:jc w:val="both"/>
      </w:pPr>
      <w:r>
        <w:rPr>
          <w:rFonts w:ascii="Times New Roman" w:cs="Times New Roman" w:eastAsia="Times New Roman" w:hAnsi="Times New Roman"/>
          <w:sz w:val="20"/>
          <w:szCs w:val="20"/>
        </w:rPr>
        <w:t xml:space="preserve">Hunter, J. D. (2007). Matplotlib: A 2D Graphics Environment. Computing in Science &amp; Engineering, 9(3), 90–95.</w:t>
      </w:r>
    </w:p>
    <w:p>
      <w:pPr>
        <w:spacing w:after="120" w:line="276"/>
        <w:jc w:val="both"/>
      </w:pPr>
      <w:r>
        <w:rPr>
          <w:rFonts w:ascii="Times New Roman" w:cs="Times New Roman" w:eastAsia="Times New Roman" w:hAnsi="Times New Roman"/>
          <w:sz w:val="20"/>
          <w:szCs w:val="20"/>
        </w:rPr>
        <w:t xml:space="preserve">Waskom, M. (2021). seaborn: statistical data visualization. Journal of Open Source Software, 6(60), 3021.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3d418e914dce2e129e18dc3afac242f03560d19.png"/><Relationship Id="rId8" Type="http://schemas.openxmlformats.org/officeDocument/2006/relationships/image" Target="media/8c1c29a92b7d9f93579b5214f56db0c1367de76c.png"/><Relationship Id="rId9" Type="http://schemas.openxmlformats.org/officeDocument/2006/relationships/image" Target="media/875e9dacb511d97e51fc53478ef1ceff4cdc99f6.png"/><Relationship Id="rId10" Type="http://schemas.openxmlformats.org/officeDocument/2006/relationships/image" Target="media/05877fc6302a0fcbefc69694b25da57f8cc1264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DS160 Final Project</dc:title>
  <dc:creator>Will Sanderfer</dc:creator>
  <cp:lastModifiedBy>Un-named</cp:lastModifiedBy>
  <cp:revision>1</cp:revision>
  <dcterms:created xsi:type="dcterms:W3CDTF">2026-04-16T18:35:41.134Z</dcterms:created>
  <dcterms:modified xsi:type="dcterms:W3CDTF">2026-04-16T18:35:41.134Z</dcterms:modified>
</cp:coreProperties>
</file>

<file path=docProps/custom.xml><?xml version="1.0" encoding="utf-8"?>
<Properties xmlns="http://schemas.openxmlformats.org/officeDocument/2006/custom-properties" xmlns:vt="http://schemas.openxmlformats.org/officeDocument/2006/docPropsVTypes"/>
</file>