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ind w:firstLine="0"/>
        <w:jc w:val="center"/>
      </w:pPr>
      <w:r>
        <w:rPr>
          <w:rFonts w:ascii="Times New Roman" w:hAnsi="Times New Roman" w:cs="Times New Roman"/>
          <w:b w:val="0"/>
          <w:i w:val="0"/>
          <w:sz w:val="24"/>
        </w:rPr>
        <w:t>William Robert Schreiner Jr</w:t>
      </w:r>
    </w:p>
    <w:p>
      <w:pPr>
        <w:spacing w:before="0" w:after="0" w:line="480" w:lineRule="exact"/>
        <w:ind w:firstLine="0"/>
        <w:jc w:val="center"/>
      </w:pPr>
      <w:r>
        <w:rPr>
          <w:rFonts w:ascii="Times New Roman" w:hAnsi="Times New Roman" w:cs="Times New Roman"/>
          <w:b w:val="0"/>
          <w:i w:val="0"/>
          <w:sz w:val="24"/>
        </w:rPr>
        <w:t>Economics 104 — Principles of Macroeconomics</w:t>
      </w:r>
    </w:p>
    <w:p>
      <w:pPr>
        <w:spacing w:before="0" w:after="0" w:line="480" w:lineRule="exact"/>
        <w:ind w:firstLine="0"/>
        <w:jc w:val="center"/>
      </w:pPr>
      <w:r>
        <w:rPr>
          <w:rFonts w:ascii="Times New Roman" w:hAnsi="Times New Roman" w:cs="Times New Roman"/>
          <w:b w:val="0"/>
          <w:i w:val="0"/>
          <w:sz w:val="24"/>
        </w:rPr>
        <w:t>Youssuf Abdelatif</w:t>
      </w:r>
    </w:p>
    <w:p>
      <w:pPr>
        <w:spacing w:before="0" w:after="0" w:line="480" w:lineRule="exact"/>
        <w:ind w:firstLine="0"/>
        <w:jc w:val="center"/>
      </w:pPr>
      <w:r>
        <w:rPr>
          <w:rFonts w:ascii="Times New Roman" w:hAnsi="Times New Roman" w:cs="Times New Roman"/>
          <w:b w:val="0"/>
          <w:i w:val="0"/>
          <w:sz w:val="24"/>
        </w:rPr>
        <w:t>May 22, 2026</w:t>
      </w:r>
    </w:p>
    <w:p>
      <w:pPr>
        <w:spacing w:before="0" w:after="0" w:line="480" w:lineRule="exact"/>
        <w:ind w:firstLine="0"/>
        <w:jc w:val="center"/>
      </w:pPr>
      <w:r>
        <w:rPr>
          <w:rFonts w:ascii="Times New Roman" w:hAnsi="Times New Roman" w:cs="Times New Roman"/>
          <w:b/>
          <w:i w:val="0"/>
          <w:sz w:val="24"/>
        </w:rPr>
        <w:t>Japan Economic Analysis: An IMF Advisor Report</w:t>
      </w:r>
    </w:p>
    <w:p>
      <w:pPr>
        <w:spacing w:before="0" w:after="0" w:line="480" w:lineRule="exact"/>
        <w:ind w:firstLine="0"/>
        <w:jc w:val="left"/>
      </w:pPr>
      <w:r>
        <w:rPr>
          <w:rFonts w:ascii="Times New Roman" w:hAnsi="Times New Roman" w:cs="Times New Roman"/>
          <w:b/>
          <w:i w:val="0"/>
          <w:sz w:val="24"/>
        </w:rPr>
        <w:t>Introduction</w:t>
      </w:r>
    </w:p>
    <w:p>
      <w:pPr>
        <w:spacing w:before="0" w:after="0" w:line="480" w:lineRule="exact"/>
        <w:ind w:firstLine="720"/>
        <w:jc w:val="left"/>
      </w:pPr>
      <w:r>
        <w:rPr>
          <w:rFonts w:ascii="Times New Roman" w:hAnsi="Times New Roman" w:cs="Times New Roman"/>
          <w:b w:val="0"/>
          <w:i w:val="0"/>
          <w:sz w:val="24"/>
        </w:rPr>
        <w:t>Japan presents one of the most compelling macroeconomic case studies in the modern world. It is simultaneously an advanced, high-income economy with a GDP per capita of approximately $35,700 (IMF, 2026), one of the lowest unemployment rates globally at 2.5 percent, and a high Human Development Index score of 0.920 — and yet it faces a set of structural challenges that threaten its long-run trajectory. A shrinking population, the highest government debt-to-GDP ratio of any major advanced economy at roughly 255 percent, and slow GDP growth of just 0.6 percent in 2025 all demand careful policy attention. This report analyzes Japan's current macroeconomic position and provides both short-term and long-term policy recommendations from the perspective of IMF advisors.</w:t>
      </w:r>
    </w:p>
    <w:p>
      <w:pPr>
        <w:spacing w:before="0" w:after="0" w:line="480" w:lineRule="exact"/>
        <w:ind w:firstLine="0"/>
        <w:jc w:val="left"/>
      </w:pPr>
      <w:r>
        <w:rPr>
          <w:rFonts w:ascii="Times New Roman" w:hAnsi="Times New Roman" w:cs="Times New Roman"/>
          <w:b/>
          <w:i w:val="0"/>
          <w:sz w:val="24"/>
        </w:rPr>
        <w:t>Economic Output and Growth</w:t>
      </w:r>
    </w:p>
    <w:p>
      <w:pPr>
        <w:spacing w:before="0" w:after="0" w:line="480" w:lineRule="exact"/>
        <w:ind w:firstLine="720"/>
        <w:jc w:val="left"/>
      </w:pPr>
      <w:r>
        <w:rPr>
          <w:rFonts w:ascii="Times New Roman" w:hAnsi="Times New Roman" w:cs="Times New Roman"/>
          <w:b w:val="0"/>
          <w:i w:val="0"/>
          <w:sz w:val="24"/>
        </w:rPr>
        <w:t>Japan's real GDP per capita of $35,700 places it approximately 32nd globally, well above the world average of $15,680 but significantly below the United States at $94,430 (IMF, 2026). The gap reflects higher U.S. productivity, a larger and more flexible workforce, and a dominant services sector. Real GDP growth in Japan has decelerated sharply over recent decades; after the extraordinary Post-WWII Economic Miracle — during which GDP expanded at nearly 10 percent annually from 1945 to 1973 — growth has settled near zero to one percent in recent years. Japan's population is declining at approximately 0.5 percent per year due to low birth rates and minimal immigration, which directly constrains labor supply and long-run output potential.</w:t>
      </w:r>
    </w:p>
    <w:p>
      <w:pPr>
        <w:spacing w:before="0" w:after="0" w:line="480" w:lineRule="exact"/>
        <w:ind w:firstLine="720"/>
        <w:jc w:val="left"/>
      </w:pPr>
      <w:r>
        <w:rPr>
          <w:rFonts w:ascii="Times New Roman" w:hAnsi="Times New Roman" w:cs="Times New Roman"/>
          <w:b w:val="0"/>
          <w:i w:val="0"/>
          <w:sz w:val="24"/>
        </w:rPr>
        <w:t>Japan's main export sector is automotive manufacturing, contributing over $100 billion annually and reflecting a strong comparative advantage in capital-intensive precision production. Companies such as Toyota, Honda, and Nissan dominate global markets. This export structure is sustained by Japan's deep stock of industrial capital and its culture of kaizen, or continuous process improvement, which produces quality and cost-control advantages difficult for other nations to replicate.</w:t>
      </w:r>
    </w:p>
    <w:p>
      <w:pPr>
        <w:spacing w:before="0" w:after="0" w:line="480" w:lineRule="exact"/>
        <w:ind w:firstLine="0"/>
        <w:jc w:val="left"/>
      </w:pPr>
      <w:r>
        <w:rPr>
          <w:rFonts w:ascii="Times New Roman" w:hAnsi="Times New Roman" w:cs="Times New Roman"/>
          <w:b/>
          <w:i w:val="0"/>
          <w:sz w:val="24"/>
        </w:rPr>
        <w:t>Long-Run Growth: Capital, Institutions, and Human Capital</w:t>
      </w:r>
    </w:p>
    <w:p>
      <w:pPr>
        <w:spacing w:before="0" w:after="0" w:line="480" w:lineRule="exact"/>
        <w:ind w:firstLine="720"/>
        <w:jc w:val="left"/>
      </w:pPr>
      <w:r>
        <w:rPr>
          <w:rFonts w:ascii="Times New Roman" w:hAnsi="Times New Roman" w:cs="Times New Roman"/>
          <w:b w:val="0"/>
          <w:i w:val="0"/>
          <w:sz w:val="24"/>
        </w:rPr>
        <w:t>From a production function perspective, Japan's capital stock per worker is already large, placing it on the flat portion of the diminishing-returns curve. Additional physical capital investment would yield only marginal output gains; meaningful growth must come from upward shifts of the production function — that is, improvements in technology and total factor productivity. Japan's institutional quality is favorable for this: the country scores approximately 0.73 out of 1.0 on the Liberal Political Institutions Index (Our World in Data, 2024), reflecting a stable democracy, independent judiciary, and secure property rights that support innovation and investment.</w:t>
      </w:r>
    </w:p>
    <w:p>
      <w:pPr>
        <w:spacing w:before="0" w:after="0" w:line="480" w:lineRule="exact"/>
        <w:ind w:firstLine="720"/>
        <w:jc w:val="left"/>
      </w:pPr>
      <w:r>
        <w:rPr>
          <w:rFonts w:ascii="Times New Roman" w:hAnsi="Times New Roman" w:cs="Times New Roman"/>
          <w:b w:val="0"/>
          <w:i w:val="0"/>
          <w:sz w:val="24"/>
        </w:rPr>
        <w:t>Japan's human capital base is also strong. Its Human Development Index score of 0.920 ranks 24th globally (UNDP, 2023), driven by a life expectancy of approximately 84 years and an average of 13.4 years of schooling. This highly skilled workforce underpins Japan's strength in advanced manufacturing and technology. The challenge is demographic: as the workforce ages and shrinks, sustaining the human capital stock requires deliberate policy intervention.</w:t>
      </w:r>
    </w:p>
    <w:p>
      <w:pPr>
        <w:spacing w:before="0" w:after="0" w:line="480" w:lineRule="exact"/>
        <w:ind w:firstLine="0"/>
        <w:jc w:val="left"/>
      </w:pPr>
      <w:r>
        <w:rPr>
          <w:rFonts w:ascii="Times New Roman" w:hAnsi="Times New Roman" w:cs="Times New Roman"/>
          <w:b/>
          <w:i w:val="0"/>
          <w:sz w:val="24"/>
        </w:rPr>
        <w:t>Monetary Policy and Labor Markets</w:t>
      </w:r>
    </w:p>
    <w:p>
      <w:pPr>
        <w:spacing w:before="0" w:after="0" w:line="480" w:lineRule="exact"/>
        <w:ind w:firstLine="720"/>
        <w:jc w:val="left"/>
      </w:pPr>
      <w:r>
        <w:rPr>
          <w:rFonts w:ascii="Times New Roman" w:hAnsi="Times New Roman" w:cs="Times New Roman"/>
          <w:b w:val="0"/>
          <w:i w:val="0"/>
          <w:sz w:val="24"/>
        </w:rPr>
        <w:t>Japan's unemployment rate of 2.5 percent is well below the United States' estimated natural rate of 4 percent. This reflects Japan's lifetime employment culture, which sharply reduces both frictional unemployment — workers cycling between jobs — and structural unemployment. With the labor market running tight and inflation at 2.7 percent, slightly above the Bank of Japan's 2 percent target, monetary tightening is appropriate. The Bank of Japan moved decisively: it ended its negative interest rate policy in March 2024, raised rates to 0.25 percent in July 2024, and again to 0.5 percent in January 2025 — its first sustained rate-hiking cycle in decades (Bank of Japan, 2025). This response is consistent with the Federal Reserve's dual mandate logic: raise rates when inflation is above target and unemployment is at or below the natural rate.</w:t>
      </w:r>
    </w:p>
    <w:p>
      <w:pPr>
        <w:spacing w:before="0" w:after="0" w:line="480" w:lineRule="exact"/>
        <w:ind w:firstLine="0"/>
        <w:jc w:val="left"/>
      </w:pPr>
      <w:r>
        <w:rPr>
          <w:rFonts w:ascii="Times New Roman" w:hAnsi="Times New Roman" w:cs="Times New Roman"/>
          <w:b/>
          <w:i w:val="0"/>
          <w:sz w:val="24"/>
        </w:rPr>
        <w:t>Fiscal Policy and Government Debt</w:t>
      </w:r>
    </w:p>
    <w:p>
      <w:pPr>
        <w:spacing w:before="0" w:after="0" w:line="480" w:lineRule="exact"/>
        <w:ind w:firstLine="720"/>
        <w:jc w:val="left"/>
      </w:pPr>
      <w:r>
        <w:rPr>
          <w:rFonts w:ascii="Times New Roman" w:hAnsi="Times New Roman" w:cs="Times New Roman"/>
          <w:b w:val="0"/>
          <w:i w:val="0"/>
          <w:sz w:val="24"/>
        </w:rPr>
        <w:t>Japan's government expenditure represents approximately 38 to 40 percent of GDP, and the country runs budget deficits of roughly 5 to 6 percent annually (IMF, 2024). With the output gap near zero — the economy is operating close to its potential — counter-cyclical best practice calls for fiscal consolidation. Japan is not following this practice, partly because demographic pressures create unavoidable structural spending on pensions and healthcare. The resulting debt-to-GDP ratio of approximately 255 percent is the highest among major advanced economies. While roughly 90 percent of this debt is held domestically, limiting the risk of a foreign-driven crisis, the long-term trajectory is unsustainable without reform. A shrinking tax base and rising social security costs create a structural imbalance that will worsen without intervention.</w:t>
      </w:r>
    </w:p>
    <w:p>
      <w:pPr>
        <w:spacing w:before="0" w:after="0" w:line="480" w:lineRule="exact"/>
        <w:ind w:firstLine="0"/>
        <w:jc w:val="left"/>
      </w:pPr>
      <w:r>
        <w:rPr>
          <w:rFonts w:ascii="Times New Roman" w:hAnsi="Times New Roman" w:cs="Times New Roman"/>
          <w:b/>
          <w:i w:val="0"/>
          <w:sz w:val="24"/>
        </w:rPr>
        <w:t>Policy Recommendations</w:t>
      </w:r>
    </w:p>
    <w:p>
      <w:pPr>
        <w:spacing w:before="0" w:after="0" w:line="480" w:lineRule="exact"/>
        <w:ind w:firstLine="720"/>
        <w:jc w:val="left"/>
      </w:pPr>
      <w:r>
        <w:rPr>
          <w:rFonts w:ascii="Times New Roman" w:hAnsi="Times New Roman" w:cs="Times New Roman"/>
          <w:b w:val="0"/>
          <w:i w:val="0"/>
          <w:sz w:val="24"/>
        </w:rPr>
        <w:t>In the short term, the Bank of Japan should continue its gradual rate-normalization path to bring inflation back to the 2 percent target while monitoring employment closely. Simultaneously, the government should pursue modest fiscal consolidation — reducing discretionary spending and allowing automatic stabilizers to function — to begin stabilizing the debt-to-GDP ratio before it deteriorates further.</w:t>
      </w:r>
    </w:p>
    <w:p>
      <w:pPr>
        <w:spacing w:before="0" w:after="0" w:line="480" w:lineRule="exact"/>
        <w:ind w:firstLine="720"/>
        <w:jc w:val="left"/>
      </w:pPr>
      <w:r>
        <w:rPr>
          <w:rFonts w:ascii="Times New Roman" w:hAnsi="Times New Roman" w:cs="Times New Roman"/>
          <w:b w:val="0"/>
          <w:i w:val="0"/>
          <w:sz w:val="24"/>
        </w:rPr>
        <w:t>In the long term, Japan's most urgent priority is addressing demographic decline. Expanding immigration pathways for skilled workers would directly grow the labor supply and broaden the tax base. Structural labor market reforms — increasing flexibility, reducing the cultural dependence on lifetime employment, and expanding female workforce participation — would also raise potential output. To sustain growth on the production function's flat portion, Japan must invest heavily in R&amp;D, artificial intelligence, and automation to shift the production function upward through technology. Finally, pension and healthcare reform is essential to reduce the structural deficit and place the debt-to-GDP ratio on a downward path. Together, these measures would position Japan to maintain its status as a high-income, stable economy over the next generation.</w:t>
      </w:r>
    </w:p>
    <w:p>
      <w:pPr>
        <w:spacing w:before="0" w:after="0" w:line="480" w:lineRule="exact"/>
        <w:ind w:firstLine="0"/>
        <w:jc w:val="left"/>
      </w:pPr>
      <w:r>
        <w:rPr>
          <w:rFonts w:ascii="Times New Roman" w:hAnsi="Times New Roman" w:cs="Times New Roman"/>
          <w:b/>
          <w:i w:val="0"/>
          <w:sz w:val="24"/>
        </w:rPr>
        <w:t>References</w:t>
      </w:r>
    </w:p>
    <w:p>
      <w:pPr>
        <w:spacing w:before="0" w:after="0" w:line="480" w:lineRule="exact"/>
        <w:ind w:hanging="720" w:left="720"/>
        <w:jc w:val="left"/>
      </w:pPr>
      <w:r>
        <w:rPr>
          <w:rFonts w:ascii="Times New Roman" w:hAnsi="Times New Roman" w:cs="Times New Roman"/>
          <w:b w:val="0"/>
          <w:i w:val="0"/>
          <w:sz w:val="24"/>
        </w:rPr>
        <w:t xml:space="preserve">Bank of Japan. (2025). </w:t>
      </w:r>
      <w:r>
        <w:rPr>
          <w:rFonts w:ascii="Times New Roman" w:hAnsi="Times New Roman" w:cs="Times New Roman"/>
          <w:b w:val="0"/>
          <w:i/>
          <w:sz w:val="24"/>
        </w:rPr>
        <w:t>Monetary policy decisions — Interest rate announcements 2024–2025.</w:t>
      </w:r>
      <w:r>
        <w:rPr>
          <w:rFonts w:ascii="Times New Roman" w:hAnsi="Times New Roman" w:cs="Times New Roman"/>
          <w:b w:val="0"/>
          <w:i w:val="0"/>
          <w:sz w:val="24"/>
        </w:rPr>
        <w:t xml:space="preserve"> Bank of Japan. https://www.boj.or.jp/en/mopo/index.htm</w:t>
      </w:r>
    </w:p>
    <w:p>
      <w:pPr>
        <w:spacing w:before="0" w:after="0" w:line="480" w:lineRule="exact"/>
        <w:ind w:hanging="720" w:left="720"/>
        <w:jc w:val="left"/>
      </w:pPr>
      <w:r>
        <w:rPr>
          <w:rFonts w:ascii="Times New Roman" w:hAnsi="Times New Roman" w:cs="Times New Roman"/>
          <w:b w:val="0"/>
          <w:i w:val="0"/>
          <w:sz w:val="24"/>
        </w:rPr>
        <w:t xml:space="preserve">Congressional Budget Office. (2024). </w:t>
      </w:r>
      <w:r>
        <w:rPr>
          <w:rFonts w:ascii="Times New Roman" w:hAnsi="Times New Roman" w:cs="Times New Roman"/>
          <w:b w:val="0"/>
          <w:i/>
          <w:sz w:val="24"/>
        </w:rPr>
        <w:t>The budget and economic outlook: 2024 to 2034.</w:t>
      </w:r>
      <w:r>
        <w:rPr>
          <w:rFonts w:ascii="Times New Roman" w:hAnsi="Times New Roman" w:cs="Times New Roman"/>
          <w:b w:val="0"/>
          <w:i w:val="0"/>
          <w:sz w:val="24"/>
        </w:rPr>
        <w:t xml:space="preserve"> U.S. Congressional Budget Office. https://www.cbo.gov/publication/59946</w:t>
      </w:r>
    </w:p>
    <w:p>
      <w:pPr>
        <w:spacing w:before="0" w:after="0" w:line="480" w:lineRule="exact"/>
        <w:ind w:hanging="720" w:left="720"/>
        <w:jc w:val="left"/>
      </w:pPr>
      <w:r>
        <w:rPr>
          <w:rFonts w:ascii="Times New Roman" w:hAnsi="Times New Roman" w:cs="Times New Roman"/>
          <w:b w:val="0"/>
          <w:i w:val="0"/>
          <w:sz w:val="24"/>
        </w:rPr>
        <w:t xml:space="preserve">International Monetary Fund. (2026). </w:t>
      </w:r>
      <w:r>
        <w:rPr>
          <w:rFonts w:ascii="Times New Roman" w:hAnsi="Times New Roman" w:cs="Times New Roman"/>
          <w:b w:val="0"/>
          <w:i/>
          <w:sz w:val="24"/>
        </w:rPr>
        <w:t>World Economic Outlook DataMapper — GDP per capita, current prices.</w:t>
      </w:r>
      <w:r>
        <w:rPr>
          <w:rFonts w:ascii="Times New Roman" w:hAnsi="Times New Roman" w:cs="Times New Roman"/>
          <w:b w:val="0"/>
          <w:i w:val="0"/>
          <w:sz w:val="24"/>
        </w:rPr>
        <w:t xml:space="preserve"> IMF. https://www.imf.org/external/datamapper/NGDPDPC@WEO/OEMDC/ADVEC/WEOWORLD</w:t>
      </w:r>
    </w:p>
    <w:p>
      <w:pPr>
        <w:spacing w:before="0" w:after="0" w:line="480" w:lineRule="exact"/>
        <w:ind w:hanging="720" w:left="720"/>
        <w:jc w:val="left"/>
      </w:pPr>
      <w:r>
        <w:rPr>
          <w:rFonts w:ascii="Times New Roman" w:hAnsi="Times New Roman" w:cs="Times New Roman"/>
          <w:b w:val="0"/>
          <w:i w:val="0"/>
          <w:sz w:val="24"/>
        </w:rPr>
        <w:t xml:space="preserve">International Monetary Fund. (2024). </w:t>
      </w:r>
      <w:r>
        <w:rPr>
          <w:rFonts w:ascii="Times New Roman" w:hAnsi="Times New Roman" w:cs="Times New Roman"/>
          <w:b w:val="0"/>
          <w:i/>
          <w:sz w:val="24"/>
        </w:rPr>
        <w:t>World Economic Outlook Database — October 2024.</w:t>
      </w:r>
      <w:r>
        <w:rPr>
          <w:rFonts w:ascii="Times New Roman" w:hAnsi="Times New Roman" w:cs="Times New Roman"/>
          <w:b w:val="0"/>
          <w:i w:val="0"/>
          <w:sz w:val="24"/>
        </w:rPr>
        <w:t xml:space="preserve"> IMF. https://www.imf.org/en/Publications/WEO</w:t>
      </w:r>
    </w:p>
    <w:p>
      <w:pPr>
        <w:spacing w:before="0" w:after="0" w:line="480" w:lineRule="exact"/>
        <w:ind w:hanging="720" w:left="720"/>
        <w:jc w:val="left"/>
      </w:pPr>
      <w:r>
        <w:rPr>
          <w:rFonts w:ascii="Times New Roman" w:hAnsi="Times New Roman" w:cs="Times New Roman"/>
          <w:b w:val="0"/>
          <w:i w:val="0"/>
          <w:sz w:val="24"/>
        </w:rPr>
        <w:t xml:space="preserve">Our World in Data. (2024). </w:t>
      </w:r>
      <w:r>
        <w:rPr>
          <w:rFonts w:ascii="Times New Roman" w:hAnsi="Times New Roman" w:cs="Times New Roman"/>
          <w:b w:val="0"/>
          <w:i/>
          <w:sz w:val="24"/>
        </w:rPr>
        <w:t>Liberal political institutions index.</w:t>
      </w:r>
      <w:r>
        <w:rPr>
          <w:rFonts w:ascii="Times New Roman" w:hAnsi="Times New Roman" w:cs="Times New Roman"/>
          <w:b w:val="0"/>
          <w:i w:val="0"/>
          <w:sz w:val="24"/>
        </w:rPr>
        <w:t xml:space="preserve"> Global Change Data Lab. https://ourworldindata.org/grapher/liberal-political-institutions-index</w:t>
      </w:r>
    </w:p>
    <w:p>
      <w:pPr>
        <w:spacing w:before="0" w:after="0" w:line="480" w:lineRule="exact"/>
        <w:ind w:hanging="720" w:left="720"/>
        <w:jc w:val="left"/>
      </w:pPr>
      <w:r>
        <w:rPr>
          <w:rFonts w:ascii="Times New Roman" w:hAnsi="Times New Roman" w:cs="Times New Roman"/>
          <w:b w:val="0"/>
          <w:i w:val="0"/>
          <w:sz w:val="24"/>
        </w:rPr>
        <w:t xml:space="preserve">United Nations Development Programme. (2023). </w:t>
      </w:r>
      <w:r>
        <w:rPr>
          <w:rFonts w:ascii="Times New Roman" w:hAnsi="Times New Roman" w:cs="Times New Roman"/>
          <w:b w:val="0"/>
          <w:i/>
          <w:sz w:val="24"/>
        </w:rPr>
        <w:t>Human Development Report 2023/2024 — Japan.</w:t>
      </w:r>
      <w:r>
        <w:rPr>
          <w:rFonts w:ascii="Times New Roman" w:hAnsi="Times New Roman" w:cs="Times New Roman"/>
          <w:b w:val="0"/>
          <w:i w:val="0"/>
          <w:sz w:val="24"/>
        </w:rPr>
        <w:t xml:space="preserve"> UNDP. https://hdr.undp.org/data-center/specific-country-data#/countries/JPN</w:t>
      </w:r>
    </w:p>
    <w:p>
      <w:pPr>
        <w:spacing w:before="0" w:after="0" w:line="480" w:lineRule="exact"/>
        <w:ind w:hanging="720" w:left="720"/>
        <w:jc w:val="left"/>
      </w:pPr>
      <w:r>
        <w:rPr>
          <w:rFonts w:ascii="Times New Roman" w:hAnsi="Times New Roman" w:cs="Times New Roman"/>
          <w:b w:val="0"/>
          <w:i w:val="0"/>
          <w:sz w:val="24"/>
        </w:rPr>
        <w:t xml:space="preserve">The World Bank. (2024). </w:t>
      </w:r>
      <w:r>
        <w:rPr>
          <w:rFonts w:ascii="Times New Roman" w:hAnsi="Times New Roman" w:cs="Times New Roman"/>
          <w:b w:val="0"/>
          <w:i/>
          <w:sz w:val="24"/>
        </w:rPr>
        <w:t>World Bank Open Data — Japan.</w:t>
      </w:r>
      <w:r>
        <w:rPr>
          <w:rFonts w:ascii="Times New Roman" w:hAnsi="Times New Roman" w:cs="Times New Roman"/>
          <w:b w:val="0"/>
          <w:i w:val="0"/>
          <w:sz w:val="24"/>
        </w:rPr>
        <w:t xml:space="preserve"> The World Bank Group. https://data.worldbank.org/country/japan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