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aps/>
          <w:color w:val="C0392B"/>
          <w:sz w:val="18"/>
          <w:szCs w:val="18"/>
        </w:rPr>
        <w:t xml:space="preserve">CONFIDENTIAL — ELT DISTRIBUTION ONLY</w:t>
      </w:r>
    </w:p>
    <w:p>
      <w:pPr>
        <w:pBdr>
          <w:bottom w:val="single" w:color="1B2D4F" w:sz="8" w:space="6"/>
        </w:pBdr>
        <w:spacing w:before="0" w:after="100"/>
        <w:jc w:val="center"/>
      </w:pPr>
      <w:r>
        <w:rPr>
          <w:rFonts w:ascii="Arial" w:cs="Arial" w:eastAsia="Arial" w:hAnsi="Arial"/>
          <w:b/>
          <w:bCs/>
          <w:caps/>
          <w:color w:val="5D6D7E"/>
          <w:sz w:val="20"/>
          <w:szCs w:val="20"/>
        </w:rPr>
        <w:t xml:space="preserve">SHAW INDUSTRIES GROUP</w:t>
      </w:r>
    </w:p>
    <w:p>
      <w:pPr>
        <w:spacing w:before="80" w:after="0"/>
      </w:pPr>
    </w:p>
    <w:p>
      <w:pPr>
        <w:spacing w:before="0" w:after="60"/>
        <w:jc w:val="center"/>
      </w:pPr>
      <w:r>
        <w:rPr>
          <w:rFonts w:ascii="Arial" w:cs="Arial" w:eastAsia="Arial" w:hAnsi="Arial"/>
          <w:b/>
          <w:bCs/>
          <w:color w:val="1B2D4F"/>
          <w:sz w:val="36"/>
          <w:szCs w:val="36"/>
        </w:rPr>
        <w:t xml:space="preserve">STRATEGIC INTELLIGENCE BRIEF</w:t>
      </w:r>
    </w:p>
    <w:p>
      <w:pPr>
        <w:spacing w:before="0" w:after="60"/>
        <w:jc w:val="center"/>
      </w:pPr>
      <w:r>
        <w:rPr>
          <w:rFonts w:ascii="Arial" w:cs="Arial" w:eastAsia="Arial" w:hAnsi="Arial"/>
          <w:b w:val="false"/>
          <w:bCs w:val="false"/>
          <w:color w:val="5D6D7E"/>
          <w:sz w:val="26"/>
          <w:szCs w:val="26"/>
        </w:rPr>
        <w:t xml:space="preserve">2026 Strait of Hormuz Crisis — Implications for Shaw Industries</w:t>
      </w:r>
    </w:p>
    <w:p>
      <w:pPr>
        <w:spacing w:before="0" w:after="200"/>
        <w:jc w:val="center"/>
      </w:pPr>
      <w:r>
        <w:rPr>
          <w:rFonts w:ascii="Arial" w:cs="Arial" w:eastAsia="Arial" w:hAnsi="Arial"/>
          <w:color w:val="5D6D7E"/>
          <w:sz w:val="20"/>
          <w:szCs w:val="20"/>
        </w:rPr>
        <w:t xml:space="preserve">Prepared: March 9, 2026  |  Status: Active &amp; Developing  |  Review Cycle: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FADBD8" w:val="clear"/>
            <w:tcMar>
              <w:top w:type="dxa" w:w="100"/>
              <w:left w:type="dxa" w:w="120"/>
              <w:bottom w:type="dxa" w:w="100"/>
              <w:right w:type="dxa" w:w="120"/>
            </w:tcMar>
            <w:vAlign w:val="center"/>
          </w:tcPr>
          <w:p>
            <w:pPr>
              <w:jc w:val="center"/>
            </w:pPr>
            <w:r>
              <w:rPr>
                <w:rFonts w:ascii="Arial" w:cs="Arial" w:eastAsia="Arial" w:hAnsi="Arial"/>
                <w:b/>
                <w:bCs/>
                <w:color w:val="C0392B"/>
                <w:sz w:val="20"/>
                <w:szCs w:val="20"/>
              </w:rPr>
              <w:t xml:space="preserve">🔴  CRITICAL</w:t>
            </w:r>
          </w:p>
        </w:tc>
        <w:tc>
          <w:tcPr>
            <w:tcW w:type="dxa" w:w="8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20"/>
            </w:tcMar>
          </w:tcPr>
          <w:p>
            <w:r>
              <w:rPr>
                <w:rFonts w:ascii="Arial" w:cs="Arial" w:eastAsia="Arial" w:hAnsi="Arial"/>
                <w:color w:val="2C3E50"/>
                <w:sz w:val="21"/>
                <w:szCs w:val="21"/>
              </w:rPr>
              <w:t xml:space="preserve">The Strait of Hormuz is effectively closed to commercial shipping as of March 2, 2026. This is not a risk scenario — it is an active supply chain and cost disruption with direct transmission to Shaw's input costs, freight expenses, and housing market demand. Requires immediate management response and scenario replanning.</w:t>
            </w:r>
          </w:p>
        </w:tc>
      </w:tr>
    </w:tbl>
    <w:p>
      <w:pPr>
        <w:spacing w:before="160" w:after="0"/>
      </w:pPr>
    </w:p>
    <w:p>
      <w:pPr>
        <w:pStyle w:val="Heading1"/>
        <w:spacing w:before="280" w:after="100"/>
      </w:pPr>
      <w:r>
        <w:rPr>
          <w:rFonts w:ascii="Arial" w:cs="Arial" w:eastAsia="Arial" w:hAnsi="Arial"/>
          <w:b/>
          <w:bCs/>
          <w:color w:val="1B2D4F"/>
          <w:sz w:val="28"/>
          <w:szCs w:val="28"/>
        </w:rPr>
        <w:t xml:space="preserve">1. Situation Summary</w:t>
      </w:r>
    </w:p>
    <w:p>
      <w:pPr>
        <w:pBdr>
          <w:bottom w:val="single" w:color="BFCAD4" w:sz="4" w:space="1"/>
        </w:pBdr>
        <w:spacing w:before="120" w:after="120"/>
      </w:pPr>
    </w:p>
    <w:p>
      <w:pPr>
        <w:spacing w:before="60" w:after="100"/>
      </w:pPr>
      <w:r>
        <w:rPr>
          <w:rFonts w:ascii="Arial" w:cs="Arial" w:eastAsia="Arial" w:hAnsi="Arial"/>
          <w:color w:val="2C3E50"/>
          <w:sz w:val="22"/>
          <w:szCs w:val="22"/>
        </w:rPr>
        <w:t xml:space="preserve">On </w:t>
      </w:r>
      <w:r>
        <w:rPr>
          <w:rFonts w:ascii="Arial" w:cs="Arial" w:eastAsia="Arial" w:hAnsi="Arial"/>
          <w:b/>
          <w:bCs/>
          <w:color w:val="1B2D4F"/>
          <w:sz w:val="22"/>
          <w:szCs w:val="22"/>
        </w:rPr>
        <w:t xml:space="preserve">February 28, 2026</w:t>
      </w:r>
      <w:r>
        <w:rPr>
          <w:rFonts w:ascii="Arial" w:cs="Arial" w:eastAsia="Arial" w:hAnsi="Arial"/>
          <w:color w:val="2C3E50"/>
          <w:sz w:val="22"/>
          <w:szCs w:val="22"/>
        </w:rPr>
        <w:t xml:space="preserve">, the United States and Israel launched coordinated military strikes on Iran (</w:t>
      </w:r>
      <w:r>
        <w:rPr>
          <w:rFonts w:ascii="Arial" w:cs="Arial" w:eastAsia="Arial" w:hAnsi="Arial"/>
          <w:b/>
          <w:bCs/>
          <w:color w:val="1B2D4F"/>
          <w:sz w:val="22"/>
          <w:szCs w:val="22"/>
        </w:rPr>
        <w:t xml:space="preserve">Operation Epic Fury</w:t>
      </w:r>
      <w:r>
        <w:rPr>
          <w:rFonts w:ascii="Arial" w:cs="Arial" w:eastAsia="Arial" w:hAnsi="Arial"/>
          <w:color w:val="2C3E50"/>
          <w:sz w:val="22"/>
          <w:szCs w:val="22"/>
        </w:rPr>
        <w:t xml:space="preserve">), targeting Iranian nuclear infrastructure and leadership. Supreme Leader Ali Khamenei was killed in the opening salvo. Iran responded with ballistic missile and drone strikes on U.S. military bases, Israeli territory, and Gulf state energy infrastructure.</w:t>
      </w:r>
    </w:p>
    <w:p>
      <w:pPr>
        <w:spacing w:before="60" w:after="0"/>
      </w:pPr>
    </w:p>
    <w:p>
      <w:pPr>
        <w:spacing w:before="60" w:after="100"/>
      </w:pPr>
      <w:r>
        <w:rPr>
          <w:rFonts w:ascii="Arial" w:cs="Arial" w:eastAsia="Arial" w:hAnsi="Arial"/>
          <w:color w:val="2C3E50"/>
          <w:sz w:val="22"/>
          <w:szCs w:val="22"/>
        </w:rPr>
        <w:t xml:space="preserve">Iran's Islamic Revolutionary Guard Corps (IRGC) declared the Strait of Hormuz </w:t>
      </w:r>
      <w:r>
        <w:rPr>
          <w:rFonts w:ascii="Arial" w:cs="Arial" w:eastAsia="Arial" w:hAnsi="Arial"/>
          <w:b/>
          <w:bCs/>
          <w:color w:val="1B2D4F"/>
          <w:sz w:val="22"/>
          <w:szCs w:val="22"/>
        </w:rPr>
        <w:t xml:space="preserve">effectively closed</w:t>
      </w:r>
      <w:r>
        <w:rPr>
          <w:rFonts w:ascii="Arial" w:cs="Arial" w:eastAsia="Arial" w:hAnsi="Arial"/>
          <w:color w:val="2C3E50"/>
          <w:sz w:val="22"/>
          <w:szCs w:val="22"/>
        </w:rPr>
        <w:t xml:space="preserve"> on March 2. Tanker traffic dropped approximately </w:t>
      </w:r>
      <w:r>
        <w:rPr>
          <w:rFonts w:ascii="Arial" w:cs="Arial" w:eastAsia="Arial" w:hAnsi="Arial"/>
          <w:b/>
          <w:bCs/>
          <w:color w:val="1B2D4F"/>
          <w:sz w:val="22"/>
          <w:szCs w:val="22"/>
        </w:rPr>
        <w:t xml:space="preserve">90% within four days</w:t>
      </w:r>
      <w:r>
        <w:rPr>
          <w:rFonts w:ascii="Arial" w:cs="Arial" w:eastAsia="Arial" w:hAnsi="Arial"/>
          <w:color w:val="2C3E50"/>
          <w:sz w:val="22"/>
          <w:szCs w:val="22"/>
        </w:rPr>
        <w:t xml:space="preserve">, as commercial shipping firms — including Maersk, MSC, Hapag-Lloyd, CMA CGM, and COSCO — suspended all Hormuz transits citing crew safety, insurance withdrawal, and IRGC missile threats to vessels.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FADBD8" w:val="clear"/>
            <w:tcMar>
              <w:top w:type="dxa" w:w="120"/>
              <w:left w:type="dxa" w:w="140"/>
              <w:bottom w:type="dxa" w:w="120"/>
              <w:right w:type="dxa" w:w="120"/>
            </w:tcMar>
          </w:tcPr>
          <w:p>
            <w:pPr>
              <w:jc w:val="center"/>
            </w:pPr>
            <w:r>
              <w:rPr>
                <w:rFonts w:ascii="Arial" w:cs="Arial" w:eastAsia="Arial" w:hAnsi="Arial"/>
                <w:b/>
                <w:bCs/>
                <w:color w:val="C0392B"/>
                <w:sz w:val="32"/>
                <w:szCs w:val="32"/>
              </w:rPr>
              <w:t xml:space="preserve">~90%</w:t>
            </w:r>
          </w:p>
          <w:p>
            <w:pPr>
              <w:spacing w:before="40"/>
              <w:jc w:val="center"/>
            </w:pPr>
            <w:r>
              <w:rPr>
                <w:rFonts w:ascii="Arial" w:cs="Arial" w:eastAsia="Arial" w:hAnsi="Arial"/>
                <w:color w:val="2C3E50"/>
                <w:sz w:val="18"/>
                <w:szCs w:val="18"/>
              </w:rPr>
              <w:t xml:space="preserve">Drop in tanker traffic through Hormuz</w:t>
            </w:r>
          </w:p>
        </w:tc>
        <w:tc>
          <w:tcPr>
            <w:tcW w:type="dxa" w:w="2340"/>
            <w:tcBorders>
              <w:top w:val="single" w:color="D5D8DC" w:sz="1"/>
              <w:left w:val="single" w:color="D5D8DC" w:sz="1"/>
              <w:bottom w:val="single" w:color="D5D8DC" w:sz="1"/>
              <w:right w:val="single" w:color="D5D8DC" w:sz="1"/>
            </w:tcBorders>
            <w:shd w:fill="FADBD8" w:val="clear"/>
            <w:tcMar>
              <w:top w:type="dxa" w:w="120"/>
              <w:left w:type="dxa" w:w="140"/>
              <w:bottom w:type="dxa" w:w="120"/>
              <w:right w:type="dxa" w:w="120"/>
            </w:tcMar>
          </w:tcPr>
          <w:p>
            <w:pPr>
              <w:jc w:val="center"/>
            </w:pPr>
            <w:r>
              <w:rPr>
                <w:rFonts w:ascii="Arial" w:cs="Arial" w:eastAsia="Arial" w:hAnsi="Arial"/>
                <w:b/>
                <w:bCs/>
                <w:color w:val="C0392B"/>
                <w:sz w:val="32"/>
                <w:szCs w:val="32"/>
              </w:rPr>
              <w:t xml:space="preserve">$90+/bbl</w:t>
            </w:r>
          </w:p>
          <w:p>
            <w:pPr>
              <w:spacing w:before="40"/>
              <w:jc w:val="center"/>
            </w:pPr>
            <w:r>
              <w:rPr>
                <w:rFonts w:ascii="Arial" w:cs="Arial" w:eastAsia="Arial" w:hAnsi="Arial"/>
                <w:color w:val="2C3E50"/>
                <w:sz w:val="18"/>
                <w:szCs w:val="18"/>
              </w:rPr>
              <w:t xml:space="preserve">WTI crude — up 38% from $65 pre-conflict</w:t>
            </w:r>
          </w:p>
        </w:tc>
        <w:tc>
          <w:tcPr>
            <w:tcW w:type="dxa" w:w="2340"/>
            <w:tcBorders>
              <w:top w:val="single" w:color="D5D8DC" w:sz="1"/>
              <w:left w:val="single" w:color="D5D8DC" w:sz="1"/>
              <w:bottom w:val="single" w:color="D5D8DC" w:sz="1"/>
              <w:right w:val="single" w:color="D5D8DC" w:sz="1"/>
            </w:tcBorders>
            <w:shd w:fill="FDEBD0" w:val="clear"/>
            <w:tcMar>
              <w:top w:type="dxa" w:w="120"/>
              <w:left w:type="dxa" w:w="140"/>
              <w:bottom w:type="dxa" w:w="120"/>
              <w:right w:type="dxa" w:w="120"/>
            </w:tcMar>
          </w:tcPr>
          <w:p>
            <w:pPr>
              <w:jc w:val="center"/>
            </w:pPr>
            <w:r>
              <w:rPr>
                <w:rFonts w:ascii="Arial" w:cs="Arial" w:eastAsia="Arial" w:hAnsi="Arial"/>
                <w:b/>
                <w:bCs/>
                <w:color w:val="D4881E"/>
                <w:sz w:val="32"/>
                <w:szCs w:val="32"/>
              </w:rPr>
              <w:t xml:space="preserve">~20%</w:t>
            </w:r>
          </w:p>
          <w:p>
            <w:pPr>
              <w:spacing w:before="40"/>
              <w:jc w:val="center"/>
            </w:pPr>
            <w:r>
              <w:rPr>
                <w:rFonts w:ascii="Arial" w:cs="Arial" w:eastAsia="Arial" w:hAnsi="Arial"/>
                <w:color w:val="2C3E50"/>
                <w:sz w:val="18"/>
                <w:szCs w:val="18"/>
              </w:rPr>
              <w:t xml:space="preserve">of global daily oil supply disrupted</w:t>
            </w:r>
          </w:p>
        </w:tc>
        <w:tc>
          <w:tcPr>
            <w:tcW w:type="dxa" w:w="2340"/>
            <w:tcBorders>
              <w:top w:val="single" w:color="D5D8DC" w:sz="1"/>
              <w:left w:val="single" w:color="D5D8DC" w:sz="1"/>
              <w:bottom w:val="single" w:color="D5D8DC" w:sz="1"/>
              <w:right w:val="single" w:color="D5D8DC" w:sz="1"/>
            </w:tcBorders>
            <w:shd w:fill="FDEBD0" w:val="clear"/>
            <w:tcMar>
              <w:top w:type="dxa" w:w="120"/>
              <w:left w:type="dxa" w:w="140"/>
              <w:bottom w:type="dxa" w:w="120"/>
              <w:right w:type="dxa" w:w="120"/>
            </w:tcMar>
          </w:tcPr>
          <w:p>
            <w:pPr>
              <w:jc w:val="center"/>
            </w:pPr>
            <w:r>
              <w:rPr>
                <w:rFonts w:ascii="Arial" w:cs="Arial" w:eastAsia="Arial" w:hAnsi="Arial"/>
                <w:b/>
                <w:bCs/>
                <w:color w:val="D4881E"/>
                <w:sz w:val="32"/>
                <w:szCs w:val="32"/>
              </w:rPr>
              <w:t xml:space="preserve">150+</w:t>
            </w:r>
          </w:p>
          <w:p>
            <w:pPr>
              <w:spacing w:before="40"/>
              <w:jc w:val="center"/>
            </w:pPr>
            <w:r>
              <w:rPr>
                <w:rFonts w:ascii="Arial" w:cs="Arial" w:eastAsia="Arial" w:hAnsi="Arial"/>
                <w:color w:val="2C3E50"/>
                <w:sz w:val="18"/>
                <w:szCs w:val="18"/>
              </w:rPr>
              <w:t xml:space="preserve">vessels stranded outside the strait</w:t>
            </w:r>
          </w:p>
        </w:tc>
      </w:tr>
    </w:tbl>
    <w:p>
      <w:pPr>
        <w:spacing w:before="120" w:after="0"/>
      </w:pPr>
    </w:p>
    <w:p>
      <w:pPr>
        <w:spacing w:before="60" w:after="100"/>
      </w:pPr>
      <w:r>
        <w:rPr>
          <w:rFonts w:ascii="Arial" w:cs="Arial" w:eastAsia="Arial" w:hAnsi="Arial"/>
          <w:color w:val="2C3E50"/>
          <w:sz w:val="22"/>
          <w:szCs w:val="22"/>
        </w:rPr>
        <w:t xml:space="preserve">As of </w:t>
      </w:r>
      <w:r>
        <w:rPr>
          <w:rFonts w:ascii="Arial" w:cs="Arial" w:eastAsia="Arial" w:hAnsi="Arial"/>
          <w:b/>
          <w:bCs/>
          <w:color w:val="1B2D4F"/>
          <w:sz w:val="22"/>
          <w:szCs w:val="22"/>
        </w:rPr>
        <w:t xml:space="preserve">March 8–9, 2026</w:t>
      </w:r>
      <w:r>
        <w:rPr>
          <w:rFonts w:ascii="Arial" w:cs="Arial" w:eastAsia="Arial" w:hAnsi="Arial"/>
          <w:color w:val="2C3E50"/>
          <w:sz w:val="22"/>
          <w:szCs w:val="22"/>
        </w:rPr>
        <w:t xml:space="preserve">, no negotiated ceasefire is in place. Iranian operatives have reportedly reached out to discuss terms, but no agreement has been reached. President Trump has demanded unconditional surrender. The </w:t>
      </w:r>
      <w:r>
        <w:rPr>
          <w:rFonts w:ascii="Arial" w:cs="Arial" w:eastAsia="Arial" w:hAnsi="Arial"/>
          <w:b/>
          <w:bCs/>
          <w:color w:val="1B2D4F"/>
          <w:sz w:val="22"/>
          <w:szCs w:val="22"/>
        </w:rPr>
        <w:t xml:space="preserve">conflict is in its 9th day</w:t>
      </w:r>
      <w:r>
        <w:rPr>
          <w:rFonts w:ascii="Arial" w:cs="Arial" w:eastAsia="Arial" w:hAnsi="Arial"/>
          <w:color w:val="2C3E50"/>
          <w:sz w:val="22"/>
          <w:szCs w:val="22"/>
        </w:rPr>
        <w:t xml:space="preserve"> and escalating. Qatar has declared force majeure on LNG exports; Iraq's oil production has fallen ~60%; Saudi Arabia has suspended operations at its largest refinery following an Iranian drone strike.</w:t>
      </w:r>
    </w:p>
    <w:p>
      <w:pPr>
        <w:spacing w:before="160" w:after="0"/>
      </w:pPr>
    </w:p>
    <w:p>
      <w:pPr>
        <w:pStyle w:val="Heading1"/>
        <w:spacing w:before="280" w:after="100"/>
      </w:pPr>
      <w:r>
        <w:rPr>
          <w:rFonts w:ascii="Arial" w:cs="Arial" w:eastAsia="Arial" w:hAnsi="Arial"/>
          <w:b/>
          <w:bCs/>
          <w:color w:val="1B2D4F"/>
          <w:sz w:val="28"/>
          <w:szCs w:val="28"/>
        </w:rPr>
        <w:t xml:space="preserve">2. Direct Transmission Channels to Shaw Industries P&amp;L</w:t>
      </w:r>
    </w:p>
    <w:p>
      <w:pPr>
        <w:pBdr>
          <w:bottom w:val="single" w:color="BFCAD4" w:sz="4" w:space="1"/>
        </w:pBdr>
        <w:spacing w:before="120" w:after="120"/>
      </w:pPr>
    </w:p>
    <w:p>
      <w:pPr>
        <w:spacing w:before="60" w:after="100"/>
      </w:pPr>
      <w:r>
        <w:rPr>
          <w:rFonts w:ascii="Arial" w:cs="Arial" w:eastAsia="Arial" w:hAnsi="Arial"/>
          <w:color w:val="5D6D7E"/>
          <w:sz w:val="22"/>
          <w:szCs w:val="22"/>
        </w:rPr>
        <w:t xml:space="preserve">The following table maps each geopolitical disruption to a specific Shaw financial impact. This is not hypothetical risk — these transmission channels are active and measurable.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5D8DC" w:sz="1"/>
              <w:left w:val="single" w:color="D5D8DC" w:sz="1"/>
              <w:bottom w:val="single" w:color="D5D8DC" w:sz="1"/>
              <w:right w:val="single" w:color="D5D8DC" w:sz="1"/>
            </w:tcBorders>
            <w:shd w:fill="1B2D4F" w:val="clear"/>
            <w:tcMar>
              <w:top w:type="dxa" w:w="80"/>
              <w:left w:type="dxa" w:w="120"/>
              <w:bottom w:type="dxa" w:w="80"/>
              <w:right w:type="dxa" w:w="80"/>
            </w:tcMar>
          </w:tcPr>
          <w:p>
            <w:r>
              <w:rPr>
                <w:rFonts w:ascii="Arial" w:cs="Arial" w:eastAsia="Arial" w:hAnsi="Arial"/>
                <w:b/>
                <w:bCs/>
                <w:color w:val="FFFFFF"/>
                <w:sz w:val="20"/>
                <w:szCs w:val="20"/>
              </w:rPr>
              <w:t xml:space="preserve">Transmission Channel</w:t>
            </w:r>
          </w:p>
        </w:tc>
        <w:tc>
          <w:tcPr>
            <w:tcW w:type="dxa" w:w="2400"/>
            <w:tcBorders>
              <w:top w:val="single" w:color="D5D8DC" w:sz="1"/>
              <w:left w:val="single" w:color="D5D8DC" w:sz="1"/>
              <w:bottom w:val="single" w:color="D5D8DC" w:sz="1"/>
              <w:right w:val="single" w:color="D5D8DC" w:sz="1"/>
            </w:tcBorders>
            <w:shd w:fill="1B2D4F" w:val="clear"/>
            <w:tcMar>
              <w:top w:type="dxa" w:w="80"/>
              <w:left w:type="dxa" w:w="120"/>
              <w:bottom w:type="dxa" w:w="80"/>
              <w:right w:type="dxa" w:w="80"/>
            </w:tcMar>
          </w:tcPr>
          <w:p>
            <w:r>
              <w:rPr>
                <w:rFonts w:ascii="Arial" w:cs="Arial" w:eastAsia="Arial" w:hAnsi="Arial"/>
                <w:b/>
                <w:bCs/>
                <w:color w:val="FFFFFF"/>
                <w:sz w:val="20"/>
                <w:szCs w:val="20"/>
              </w:rPr>
              <w:t xml:space="preserve">Magnitude</w:t>
            </w:r>
          </w:p>
        </w:tc>
        <w:tc>
          <w:tcPr>
            <w:tcW w:type="dxa" w:w="4160"/>
            <w:tcBorders>
              <w:top w:val="single" w:color="D5D8DC" w:sz="1"/>
              <w:left w:val="single" w:color="D5D8DC" w:sz="1"/>
              <w:bottom w:val="single" w:color="D5D8DC" w:sz="1"/>
              <w:right w:val="single" w:color="D5D8DC" w:sz="1"/>
            </w:tcBorders>
            <w:shd w:fill="1B2D4F" w:val="clear"/>
            <w:tcMar>
              <w:top w:type="dxa" w:w="80"/>
              <w:left w:type="dxa" w:w="120"/>
              <w:bottom w:type="dxa" w:w="80"/>
              <w:right w:type="dxa" w:w="80"/>
            </w:tcMar>
          </w:tcPr>
          <w:p>
            <w:r>
              <w:rPr>
                <w:rFonts w:ascii="Arial" w:cs="Arial" w:eastAsia="Arial" w:hAnsi="Arial"/>
                <w:b/>
                <w:bCs/>
                <w:color w:val="FFFFFF"/>
                <w:sz w:val="20"/>
                <w:szCs w:val="20"/>
              </w:rPr>
              <w:t xml:space="preserve">Shaw Impact</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Crude oil price spike</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80"/>
            </w:tcMar>
          </w:tcPr>
          <w:p>
            <w:r>
              <w:rPr>
                <w:rFonts w:ascii="Arial" w:cs="Arial" w:eastAsia="Arial" w:hAnsi="Arial"/>
                <w:color w:val="2C3E50"/>
                <w:sz w:val="20"/>
                <w:szCs w:val="20"/>
              </w:rPr>
              <w:t xml:space="preserve">WTI $65 → $90+ (+38%)</w:t>
            </w:r>
          </w:p>
        </w:tc>
        <w:tc>
          <w:tcPr>
            <w:tcW w:type="dxa" w:w="41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2C3E50"/>
                <w:sz w:val="20"/>
                <w:szCs w:val="20"/>
              </w:rPr>
              <w:t xml:space="preserve">Nylon/PET/PP input costs surge with 4–8 week lag. WPU0672 breach of +6% YoY threshold near-certain.</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Freight cost re-escalation</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80"/>
            </w:tcMar>
          </w:tcPr>
          <w:p>
            <w:r>
              <w:rPr>
                <w:rFonts w:ascii="Arial" w:cs="Arial" w:eastAsia="Arial" w:hAnsi="Arial"/>
                <w:color w:val="2C3E50"/>
                <w:sz w:val="20"/>
                <w:szCs w:val="20"/>
              </w:rPr>
              <w:t xml:space="preserve">Cape of Good Hope rerouting: +10–14 days/voyage</w:t>
            </w:r>
          </w:p>
        </w:tc>
        <w:tc>
          <w:tcPr>
            <w:tcW w:type="dxa" w:w="41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2C3E50"/>
                <w:sz w:val="20"/>
                <w:szCs w:val="20"/>
              </w:rPr>
              <w:t xml:space="preserve">PCU484121484121 will re-spike. Distribution margins compress. Logistics assumption breaks.</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Fed rate cut freeze</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80"/>
            </w:tcMar>
          </w:tcPr>
          <w:p>
            <w:r>
              <w:rPr>
                <w:rFonts w:ascii="Arial" w:cs="Arial" w:eastAsia="Arial" w:hAnsi="Arial"/>
                <w:color w:val="2C3E50"/>
                <w:sz w:val="20"/>
                <w:szCs w:val="20"/>
              </w:rPr>
              <w:t xml:space="preserve">Market now pricing 0 cuts in 2026 (was 2+)</w:t>
            </w:r>
          </w:p>
        </w:tc>
        <w:tc>
          <w:tcPr>
            <w:tcW w:type="dxa" w:w="41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2C3E50"/>
                <w:sz w:val="20"/>
                <w:szCs w:val="20"/>
              </w:rPr>
              <w:t xml:space="preserve">FEDFUNDS path to &lt;4.0% delayed significantly. Housing recovery thesis shifts right.</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Mortgage rate re-rise</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80"/>
            </w:tcMar>
          </w:tcPr>
          <w:p>
            <w:r>
              <w:rPr>
                <w:rFonts w:ascii="Arial" w:cs="Arial" w:eastAsia="Arial" w:hAnsi="Arial"/>
                <w:color w:val="2C3E50"/>
                <w:sz w:val="20"/>
                <w:szCs w:val="20"/>
              </w:rPr>
              <w:t xml:space="preserve">Rates back above 6% after brief &lt;6% dip</w:t>
            </w:r>
          </w:p>
        </w:tc>
        <w:tc>
          <w:tcPr>
            <w:tcW w:type="dxa" w:w="41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2C3E50"/>
                <w:sz w:val="20"/>
                <w:szCs w:val="20"/>
              </w:rPr>
              <w:t xml:space="preserve">Lock-in effect persists. HOUST recovery to 1.6M delayed. Residential revenue recovery extended.</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Asian LVT import disruption</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80"/>
            </w:tcMar>
          </w:tcPr>
          <w:p>
            <w:r>
              <w:rPr>
                <w:rFonts w:ascii="Arial" w:cs="Arial" w:eastAsia="Arial" w:hAnsi="Arial"/>
                <w:color w:val="2C3E50"/>
                <w:sz w:val="20"/>
                <w:szCs w:val="20"/>
              </w:rPr>
              <w:t xml:space="preserve">Container shipping halted via Hormuz; +2–3wk via Africa</w:t>
            </w:r>
          </w:p>
        </w:tc>
        <w:tc>
          <w:tcPr>
            <w:tcW w:type="dxa" w:w="4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80"/>
            </w:tcMar>
          </w:tcPr>
          <w:p>
            <w:r>
              <w:rPr>
                <w:rFonts w:ascii="Arial" w:cs="Arial" w:eastAsia="Arial" w:hAnsi="Arial"/>
                <w:color w:val="2C3E50"/>
                <w:sz w:val="20"/>
                <w:szCs w:val="20"/>
              </w:rPr>
              <w:t xml:space="preserve">MIXED: hurts Shaw's SPC raw material sourcing, but delays Asian competitor imports. Net uncertain.</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Plastics/chemical market tightening</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80"/>
            </w:tcMar>
          </w:tcPr>
          <w:p>
            <w:r>
              <w:rPr>
                <w:rFonts w:ascii="Arial" w:cs="Arial" w:eastAsia="Arial" w:hAnsi="Arial"/>
                <w:color w:val="2C3E50"/>
                <w:sz w:val="20"/>
                <w:szCs w:val="20"/>
              </w:rPr>
              <w:t xml:space="preserve">ICIS: global petrochemical availability reduced</w:t>
            </w:r>
          </w:p>
        </w:tc>
        <w:tc>
          <w:tcPr>
            <w:tcW w:type="dxa" w:w="41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2C3E50"/>
                <w:sz w:val="20"/>
                <w:szCs w:val="20"/>
              </w:rPr>
              <w:t xml:space="preserve">Nylon and polyester fiber costs will rise regardless of which routing suppliers use. Pass-through risk.</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Consumer confidence shock</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80"/>
            </w:tcMar>
          </w:tcPr>
          <w:p>
            <w:r>
              <w:rPr>
                <w:rFonts w:ascii="Arial" w:cs="Arial" w:eastAsia="Arial" w:hAnsi="Arial"/>
                <w:color w:val="2C3E50"/>
                <w:sz w:val="20"/>
                <w:szCs w:val="20"/>
              </w:rPr>
              <w:t xml:space="preserve">Gas prices up 26¢/gal in one week</w:t>
            </w:r>
          </w:p>
        </w:tc>
        <w:tc>
          <w:tcPr>
            <w:tcW w:type="dxa" w:w="4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80"/>
            </w:tcMar>
          </w:tcPr>
          <w:p>
            <w:r>
              <w:rPr>
                <w:rFonts w:ascii="Arial" w:cs="Arial" w:eastAsia="Arial" w:hAnsi="Arial"/>
                <w:color w:val="2C3E50"/>
                <w:sz w:val="20"/>
                <w:szCs w:val="20"/>
              </w:rPr>
              <w:t xml:space="preserve">Consumer sentiment falls. Home improvement and flooring discretionary purchases deferred.</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Commercial construction freeze risk</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80"/>
            </w:tcMar>
          </w:tcPr>
          <w:p>
            <w:r>
              <w:rPr>
                <w:rFonts w:ascii="Arial" w:cs="Arial" w:eastAsia="Arial" w:hAnsi="Arial"/>
                <w:color w:val="2C3E50"/>
                <w:sz w:val="20"/>
                <w:szCs w:val="20"/>
              </w:rPr>
              <w:t xml:space="preserve">ABI already below 50; uncertainty deepens</w:t>
            </w:r>
          </w:p>
        </w:tc>
        <w:tc>
          <w:tcPr>
            <w:tcW w:type="dxa" w:w="4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80"/>
            </w:tcMar>
          </w:tcPr>
          <w:p>
            <w:r>
              <w:rPr>
                <w:rFonts w:ascii="Arial" w:cs="Arial" w:eastAsia="Arial" w:hAnsi="Arial"/>
                <w:color w:val="2C3E50"/>
                <w:sz w:val="20"/>
                <w:szCs w:val="20"/>
              </w:rPr>
              <w:t xml:space="preserve">Commercial recovery assumption becomes more remote. Patcraft/Shaw Contract upside narrows.</w:t>
            </w:r>
          </w:p>
        </w:tc>
      </w:tr>
    </w:tbl>
    <w:p>
      <w:pPr>
        <w:spacing w:before="160" w:after="0"/>
      </w:pPr>
    </w:p>
    <w:p>
      <w:pPr>
        <w:pStyle w:val="Heading1"/>
        <w:spacing w:before="280" w:after="100"/>
      </w:pPr>
      <w:r>
        <w:rPr>
          <w:rFonts w:ascii="Arial" w:cs="Arial" w:eastAsia="Arial" w:hAnsi="Arial"/>
          <w:b/>
          <w:bCs/>
          <w:color w:val="1B2D4F"/>
          <w:sz w:val="28"/>
          <w:szCs w:val="28"/>
        </w:rPr>
        <w:t xml:space="preserve">3. Input Cost Shock — The Primary Margin Threat</w:t>
      </w:r>
    </w:p>
    <w:p>
      <w:pPr>
        <w:pBdr>
          <w:bottom w:val="single" w:color="BFCAD4" w:sz="4" w:space="1"/>
        </w:pBdr>
        <w:spacing w:before="120" w:after="120"/>
      </w:pPr>
    </w:p>
    <w:p>
      <w:pPr>
        <w:spacing w:before="60" w:after="100"/>
      </w:pPr>
      <w:r>
        <w:rPr>
          <w:rFonts w:ascii="Arial" w:cs="Arial" w:eastAsia="Arial" w:hAnsi="Arial"/>
          <w:b/>
          <w:bCs/>
          <w:color w:val="1B2D4F"/>
          <w:sz w:val="22"/>
          <w:szCs w:val="22"/>
        </w:rPr>
        <w:t xml:space="preserve">This is the highest-priority financial risk for Shaw's manufacturing margin. </w:t>
      </w:r>
      <w:r>
        <w:rPr>
          <w:rFonts w:ascii="Arial" w:cs="Arial" w:eastAsia="Arial" w:hAnsi="Arial"/>
          <w:color w:val="2C3E50"/>
          <w:sz w:val="22"/>
          <w:szCs w:val="22"/>
        </w:rPr>
        <w:t xml:space="preserve">Shaw's carpet fiber — nylon (nylon 6,6 and nylon 6), polyester (PET), and polypropylene — is entirely petroleum-derived. Oil prices have risen approximately 38% from the pre-conflict level of ~$65/bbl WTI to $90+, with Brent briefly exceeding $100. Analysts at Barclays, UBS, and Goldman Sachs have projected $100–$120 scenarios if the disruption persists for 2–4 weeks, and Qatar's energy minister stated $150 is possible if exports halt entirely.</w:t>
      </w:r>
    </w:p>
    <w:p>
      <w:pPr>
        <w:spacing w:before="80" w:after="0"/>
      </w:pPr>
    </w:p>
    <w:p>
      <w:pPr>
        <w:pStyle w:val="Heading2"/>
        <w:spacing w:before="180" w:after="100"/>
      </w:pPr>
      <w:r>
        <w:rPr>
          <w:rFonts w:ascii="Arial" w:cs="Arial" w:eastAsia="Arial" w:hAnsi="Arial"/>
          <w:b/>
          <w:bCs/>
          <w:color w:val="1B2D4F"/>
          <w:sz w:val="24"/>
          <w:szCs w:val="24"/>
        </w:rPr>
        <w:t xml:space="preserve">3.1  PPI Plastics (FRED WPU0672) — Forward Projection</w:t>
      </w:r>
    </w:p>
    <w:p>
      <w:pPr>
        <w:spacing w:before="60" w:after="100"/>
      </w:pPr>
      <w:r>
        <w:rPr>
          <w:rFonts w:ascii="Arial" w:cs="Arial" w:eastAsia="Arial" w:hAnsi="Arial"/>
          <w:color w:val="2C3E50"/>
          <w:sz w:val="22"/>
          <w:szCs w:val="22"/>
        </w:rPr>
        <w:t xml:space="preserve">The 2021–22 precedent is instructive. WPU0672 rose approximately 36% from Q1 2020 to Q2 2022 as crude spiked during post-COVID demand recovery. That cost shock compressed Mohawk's gross margin by approximately 4 percentage points over two years, and Shaw's estimated EBITDA margin similarly. The current crude shock is already 38% in 9 days — a faster and more severe initial move.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5D8DC" w:sz="1"/>
              <w:left w:val="single" w:color="D5D8DC" w:sz="1"/>
              <w:bottom w:val="single" w:color="D5D8DC" w:sz="1"/>
              <w:right w:val="single" w:color="D5D8DC" w:sz="1"/>
            </w:tcBorders>
            <w:shd w:fill="1B2D4F" w:val="clear"/>
            <w:tcMar>
              <w:top w:type="dxa" w:w="80"/>
              <w:left w:type="dxa" w:w="120"/>
              <w:bottom w:type="dxa" w:w="80"/>
              <w:right w:type="dxa" w:w="80"/>
            </w:tcMar>
          </w:tcPr>
          <w:p>
            <w:r>
              <w:rPr>
                <w:rFonts w:ascii="Arial" w:cs="Arial" w:eastAsia="Arial" w:hAnsi="Arial"/>
                <w:b/>
                <w:bCs/>
                <w:color w:val="FFFFFF"/>
                <w:sz w:val="20"/>
                <w:szCs w:val="20"/>
              </w:rPr>
              <w:t xml:space="preserve">Scenario</w:t>
            </w:r>
          </w:p>
        </w:tc>
        <w:tc>
          <w:tcPr>
            <w:tcW w:type="dxa" w:w="2080"/>
            <w:tcBorders>
              <w:top w:val="single" w:color="D5D8DC" w:sz="1"/>
              <w:left w:val="single" w:color="D5D8DC" w:sz="1"/>
              <w:bottom w:val="single" w:color="D5D8DC" w:sz="1"/>
              <w:right w:val="single" w:color="D5D8DC" w:sz="1"/>
            </w:tcBorders>
            <w:shd w:fill="1B2D4F" w:val="clear"/>
            <w:tcMar>
              <w:top w:type="dxa" w:w="80"/>
              <w:left w:type="dxa" w:w="120"/>
              <w:bottom w:type="dxa" w:w="80"/>
              <w:right w:type="dxa" w:w="80"/>
            </w:tcMar>
          </w:tcPr>
          <w:p>
            <w:r>
              <w:rPr>
                <w:rFonts w:ascii="Arial" w:cs="Arial" w:eastAsia="Arial" w:hAnsi="Arial"/>
                <w:b/>
                <w:bCs/>
                <w:color w:val="FFFFFF"/>
                <w:sz w:val="20"/>
                <w:szCs w:val="20"/>
              </w:rPr>
              <w:t xml:space="preserve">Oil Duration</w:t>
            </w:r>
          </w:p>
        </w:tc>
        <w:tc>
          <w:tcPr>
            <w:tcW w:type="dxa" w:w="2080"/>
            <w:tcBorders>
              <w:top w:val="single" w:color="D5D8DC" w:sz="1"/>
              <w:left w:val="single" w:color="D5D8DC" w:sz="1"/>
              <w:bottom w:val="single" w:color="D5D8DC" w:sz="1"/>
              <w:right w:val="single" w:color="D5D8DC" w:sz="1"/>
            </w:tcBorders>
            <w:shd w:fill="1B2D4F" w:val="clear"/>
            <w:tcMar>
              <w:top w:type="dxa" w:w="80"/>
              <w:left w:type="dxa" w:w="120"/>
              <w:bottom w:type="dxa" w:w="80"/>
              <w:right w:type="dxa" w:w="80"/>
            </w:tcMar>
          </w:tcPr>
          <w:p>
            <w:r>
              <w:rPr>
                <w:rFonts w:ascii="Arial" w:cs="Arial" w:eastAsia="Arial" w:hAnsi="Arial"/>
                <w:b/>
                <w:bCs/>
                <w:color w:val="FFFFFF"/>
                <w:sz w:val="20"/>
                <w:szCs w:val="20"/>
              </w:rPr>
              <w:t xml:space="preserve">WPU0672 Impact (est.)</w:t>
            </w:r>
          </w:p>
        </w:tc>
        <w:tc>
          <w:tcPr>
            <w:tcW w:type="dxa" w:w="2080"/>
            <w:tcBorders>
              <w:top w:val="single" w:color="D5D8DC" w:sz="1"/>
              <w:left w:val="single" w:color="D5D8DC" w:sz="1"/>
              <w:bottom w:val="single" w:color="D5D8DC" w:sz="1"/>
              <w:right w:val="single" w:color="D5D8DC" w:sz="1"/>
            </w:tcBorders>
            <w:shd w:fill="1B2D4F" w:val="clear"/>
            <w:tcMar>
              <w:top w:type="dxa" w:w="80"/>
              <w:left w:type="dxa" w:w="120"/>
              <w:bottom w:type="dxa" w:w="80"/>
              <w:right w:type="dxa" w:w="80"/>
            </w:tcMar>
          </w:tcPr>
          <w:p>
            <w:r>
              <w:rPr>
                <w:rFonts w:ascii="Arial" w:cs="Arial" w:eastAsia="Arial" w:hAnsi="Arial"/>
                <w:b/>
                <w:bCs/>
                <w:color w:val="FFFFFF"/>
                <w:sz w:val="20"/>
                <w:szCs w:val="20"/>
              </w:rPr>
              <w:t xml:space="preserve">EBITDA Margin Impact (est.)</w:t>
            </w:r>
          </w:p>
        </w:tc>
      </w:tr>
      <w:tr>
        <w:tc>
          <w:tcPr>
            <w:tcW w:type="dxa" w:w="312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color w:val="2C3E50"/>
                <w:sz w:val="20"/>
                <w:szCs w:val="20"/>
              </w:rPr>
              <w:t xml:space="preserve">Rapid resolution (&lt; 2 weeks)</w:t>
            </w:r>
          </w:p>
        </w:tc>
        <w:tc>
          <w:tcPr>
            <w:tcW w:type="dxa" w:w="208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80"/>
            </w:tcMar>
          </w:tcPr>
          <w:p>
            <w:r>
              <w:rPr>
                <w:rFonts w:ascii="Arial" w:cs="Arial" w:eastAsia="Arial" w:hAnsi="Arial"/>
                <w:color w:val="2C3E50"/>
                <w:sz w:val="20"/>
                <w:szCs w:val="20"/>
              </w:rPr>
              <w:t xml:space="preserve">Short</w:t>
            </w:r>
          </w:p>
        </w:tc>
        <w:tc>
          <w:tcPr>
            <w:tcW w:type="dxa" w:w="208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80"/>
            </w:tcMar>
          </w:tcPr>
          <w:p>
            <w:r>
              <w:rPr>
                <w:rFonts w:ascii="Arial" w:cs="Arial" w:eastAsia="Arial" w:hAnsi="Arial"/>
                <w:color w:val="2C3E50"/>
                <w:sz w:val="20"/>
                <w:szCs w:val="20"/>
              </w:rPr>
              <w:t xml:space="preserve">+4–6% YoY on WPU0672</w:t>
            </w:r>
          </w:p>
        </w:tc>
        <w:tc>
          <w:tcPr>
            <w:tcW w:type="dxa" w:w="208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80"/>
            </w:tcMar>
          </w:tcPr>
          <w:p>
            <w:r>
              <w:rPr>
                <w:rFonts w:ascii="Arial" w:cs="Arial" w:eastAsia="Arial" w:hAnsi="Arial"/>
                <w:color w:val="2C3E50"/>
                <w:sz w:val="20"/>
                <w:szCs w:val="20"/>
              </w:rPr>
              <w:t xml:space="preserve">–80 to –120 bps</w:t>
            </w:r>
          </w:p>
        </w:tc>
      </w:tr>
      <w:tr>
        <w:tc>
          <w:tcPr>
            <w:tcW w:type="dxa" w:w="312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color w:val="2C3E50"/>
                <w:sz w:val="20"/>
                <w:szCs w:val="20"/>
              </w:rPr>
              <w:t xml:space="preserve">Moderate conflict (2–6 weeks)</w:t>
            </w:r>
          </w:p>
        </w:tc>
        <w:tc>
          <w:tcPr>
            <w:tcW w:type="dxa" w:w="20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2C3E50"/>
                <w:sz w:val="20"/>
                <w:szCs w:val="20"/>
              </w:rPr>
              <w:t xml:space="preserve">Medium</w:t>
            </w:r>
          </w:p>
        </w:tc>
        <w:tc>
          <w:tcPr>
            <w:tcW w:type="dxa" w:w="20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2C3E50"/>
                <w:sz w:val="20"/>
                <w:szCs w:val="20"/>
              </w:rPr>
              <w:t xml:space="preserve">+8–12% YoY on WPU0672</w:t>
            </w:r>
          </w:p>
        </w:tc>
        <w:tc>
          <w:tcPr>
            <w:tcW w:type="dxa" w:w="20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2C3E50"/>
                <w:sz w:val="20"/>
                <w:szCs w:val="20"/>
              </w:rPr>
              <w:t xml:space="preserve">–150 to –220 bps</w:t>
            </w:r>
          </w:p>
        </w:tc>
      </w:tr>
      <w:tr>
        <w:tc>
          <w:tcPr>
            <w:tcW w:type="dxa" w:w="312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color w:val="2C3E50"/>
                <w:sz w:val="20"/>
                <w:szCs w:val="20"/>
              </w:rPr>
              <w:t xml:space="preserve">Prolonged disruption (2–3 months)</w:t>
            </w:r>
          </w:p>
        </w:tc>
        <w:tc>
          <w:tcPr>
            <w:tcW w:type="dxa" w:w="20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2C3E50"/>
                <w:sz w:val="20"/>
                <w:szCs w:val="20"/>
              </w:rPr>
              <w:t xml:space="preserve">Long</w:t>
            </w:r>
          </w:p>
        </w:tc>
        <w:tc>
          <w:tcPr>
            <w:tcW w:type="dxa" w:w="20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2C3E50"/>
                <w:sz w:val="20"/>
                <w:szCs w:val="20"/>
              </w:rPr>
              <w:t xml:space="preserve">+15–25% YoY on WPU0672</w:t>
            </w:r>
          </w:p>
        </w:tc>
        <w:tc>
          <w:tcPr>
            <w:tcW w:type="dxa" w:w="20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2C3E50"/>
                <w:sz w:val="20"/>
                <w:szCs w:val="20"/>
              </w:rPr>
              <w:t xml:space="preserve">–250 to –400 bps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FDEBD0" w:val="clear"/>
            <w:tcMar>
              <w:top w:type="dxa" w:w="100"/>
              <w:left w:type="dxa" w:w="120"/>
              <w:bottom w:type="dxa" w:w="100"/>
              <w:right w:type="dxa" w:w="120"/>
            </w:tcMar>
            <w:vAlign w:val="center"/>
          </w:tcPr>
          <w:p>
            <w:pPr>
              <w:jc w:val="center"/>
            </w:pPr>
            <w:r>
              <w:rPr>
                <w:rFonts w:ascii="Arial" w:cs="Arial" w:eastAsia="Arial" w:hAnsi="Arial"/>
                <w:b/>
                <w:bCs/>
                <w:color w:val="D4881E"/>
                <w:sz w:val="20"/>
                <w:szCs w:val="20"/>
              </w:rPr>
              <w:t xml:space="preserve">NOTE</w:t>
            </w:r>
          </w:p>
        </w:tc>
        <w:tc>
          <w:tcPr>
            <w:tcW w:type="dxa" w:w="8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20"/>
            </w:tcMar>
          </w:tcPr>
          <w:p>
            <w:r>
              <w:rPr>
                <w:rFonts w:ascii="Arial" w:cs="Arial" w:eastAsia="Arial" w:hAnsi="Arial"/>
                <w:color w:val="2C3E50"/>
                <w:sz w:val="21"/>
                <w:szCs w:val="21"/>
              </w:rPr>
              <w:t xml:space="preserve">ICIS (March 4, 2026) reported that Hormuz restrictions are already reducing availability and raising feedstock costs in global plastics and petrochemical markets. This is not a future risk — spot pricing is already moving. Shaw's inventory buffer may provide 60–90 days of insulation before full P&amp;L impact.</w:t>
            </w:r>
          </w:p>
        </w:tc>
      </w:tr>
    </w:tbl>
    <w:p>
      <w:pPr>
        <w:spacing w:before="160" w:after="0"/>
      </w:pPr>
    </w:p>
    <w:p>
      <w:pPr>
        <w:pStyle w:val="Heading1"/>
        <w:spacing w:before="280" w:after="100"/>
      </w:pPr>
      <w:r>
        <w:rPr>
          <w:rFonts w:ascii="Arial" w:cs="Arial" w:eastAsia="Arial" w:hAnsi="Arial"/>
          <w:b/>
          <w:bCs/>
          <w:color w:val="1B2D4F"/>
          <w:sz w:val="28"/>
          <w:szCs w:val="28"/>
        </w:rPr>
        <w:t xml:space="preserve">4. Strategy Assumption Status Reclassification</w:t>
      </w:r>
    </w:p>
    <w:p>
      <w:pPr>
        <w:pBdr>
          <w:bottom w:val="single" w:color="BFCAD4" w:sz="4" w:space="1"/>
        </w:pBdr>
        <w:spacing w:before="120" w:after="120"/>
      </w:pPr>
    </w:p>
    <w:p>
      <w:pPr>
        <w:spacing w:before="60" w:after="100"/>
      </w:pPr>
      <w:r>
        <w:rPr>
          <w:rFonts w:ascii="Arial" w:cs="Arial" w:eastAsia="Arial" w:hAnsi="Arial"/>
          <w:color w:val="2C3E50"/>
          <w:sz w:val="22"/>
          <w:szCs w:val="22"/>
        </w:rPr>
        <w:t xml:space="preserve">The following assumptions in the Shaw Strategy Assumptions Monitor require immediate status reclassification based on the Hormuz crisis developments as of March 9, 2026.</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4060"/>
      </w:tblGrid>
      <w:tr>
        <w:tc>
          <w:tcPr>
            <w:tcW w:type="dxa" w:w="3500"/>
            <w:tcBorders>
              <w:top w:val="single" w:color="D5D8DC" w:sz="1"/>
              <w:left w:val="single" w:color="D5D8DC" w:sz="1"/>
              <w:bottom w:val="single" w:color="D5D8DC" w:sz="1"/>
              <w:right w:val="single" w:color="D5D8DC" w:sz="1"/>
            </w:tcBorders>
            <w:shd w:fill="1B2D4F" w:val="clear"/>
            <w:tcMar>
              <w:top w:type="dxa" w:w="80"/>
              <w:left w:type="dxa" w:w="120"/>
              <w:bottom w:type="dxa" w:w="80"/>
              <w:right w:type="dxa" w:w="80"/>
            </w:tcMar>
          </w:tcPr>
          <w:p>
            <w:r>
              <w:rPr>
                <w:rFonts w:ascii="Arial" w:cs="Arial" w:eastAsia="Arial" w:hAnsi="Arial"/>
                <w:b/>
                <w:bCs/>
                <w:color w:val="FFFFFF"/>
                <w:sz w:val="20"/>
                <w:szCs w:val="20"/>
              </w:rPr>
              <w:t xml:space="preserve">Assumption</w:t>
            </w:r>
          </w:p>
        </w:tc>
        <w:tc>
          <w:tcPr>
            <w:tcW w:type="dxa" w:w="900"/>
            <w:tcBorders>
              <w:top w:val="single" w:color="D5D8DC" w:sz="1"/>
              <w:left w:val="single" w:color="D5D8DC" w:sz="1"/>
              <w:bottom w:val="single" w:color="D5D8DC" w:sz="1"/>
              <w:right w:val="single" w:color="D5D8DC" w:sz="1"/>
            </w:tcBorders>
            <w:shd w:fill="1B2D4F" w:val="clear"/>
            <w:tcMar>
              <w:top w:type="dxa" w:w="80"/>
              <w:left w:type="dxa" w:w="120"/>
              <w:bottom w:type="dxa" w:w="80"/>
              <w:right w:type="dxa" w:w="80"/>
            </w:tcMar>
          </w:tcPr>
          <w:p>
            <w:r>
              <w:rPr>
                <w:rFonts w:ascii="Arial" w:cs="Arial" w:eastAsia="Arial" w:hAnsi="Arial"/>
                <w:b/>
                <w:bCs/>
                <w:color w:val="FFFFFF"/>
                <w:sz w:val="20"/>
                <w:szCs w:val="20"/>
              </w:rPr>
              <w:t xml:space="preserve">Was</w:t>
            </w:r>
          </w:p>
        </w:tc>
        <w:tc>
          <w:tcPr>
            <w:tcW w:type="dxa" w:w="900"/>
            <w:tcBorders>
              <w:top w:val="single" w:color="D5D8DC" w:sz="1"/>
              <w:left w:val="single" w:color="D5D8DC" w:sz="1"/>
              <w:bottom w:val="single" w:color="D5D8DC" w:sz="1"/>
              <w:right w:val="single" w:color="D5D8DC" w:sz="1"/>
            </w:tcBorders>
            <w:shd w:fill="1B2D4F" w:val="clear"/>
            <w:tcMar>
              <w:top w:type="dxa" w:w="80"/>
              <w:left w:type="dxa" w:w="120"/>
              <w:bottom w:type="dxa" w:w="80"/>
              <w:right w:type="dxa" w:w="80"/>
            </w:tcMar>
          </w:tcPr>
          <w:p>
            <w:r>
              <w:rPr>
                <w:rFonts w:ascii="Arial" w:cs="Arial" w:eastAsia="Arial" w:hAnsi="Arial"/>
                <w:b/>
                <w:bCs/>
                <w:color w:val="FFFFFF"/>
                <w:sz w:val="20"/>
                <w:szCs w:val="20"/>
              </w:rPr>
              <w:t xml:space="preserve">Now</w:t>
            </w:r>
          </w:p>
        </w:tc>
        <w:tc>
          <w:tcPr>
            <w:tcW w:type="dxa" w:w="4060"/>
            <w:tcBorders>
              <w:top w:val="single" w:color="D5D8DC" w:sz="1"/>
              <w:left w:val="single" w:color="D5D8DC" w:sz="1"/>
              <w:bottom w:val="single" w:color="D5D8DC" w:sz="1"/>
              <w:right w:val="single" w:color="D5D8DC" w:sz="1"/>
            </w:tcBorders>
            <w:shd w:fill="1B2D4F" w:val="clear"/>
            <w:tcMar>
              <w:top w:type="dxa" w:w="80"/>
              <w:left w:type="dxa" w:w="120"/>
              <w:bottom w:type="dxa" w:w="80"/>
              <w:right w:type="dxa" w:w="80"/>
            </w:tcMar>
          </w:tcPr>
          <w:p>
            <w:r>
              <w:rPr>
                <w:rFonts w:ascii="Arial" w:cs="Arial" w:eastAsia="Arial" w:hAnsi="Arial"/>
                <w:b/>
                <w:bCs/>
                <w:color w:val="FFFFFF"/>
                <w:sz w:val="20"/>
                <w:szCs w:val="20"/>
              </w:rPr>
              <w:t xml:space="preserve">Driver</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color w:val="2C3E50"/>
                <w:sz w:val="20"/>
                <w:szCs w:val="20"/>
              </w:rPr>
              <w:t xml:space="preserve">Housing starts ≥ 1.6M by end of 2026</w:t>
            </w:r>
          </w:p>
        </w:tc>
        <w:tc>
          <w:tcPr>
            <w:tcW w:type="dxa" w:w="90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vAlign w:val="center"/>
          </w:tcPr>
          <w:p>
            <w:pPr>
              <w:jc w:val="center"/>
            </w:pPr>
            <w:r>
              <w:rPr>
                <w:rFonts w:ascii="Arial" w:cs="Arial" w:eastAsia="Arial" w:hAnsi="Arial"/>
                <w:b/>
                <w:bCs/>
                <w:color w:val="D4881E"/>
                <w:sz w:val="18"/>
                <w:szCs w:val="18"/>
              </w:rPr>
              <w:t xml:space="preserve">YELLOW</w:t>
            </w:r>
          </w:p>
        </w:tc>
        <w:tc>
          <w:tcPr>
            <w:tcW w:type="dxa" w:w="90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RED</w:t>
            </w:r>
          </w:p>
        </w:tc>
        <w:tc>
          <w:tcPr>
            <w:tcW w:type="dxa" w:w="4060"/>
            <w:tcBorders>
              <w:top w:val="single" w:color="D5D8DC" w:sz="1"/>
              <w:left w:val="single" w:color="D5D8DC" w:sz="1"/>
              <w:bottom w:val="single" w:color="D5D8DC" w:sz="1"/>
              <w:right w:val="single" w:color="D5D8DC" w:sz="1"/>
            </w:tcBorders>
            <w:tcMar>
              <w:top w:type="dxa" w:w="80"/>
              <w:left w:type="dxa" w:w="120"/>
              <w:bottom w:type="dxa" w:w="80"/>
              <w:right w:type="dxa" w:w="80"/>
            </w:tcMar>
          </w:tcPr>
          <w:p>
            <w:r>
              <w:rPr>
                <w:rFonts w:ascii="Arial" w:cs="Arial" w:eastAsia="Arial" w:hAnsi="Arial"/>
                <w:i/>
                <w:iCs/>
                <w:color w:val="2C3E50"/>
                <w:sz w:val="20"/>
                <w:szCs w:val="20"/>
              </w:rPr>
              <w:t xml:space="preserve">Mortgage rates bounced above 6% after briefly dipping below. Fed frozen. HOUST recovery thesis pushed right by 6–12 months.</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color w:val="2C3E50"/>
                <w:sz w:val="20"/>
                <w:szCs w:val="20"/>
              </w:rPr>
              <w:t xml:space="preserve">FEDFUNDS &lt; 4.0% by Q4 2025</w:t>
            </w:r>
          </w:p>
        </w:tc>
        <w:tc>
          <w:tcPr>
            <w:tcW w:type="dxa" w:w="90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vAlign w:val="center"/>
          </w:tcPr>
          <w:p>
            <w:pPr>
              <w:jc w:val="center"/>
            </w:pPr>
            <w:r>
              <w:rPr>
                <w:rFonts w:ascii="Arial" w:cs="Arial" w:eastAsia="Arial" w:hAnsi="Arial"/>
                <w:b/>
                <w:bCs/>
                <w:color w:val="D4881E"/>
                <w:sz w:val="18"/>
                <w:szCs w:val="18"/>
              </w:rPr>
              <w:t xml:space="preserve">YELLOW</w:t>
            </w:r>
          </w:p>
        </w:tc>
        <w:tc>
          <w:tcPr>
            <w:tcW w:type="dxa" w:w="90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RED</w:t>
            </w:r>
          </w:p>
        </w:tc>
        <w:tc>
          <w:tcPr>
            <w:tcW w:type="dxa" w:w="4060"/>
            <w:tcBorders>
              <w:top w:val="single" w:color="D5D8DC" w:sz="1"/>
              <w:left w:val="single" w:color="D5D8DC" w:sz="1"/>
              <w:bottom w:val="single" w:color="D5D8DC" w:sz="1"/>
              <w:right w:val="single" w:color="D5D8DC" w:sz="1"/>
            </w:tcBorders>
            <w:tcMar>
              <w:top w:type="dxa" w:w="80"/>
              <w:left w:type="dxa" w:w="120"/>
              <w:bottom w:type="dxa" w:w="80"/>
              <w:right w:type="dxa" w:w="80"/>
            </w:tcMar>
          </w:tcPr>
          <w:p>
            <w:r>
              <w:rPr>
                <w:rFonts w:ascii="Arial" w:cs="Arial" w:eastAsia="Arial" w:hAnsi="Arial"/>
                <w:i/>
                <w:iCs/>
                <w:color w:val="2C3E50"/>
                <w:sz w:val="20"/>
                <w:szCs w:val="20"/>
              </w:rPr>
              <w:t xml:space="preserve">Fed indefinitely on hold. Oil shock + sticky inflation = stagflation risk. Market now pricing 0 cuts in 2026 (was 2+). Fed meeting Mar 18–19 expected hold.</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color w:val="2C3E50"/>
                <w:sz w:val="20"/>
                <w:szCs w:val="20"/>
              </w:rPr>
              <w:t xml:space="preserve">WPU0672 inflation &lt; +6% YoY</w:t>
            </w:r>
          </w:p>
        </w:tc>
        <w:tc>
          <w:tcPr>
            <w:tcW w:type="dxa" w:w="9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vAlign w:val="center"/>
          </w:tcPr>
          <w:p>
            <w:pPr>
              <w:jc w:val="center"/>
            </w:pPr>
            <w:r>
              <w:rPr>
                <w:rFonts w:ascii="Arial" w:cs="Arial" w:eastAsia="Arial" w:hAnsi="Arial"/>
                <w:b/>
                <w:bCs/>
                <w:color w:val="1A7A4A"/>
                <w:sz w:val="18"/>
                <w:szCs w:val="18"/>
              </w:rPr>
              <w:t xml:space="preserve">GREEN</w:t>
            </w:r>
          </w:p>
        </w:tc>
        <w:tc>
          <w:tcPr>
            <w:tcW w:type="dxa" w:w="900"/>
            <w:tcBorders>
              <w:top w:val="single" w:color="D5D8DC" w:sz="1"/>
              <w:left w:val="single" w:color="D5D8DC" w:sz="1"/>
              <w:bottom w:val="single" w:color="D5D8DC" w:sz="1"/>
              <w:right w:val="single" w:color="D5D8D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RED</w:t>
            </w:r>
          </w:p>
        </w:tc>
        <w:tc>
          <w:tcPr>
            <w:tcW w:type="dxa" w:w="4060"/>
            <w:tcBorders>
              <w:top w:val="single" w:color="D5D8DC" w:sz="1"/>
              <w:left w:val="single" w:color="D5D8DC" w:sz="1"/>
              <w:bottom w:val="single" w:color="D5D8DC" w:sz="1"/>
              <w:right w:val="single" w:color="D5D8DC" w:sz="1"/>
            </w:tcBorders>
            <w:tcMar>
              <w:top w:type="dxa" w:w="80"/>
              <w:left w:type="dxa" w:w="120"/>
              <w:bottom w:type="dxa" w:w="80"/>
              <w:right w:type="dxa" w:w="80"/>
            </w:tcMar>
          </w:tcPr>
          <w:p>
            <w:r>
              <w:rPr>
                <w:rFonts w:ascii="Arial" w:cs="Arial" w:eastAsia="Arial" w:hAnsi="Arial"/>
                <w:i/>
                <w:iCs/>
                <w:color w:val="2C3E50"/>
                <w:sz w:val="20"/>
                <w:szCs w:val="20"/>
              </w:rPr>
              <w:t xml:space="preserve">WTI up 38% in 9 days. Plastics PPI will follow with 4–8 week lag. Breach of +6% threshold near-certain in any scenario except rapid (&lt;2 week) conflict resolution.</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color w:val="2C3E50"/>
                <w:sz w:val="20"/>
                <w:szCs w:val="20"/>
              </w:rPr>
              <w:t xml:space="preserve">Freight PPI stays below 2022 peak (~175)</w:t>
            </w:r>
          </w:p>
        </w:tc>
        <w:tc>
          <w:tcPr>
            <w:tcW w:type="dxa" w:w="900"/>
            <w:tcBorders>
              <w:top w:val="single" w:color="D5D8DC" w:sz="1"/>
              <w:left w:val="single" w:color="D5D8DC" w:sz="1"/>
              <w:bottom w:val="single" w:color="D5D8DC" w:sz="1"/>
              <w:right w:val="single" w:color="D5D8DC" w:sz="1"/>
            </w:tcBorders>
            <w:shd w:fill="D5F5E3" w:val="clear"/>
            <w:tcMar>
              <w:top w:type="dxa" w:w="80"/>
              <w:left w:type="dxa" w:w="80"/>
              <w:bottom w:type="dxa" w:w="80"/>
              <w:right w:type="dxa" w:w="80"/>
            </w:tcMar>
            <w:vAlign w:val="center"/>
          </w:tcPr>
          <w:p>
            <w:pPr>
              <w:jc w:val="center"/>
            </w:pPr>
            <w:r>
              <w:rPr>
                <w:rFonts w:ascii="Arial" w:cs="Arial" w:eastAsia="Arial" w:hAnsi="Arial"/>
                <w:b/>
                <w:bCs/>
                <w:color w:val="1A7A4A"/>
                <w:sz w:val="18"/>
                <w:szCs w:val="18"/>
              </w:rPr>
              <w:t xml:space="preserve">GREEN</w:t>
            </w:r>
          </w:p>
        </w:tc>
        <w:tc>
          <w:tcPr>
            <w:tcW w:type="dxa" w:w="90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vAlign w:val="center"/>
          </w:tcPr>
          <w:p>
            <w:pPr>
              <w:jc w:val="center"/>
            </w:pPr>
            <w:r>
              <w:rPr>
                <w:rFonts w:ascii="Arial" w:cs="Arial" w:eastAsia="Arial" w:hAnsi="Arial"/>
                <w:b/>
                <w:bCs/>
                <w:color w:val="D4881E"/>
                <w:sz w:val="18"/>
                <w:szCs w:val="18"/>
              </w:rPr>
              <w:t xml:space="preserve">YELLOW</w:t>
            </w:r>
          </w:p>
        </w:tc>
        <w:tc>
          <w:tcPr>
            <w:tcW w:type="dxa" w:w="4060"/>
            <w:tcBorders>
              <w:top w:val="single" w:color="D5D8DC" w:sz="1"/>
              <w:left w:val="single" w:color="D5D8DC" w:sz="1"/>
              <w:bottom w:val="single" w:color="D5D8DC" w:sz="1"/>
              <w:right w:val="single" w:color="D5D8DC" w:sz="1"/>
            </w:tcBorders>
            <w:tcMar>
              <w:top w:type="dxa" w:w="80"/>
              <w:left w:type="dxa" w:w="120"/>
              <w:bottom w:type="dxa" w:w="80"/>
              <w:right w:type="dxa" w:w="80"/>
            </w:tcMar>
          </w:tcPr>
          <w:p>
            <w:r>
              <w:rPr>
                <w:rFonts w:ascii="Arial" w:cs="Arial" w:eastAsia="Arial" w:hAnsi="Arial"/>
                <w:i/>
                <w:iCs/>
                <w:color w:val="2C3E50"/>
                <w:sz w:val="20"/>
                <w:szCs w:val="20"/>
              </w:rPr>
              <w:t xml:space="preserve">Cape of Good Hope rerouting adds 10–14 days/voyage. Container shipping suspended from Hormuz. Freight costs will rise; pace depends on conflict duration.</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color w:val="2C3E50"/>
                <w:sz w:val="20"/>
                <w:szCs w:val="20"/>
              </w:rPr>
              <w:t xml:space="preserve">No tariff escalation disrupts Asian LVT supply</w:t>
            </w:r>
          </w:p>
        </w:tc>
        <w:tc>
          <w:tcPr>
            <w:tcW w:type="dxa" w:w="90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vAlign w:val="center"/>
          </w:tcPr>
          <w:p>
            <w:pPr>
              <w:jc w:val="center"/>
            </w:pPr>
            <w:r>
              <w:rPr>
                <w:rFonts w:ascii="Arial" w:cs="Arial" w:eastAsia="Arial" w:hAnsi="Arial"/>
                <w:b/>
                <w:bCs/>
                <w:color w:val="D4881E"/>
                <w:sz w:val="18"/>
                <w:szCs w:val="18"/>
              </w:rPr>
              <w:t xml:space="preserve">YELLOW</w:t>
            </w:r>
          </w:p>
        </w:tc>
        <w:tc>
          <w:tcPr>
            <w:tcW w:type="dxa" w:w="90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vAlign w:val="center"/>
          </w:tcPr>
          <w:p>
            <w:pPr>
              <w:jc w:val="center"/>
            </w:pPr>
            <w:r>
              <w:rPr>
                <w:rFonts w:ascii="Arial" w:cs="Arial" w:eastAsia="Arial" w:hAnsi="Arial"/>
                <w:b/>
                <w:bCs/>
                <w:color w:val="D4881E"/>
                <w:sz w:val="18"/>
                <w:szCs w:val="18"/>
              </w:rPr>
              <w:t xml:space="preserve">YELLOW</w:t>
            </w:r>
          </w:p>
        </w:tc>
        <w:tc>
          <w:tcPr>
            <w:tcW w:type="dxa" w:w="4060"/>
            <w:tcBorders>
              <w:top w:val="single" w:color="D5D8DC" w:sz="1"/>
              <w:left w:val="single" w:color="D5D8DC" w:sz="1"/>
              <w:bottom w:val="single" w:color="D5D8DC" w:sz="1"/>
              <w:right w:val="single" w:color="D5D8DC" w:sz="1"/>
            </w:tcBorders>
            <w:tcMar>
              <w:top w:type="dxa" w:w="80"/>
              <w:left w:type="dxa" w:w="120"/>
              <w:bottom w:type="dxa" w:w="80"/>
              <w:right w:type="dxa" w:w="80"/>
            </w:tcMar>
          </w:tcPr>
          <w:p>
            <w:r>
              <w:rPr>
                <w:rFonts w:ascii="Arial" w:cs="Arial" w:eastAsia="Arial" w:hAnsi="Arial"/>
                <w:i/>
                <w:iCs/>
                <w:color w:val="2C3E50"/>
                <w:sz w:val="20"/>
                <w:szCs w:val="20"/>
              </w:rPr>
              <w:t xml:space="preserve">Mixed: Asian LVT imports delayed (hurts SPC raw materials, helps by slowing competitor imports). Net effect depends on duration. Unchanged status pending clarity.</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color w:val="2C3E50"/>
                <w:sz w:val="20"/>
                <w:szCs w:val="20"/>
              </w:rPr>
              <w:t xml:space="preserve">Commercial segment rebounds +3% in 2025</w:t>
            </w:r>
          </w:p>
        </w:tc>
        <w:tc>
          <w:tcPr>
            <w:tcW w:type="dxa" w:w="90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vAlign w:val="center"/>
          </w:tcPr>
          <w:p>
            <w:pPr>
              <w:jc w:val="center"/>
            </w:pPr>
            <w:r>
              <w:rPr>
                <w:rFonts w:ascii="Arial" w:cs="Arial" w:eastAsia="Arial" w:hAnsi="Arial"/>
                <w:b/>
                <w:bCs/>
                <w:color w:val="D4881E"/>
                <w:sz w:val="18"/>
                <w:szCs w:val="18"/>
              </w:rPr>
              <w:t xml:space="preserve">YELLOW</w:t>
            </w:r>
          </w:p>
        </w:tc>
        <w:tc>
          <w:tcPr>
            <w:tcW w:type="dxa" w:w="900"/>
            <w:tcBorders>
              <w:top w:val="single" w:color="D5D8DC" w:sz="1"/>
              <w:left w:val="single" w:color="D5D8DC" w:sz="1"/>
              <w:bottom w:val="single" w:color="D5D8DC" w:sz="1"/>
              <w:right w:val="single" w:color="D5D8DC" w:sz="1"/>
            </w:tcBorders>
            <w:shd w:fill="FDEBD0" w:val="clear"/>
            <w:tcMar>
              <w:top w:type="dxa" w:w="80"/>
              <w:left w:type="dxa" w:w="80"/>
              <w:bottom w:type="dxa" w:w="80"/>
              <w:right w:type="dxa" w:w="80"/>
            </w:tcMar>
            <w:vAlign w:val="center"/>
          </w:tcPr>
          <w:p>
            <w:pPr>
              <w:jc w:val="center"/>
            </w:pPr>
            <w:r>
              <w:rPr>
                <w:rFonts w:ascii="Arial" w:cs="Arial" w:eastAsia="Arial" w:hAnsi="Arial"/>
                <w:b/>
                <w:bCs/>
                <w:color w:val="D4881E"/>
                <w:sz w:val="18"/>
                <w:szCs w:val="18"/>
              </w:rPr>
              <w:t xml:space="preserve">YELLOW</w:t>
            </w:r>
          </w:p>
        </w:tc>
        <w:tc>
          <w:tcPr>
            <w:tcW w:type="dxa" w:w="4060"/>
            <w:tcBorders>
              <w:top w:val="single" w:color="D5D8DC" w:sz="1"/>
              <w:left w:val="single" w:color="D5D8DC" w:sz="1"/>
              <w:bottom w:val="single" w:color="D5D8DC" w:sz="1"/>
              <w:right w:val="single" w:color="D5D8DC" w:sz="1"/>
            </w:tcBorders>
            <w:tcMar>
              <w:top w:type="dxa" w:w="80"/>
              <w:left w:type="dxa" w:w="120"/>
              <w:bottom w:type="dxa" w:w="80"/>
              <w:right w:type="dxa" w:w="80"/>
            </w:tcMar>
          </w:tcPr>
          <w:p>
            <w:r>
              <w:rPr>
                <w:rFonts w:ascii="Arial" w:cs="Arial" w:eastAsia="Arial" w:hAnsi="Arial"/>
                <w:i/>
                <w:iCs/>
                <w:color w:val="2C3E50"/>
                <w:sz w:val="20"/>
                <w:szCs w:val="20"/>
              </w:rPr>
              <w:t xml:space="preserve">ABI already below 50. Oil shock adds uncertainty. Unchanged but now has additional downside risk.</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FADBD8" w:val="clear"/>
            <w:tcMar>
              <w:top w:type="dxa" w:w="100"/>
              <w:left w:type="dxa" w:w="120"/>
              <w:bottom w:type="dxa" w:w="100"/>
              <w:right w:type="dxa" w:w="120"/>
            </w:tcMar>
            <w:vAlign w:val="center"/>
          </w:tcPr>
          <w:p>
            <w:pPr>
              <w:jc w:val="center"/>
            </w:pPr>
            <w:r>
              <w:rPr>
                <w:rFonts w:ascii="Arial" w:cs="Arial" w:eastAsia="Arial" w:hAnsi="Arial"/>
                <w:b/>
                <w:bCs/>
                <w:color w:val="C0392B"/>
                <w:sz w:val="20"/>
                <w:szCs w:val="20"/>
              </w:rPr>
              <w:t xml:space="preserve">⚠ Net Assessment</w:t>
            </w:r>
          </w:p>
        </w:tc>
        <w:tc>
          <w:tcPr>
            <w:tcW w:type="dxa" w:w="8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20"/>
            </w:tcMar>
          </w:tcPr>
          <w:p>
            <w:r>
              <w:rPr>
                <w:rFonts w:ascii="Arial" w:cs="Arial" w:eastAsia="Arial" w:hAnsi="Arial"/>
                <w:color w:val="2C3E50"/>
                <w:sz w:val="21"/>
                <w:szCs w:val="21"/>
              </w:rPr>
              <w:t xml:space="preserve">Three of eight strategic assumptions have moved from GREEN/YELLOW to RED in the past 9 days. The housing recovery + input cost + rate cut triple thesis underpinning the Base Case scenario is now significantly more fragile. A new 'Hormuz Shock' scenario has been added to the portal to reflect this event.</w:t>
            </w:r>
          </w:p>
        </w:tc>
      </w:tr>
    </w:tbl>
    <w:p>
      <w:pPr>
        <w:spacing w:before="160" w:after="0"/>
      </w:pPr>
    </w:p>
    <w:p>
      <w:pPr>
        <w:pStyle w:val="Heading1"/>
        <w:spacing w:before="280" w:after="100"/>
      </w:pPr>
      <w:r>
        <w:rPr>
          <w:rFonts w:ascii="Arial" w:cs="Arial" w:eastAsia="Arial" w:hAnsi="Arial"/>
          <w:b/>
          <w:bCs/>
          <w:color w:val="1B2D4F"/>
          <w:sz w:val="28"/>
          <w:szCs w:val="28"/>
        </w:rPr>
        <w:t xml:space="preserve">5. Scenario Impact — New 'Hormuz Shock' Scenario</w:t>
      </w:r>
    </w:p>
    <w:p>
      <w:pPr>
        <w:pBdr>
          <w:bottom w:val="single" w:color="BFCAD4" w:sz="4" w:space="1"/>
        </w:pBdr>
        <w:spacing w:before="120" w:after="120"/>
      </w:pPr>
    </w:p>
    <w:p>
      <w:pPr>
        <w:spacing w:before="60" w:after="100"/>
      </w:pPr>
      <w:r>
        <w:rPr>
          <w:rFonts w:ascii="Arial" w:cs="Arial" w:eastAsia="Arial" w:hAnsi="Arial"/>
          <w:color w:val="2C3E50"/>
          <w:sz w:val="22"/>
          <w:szCs w:val="22"/>
        </w:rPr>
        <w:t xml:space="preserve">The existing Severe Downturn scenario was calibrated to a domestic U.S. recession / rate re-spike environment. The Hormuz Shock is a distinct geopolitical supply-side event with different transmission mechanisms. A new scenario has been added to the portal: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880"/>
        <w:gridCol w:w="1880"/>
        <w:gridCol w:w="1880"/>
        <w:gridCol w:w="1740"/>
      </w:tblGrid>
      <w:tr>
        <w:tc>
          <w:tcPr>
            <w:tcW w:type="dxa" w:w="1980"/>
            <w:tcBorders>
              <w:top w:val="single" w:color="D5D8DC" w:sz="1"/>
              <w:left w:val="single" w:color="D5D8DC" w:sz="1"/>
              <w:bottom w:val="single" w:color="D5D8DC" w:sz="1"/>
              <w:right w:val="single" w:color="D5D8DC" w:sz="1"/>
            </w:tcBorders>
            <w:shd w:fill="1B2D4F" w:val="clear"/>
            <w:tcMar>
              <w:top w:type="dxa" w:w="80"/>
              <w:left w:type="dxa" w:w="100"/>
              <w:bottom w:type="dxa" w:w="80"/>
              <w:right w:type="dxa" w:w="80"/>
            </w:tcMar>
          </w:tcPr>
          <w:p>
            <w:r>
              <w:rPr>
                <w:rFonts w:ascii="Arial" w:cs="Arial" w:eastAsia="Arial" w:hAnsi="Arial"/>
                <w:b/>
                <w:bCs/>
                <w:color w:val="FFFFFF"/>
                <w:sz w:val="20"/>
                <w:szCs w:val="20"/>
              </w:rPr>
              <w:t xml:space="preserve"/>
            </w:r>
          </w:p>
        </w:tc>
        <w:tc>
          <w:tcPr>
            <w:tcW w:type="dxa" w:w="1880"/>
            <w:tcBorders>
              <w:top w:val="single" w:color="D5D8DC" w:sz="1"/>
              <w:left w:val="single" w:color="D5D8DC" w:sz="1"/>
              <w:bottom w:val="single" w:color="D5D8DC" w:sz="1"/>
              <w:right w:val="single" w:color="D5D8DC" w:sz="1"/>
            </w:tcBorders>
            <w:shd w:fill="1B2D4F" w:val="clear"/>
            <w:tcMar>
              <w:top w:type="dxa" w:w="80"/>
              <w:left w:type="dxa" w:w="100"/>
              <w:bottom w:type="dxa" w:w="80"/>
              <w:right w:type="dxa" w:w="80"/>
            </w:tcMar>
          </w:tcPr>
          <w:p>
            <w:r>
              <w:rPr>
                <w:rFonts w:ascii="Arial" w:cs="Arial" w:eastAsia="Arial" w:hAnsi="Arial"/>
                <w:b/>
                <w:bCs/>
                <w:color w:val="FFFFFF"/>
                <w:sz w:val="20"/>
                <w:szCs w:val="20"/>
              </w:rPr>
              <w:t xml:space="preserve">2024E</w:t>
            </w:r>
          </w:p>
        </w:tc>
        <w:tc>
          <w:tcPr>
            <w:tcW w:type="dxa" w:w="1880"/>
            <w:tcBorders>
              <w:top w:val="single" w:color="D5D8DC" w:sz="1"/>
              <w:left w:val="single" w:color="D5D8DC" w:sz="1"/>
              <w:bottom w:val="single" w:color="D5D8DC" w:sz="1"/>
              <w:right w:val="single" w:color="D5D8DC" w:sz="1"/>
            </w:tcBorders>
            <w:shd w:fill="1B2D4F" w:val="clear"/>
            <w:tcMar>
              <w:top w:type="dxa" w:w="80"/>
              <w:left w:type="dxa" w:w="100"/>
              <w:bottom w:type="dxa" w:w="80"/>
              <w:right w:type="dxa" w:w="80"/>
            </w:tcMar>
          </w:tcPr>
          <w:p>
            <w:r>
              <w:rPr>
                <w:rFonts w:ascii="Arial" w:cs="Arial" w:eastAsia="Arial" w:hAnsi="Arial"/>
                <w:b/>
                <w:bCs/>
                <w:color w:val="FFFFFF"/>
                <w:sz w:val="20"/>
                <w:szCs w:val="20"/>
              </w:rPr>
              <w:t xml:space="preserve">2025E</w:t>
            </w:r>
          </w:p>
        </w:tc>
        <w:tc>
          <w:tcPr>
            <w:tcW w:type="dxa" w:w="1880"/>
            <w:tcBorders>
              <w:top w:val="single" w:color="D5D8DC" w:sz="1"/>
              <w:left w:val="single" w:color="D5D8DC" w:sz="1"/>
              <w:bottom w:val="single" w:color="D5D8DC" w:sz="1"/>
              <w:right w:val="single" w:color="D5D8DC" w:sz="1"/>
            </w:tcBorders>
            <w:shd w:fill="1B2D4F" w:val="clear"/>
            <w:tcMar>
              <w:top w:type="dxa" w:w="80"/>
              <w:left w:type="dxa" w:w="100"/>
              <w:bottom w:type="dxa" w:w="80"/>
              <w:right w:type="dxa" w:w="80"/>
            </w:tcMar>
          </w:tcPr>
          <w:p>
            <w:r>
              <w:rPr>
                <w:rFonts w:ascii="Arial" w:cs="Arial" w:eastAsia="Arial" w:hAnsi="Arial"/>
                <w:b/>
                <w:bCs/>
                <w:color w:val="FFFFFF"/>
                <w:sz w:val="20"/>
                <w:szCs w:val="20"/>
              </w:rPr>
              <w:t xml:space="preserve">2026E</w:t>
            </w:r>
          </w:p>
        </w:tc>
        <w:tc>
          <w:tcPr>
            <w:tcW w:type="dxa" w:w="1740"/>
            <w:tcBorders>
              <w:top w:val="single" w:color="D5D8DC" w:sz="1"/>
              <w:left w:val="single" w:color="D5D8DC" w:sz="1"/>
              <w:bottom w:val="single" w:color="D5D8DC" w:sz="1"/>
              <w:right w:val="single" w:color="D5D8DC" w:sz="1"/>
            </w:tcBorders>
            <w:shd w:fill="1B2D4F" w:val="clear"/>
            <w:tcMar>
              <w:top w:type="dxa" w:w="80"/>
              <w:left w:type="dxa" w:w="100"/>
              <w:bottom w:type="dxa" w:w="80"/>
              <w:right w:type="dxa" w:w="80"/>
            </w:tcMar>
          </w:tcPr>
          <w:p>
            <w:r>
              <w:rPr>
                <w:rFonts w:ascii="Arial" w:cs="Arial" w:eastAsia="Arial" w:hAnsi="Arial"/>
                <w:b/>
                <w:bCs/>
                <w:color w:val="FFFFFF"/>
                <w:sz w:val="20"/>
                <w:szCs w:val="20"/>
              </w:rPr>
              <w:t xml:space="preserve">2027E</w:t>
            </w:r>
          </w:p>
        </w:tc>
      </w:tr>
      <w:tr>
        <w:tc>
          <w:tcPr>
            <w:tcW w:type="dxa" w:w="19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Base Case (pre-crisis)</w:t>
            </w:r>
          </w:p>
        </w:tc>
        <w:tc>
          <w:tcPr>
            <w:tcW w:type="dxa" w:w="18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80"/>
            </w:tcMar>
          </w:tcPr>
          <w:p>
            <w:r>
              <w:rPr>
                <w:rFonts w:ascii="Arial" w:cs="Arial" w:eastAsia="Arial" w:hAnsi="Arial"/>
                <w:b w:val="false"/>
                <w:bCs w:val="false"/>
                <w:color w:val="1A7A4A"/>
                <w:sz w:val="20"/>
                <w:szCs w:val="20"/>
              </w:rPr>
              <w:t xml:space="preserve">$6,200M</w:t>
            </w:r>
          </w:p>
        </w:tc>
        <w:tc>
          <w:tcPr>
            <w:tcW w:type="dxa" w:w="18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80"/>
            </w:tcMar>
          </w:tcPr>
          <w:p>
            <w:r>
              <w:rPr>
                <w:rFonts w:ascii="Arial" w:cs="Arial" w:eastAsia="Arial" w:hAnsi="Arial"/>
                <w:b w:val="false"/>
                <w:bCs w:val="false"/>
                <w:color w:val="1A7A4A"/>
                <w:sz w:val="20"/>
                <w:szCs w:val="20"/>
              </w:rPr>
              <w:t xml:space="preserve">$6,480M</w:t>
            </w:r>
          </w:p>
        </w:tc>
        <w:tc>
          <w:tcPr>
            <w:tcW w:type="dxa" w:w="18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80"/>
            </w:tcMar>
          </w:tcPr>
          <w:p>
            <w:r>
              <w:rPr>
                <w:rFonts w:ascii="Arial" w:cs="Arial" w:eastAsia="Arial" w:hAnsi="Arial"/>
                <w:b w:val="false"/>
                <w:bCs w:val="false"/>
                <w:color w:val="1A7A4A"/>
                <w:sz w:val="20"/>
                <w:szCs w:val="20"/>
              </w:rPr>
              <w:t xml:space="preserve">$6,810M</w:t>
            </w:r>
          </w:p>
        </w:tc>
        <w:tc>
          <w:tcPr>
            <w:tcW w:type="dxa" w:w="174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80"/>
            </w:tcMar>
          </w:tcPr>
          <w:p>
            <w:r>
              <w:rPr>
                <w:rFonts w:ascii="Arial" w:cs="Arial" w:eastAsia="Arial" w:hAnsi="Arial"/>
                <w:b w:val="false"/>
                <w:bCs w:val="false"/>
                <w:color w:val="1A7A4A"/>
                <w:sz w:val="20"/>
                <w:szCs w:val="20"/>
              </w:rPr>
              <w:t xml:space="preserve">$7,180M</w:t>
            </w:r>
          </w:p>
        </w:tc>
      </w:tr>
      <w:tr>
        <w:tc>
          <w:tcPr>
            <w:tcW w:type="dxa" w:w="19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Hormuz Shock — Short (&lt; 2 wks)</w:t>
            </w:r>
          </w:p>
        </w:tc>
        <w:tc>
          <w:tcPr>
            <w:tcW w:type="dxa" w:w="188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80"/>
            </w:tcMar>
          </w:tcPr>
          <w:p>
            <w:r>
              <w:rPr>
                <w:rFonts w:ascii="Arial" w:cs="Arial" w:eastAsia="Arial" w:hAnsi="Arial"/>
                <w:b w:val="false"/>
                <w:bCs w:val="false"/>
                <w:color w:val="D4881E"/>
                <w:sz w:val="20"/>
                <w:szCs w:val="20"/>
              </w:rPr>
              <w:t xml:space="preserve">$6,200M</w:t>
            </w:r>
          </w:p>
        </w:tc>
        <w:tc>
          <w:tcPr>
            <w:tcW w:type="dxa" w:w="188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80"/>
            </w:tcMar>
          </w:tcPr>
          <w:p>
            <w:r>
              <w:rPr>
                <w:rFonts w:ascii="Arial" w:cs="Arial" w:eastAsia="Arial" w:hAnsi="Arial"/>
                <w:b w:val="false"/>
                <w:bCs w:val="false"/>
                <w:color w:val="D4881E"/>
                <w:sz w:val="20"/>
                <w:szCs w:val="20"/>
              </w:rPr>
              <w:t xml:space="preserve">$6,180M</w:t>
            </w:r>
          </w:p>
        </w:tc>
        <w:tc>
          <w:tcPr>
            <w:tcW w:type="dxa" w:w="188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80"/>
            </w:tcMar>
          </w:tcPr>
          <w:p>
            <w:r>
              <w:rPr>
                <w:rFonts w:ascii="Arial" w:cs="Arial" w:eastAsia="Arial" w:hAnsi="Arial"/>
                <w:b w:val="false"/>
                <w:bCs w:val="false"/>
                <w:color w:val="D4881E"/>
                <w:sz w:val="20"/>
                <w:szCs w:val="20"/>
              </w:rPr>
              <w:t xml:space="preserve">$6,420M</w:t>
            </w:r>
          </w:p>
        </w:tc>
        <w:tc>
          <w:tcPr>
            <w:tcW w:type="dxa" w:w="174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80"/>
            </w:tcMar>
          </w:tcPr>
          <w:p>
            <w:r>
              <w:rPr>
                <w:rFonts w:ascii="Arial" w:cs="Arial" w:eastAsia="Arial" w:hAnsi="Arial"/>
                <w:b w:val="false"/>
                <w:bCs w:val="false"/>
                <w:color w:val="D4881E"/>
                <w:sz w:val="20"/>
                <w:szCs w:val="20"/>
              </w:rPr>
              <w:t xml:space="preserve">$6,900M</w:t>
            </w:r>
          </w:p>
        </w:tc>
      </w:tr>
      <w:tr>
        <w:tc>
          <w:tcPr>
            <w:tcW w:type="dxa" w:w="19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Hormuz Shock — Extended (4–8 wks)</w:t>
            </w:r>
          </w:p>
        </w:tc>
        <w:tc>
          <w:tcPr>
            <w:tcW w:type="dxa" w:w="18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b w:val="false"/>
                <w:bCs w:val="false"/>
                <w:color w:val="C0392B"/>
                <w:sz w:val="20"/>
                <w:szCs w:val="20"/>
              </w:rPr>
              <w:t xml:space="preserve">$6,200M</w:t>
            </w:r>
          </w:p>
        </w:tc>
        <w:tc>
          <w:tcPr>
            <w:tcW w:type="dxa" w:w="18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b w:val="false"/>
                <w:bCs w:val="false"/>
                <w:color w:val="C0392B"/>
                <w:sz w:val="20"/>
                <w:szCs w:val="20"/>
              </w:rPr>
              <w:t xml:space="preserve">$5,900M</w:t>
            </w:r>
          </w:p>
        </w:tc>
        <w:tc>
          <w:tcPr>
            <w:tcW w:type="dxa" w:w="18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b w:val="false"/>
                <w:bCs w:val="false"/>
                <w:color w:val="C0392B"/>
                <w:sz w:val="20"/>
                <w:szCs w:val="20"/>
              </w:rPr>
              <w:t xml:space="preserve">$6,100M</w:t>
            </w:r>
          </w:p>
        </w:tc>
        <w:tc>
          <w:tcPr>
            <w:tcW w:type="dxa" w:w="17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b w:val="false"/>
                <w:bCs w:val="false"/>
                <w:color w:val="C0392B"/>
                <w:sz w:val="20"/>
                <w:szCs w:val="20"/>
              </w:rPr>
              <w:t xml:space="preserve">$6,600M</w:t>
            </w:r>
          </w:p>
        </w:tc>
      </w:tr>
      <w:tr>
        <w:tc>
          <w:tcPr>
            <w:tcW w:type="dxa" w:w="19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Hormuz Shock — Prolonged (3+ months)</w:t>
            </w:r>
          </w:p>
        </w:tc>
        <w:tc>
          <w:tcPr>
            <w:tcW w:type="dxa" w:w="18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b w:val="false"/>
                <w:bCs w:val="false"/>
                <w:color w:val="C0392B"/>
                <w:sz w:val="20"/>
                <w:szCs w:val="20"/>
              </w:rPr>
              <w:t xml:space="preserve">$6,200M</w:t>
            </w:r>
          </w:p>
        </w:tc>
        <w:tc>
          <w:tcPr>
            <w:tcW w:type="dxa" w:w="18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b w:val="false"/>
                <w:bCs w:val="false"/>
                <w:color w:val="C0392B"/>
                <w:sz w:val="20"/>
                <w:szCs w:val="20"/>
              </w:rPr>
              <w:t xml:space="preserve">$5,500M</w:t>
            </w:r>
          </w:p>
        </w:tc>
        <w:tc>
          <w:tcPr>
            <w:tcW w:type="dxa" w:w="18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b w:val="false"/>
                <w:bCs w:val="false"/>
                <w:color w:val="C0392B"/>
                <w:sz w:val="20"/>
                <w:szCs w:val="20"/>
              </w:rPr>
              <w:t xml:space="preserve">$5,700M</w:t>
            </w:r>
          </w:p>
        </w:tc>
        <w:tc>
          <w:tcPr>
            <w:tcW w:type="dxa" w:w="17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b w:val="false"/>
                <w:bCs w:val="false"/>
                <w:color w:val="C0392B"/>
                <w:sz w:val="20"/>
                <w:szCs w:val="20"/>
              </w:rPr>
              <w:t xml:space="preserve">$6,200M</w:t>
            </w:r>
          </w:p>
        </w:tc>
      </w:tr>
    </w:tbl>
    <w:p>
      <w:pPr>
        <w:spacing w:before="60" w:after="100"/>
      </w:pPr>
      <w:r>
        <w:rPr>
          <w:rFonts w:ascii="Arial" w:cs="Arial" w:eastAsia="Arial" w:hAnsi="Arial"/>
          <w:color w:val="2C3E50"/>
          <w:sz w:val="22"/>
          <w:szCs w:val="22"/>
        </w:rPr>
        <w:t xml:space="preserve">Note: </w:t>
      </w:r>
      <w:r>
        <w:rPr>
          <w:rFonts w:ascii="Arial" w:cs="Arial" w:eastAsia="Arial" w:hAnsi="Arial"/>
          <w:i/>
          <w:iCs/>
          <w:color w:val="5D6D7E"/>
          <w:sz w:val="22"/>
          <w:szCs w:val="22"/>
        </w:rPr>
        <w:t xml:space="preserve">Revenue estimates are analyst models — Shaw does not report standalone financials. Figures reflect estimated impact of (a) input cost compression on margin, (b) delayed housing recovery reducing residential volume, and (c) potential freight cost re-escalation. EBITDA margin assumes 150–250bps compression in extended scenarios.</w:t>
      </w:r>
    </w:p>
    <w:p>
      <w:pPr>
        <w:spacing w:before="160" w:after="0"/>
      </w:pPr>
    </w:p>
    <w:p>
      <w:pPr>
        <w:pStyle w:val="Heading1"/>
        <w:spacing w:before="280" w:after="100"/>
      </w:pPr>
      <w:r>
        <w:rPr>
          <w:rFonts w:ascii="Arial" w:cs="Arial" w:eastAsia="Arial" w:hAnsi="Arial"/>
          <w:b/>
          <w:bCs/>
          <w:color w:val="1B2D4F"/>
          <w:sz w:val="28"/>
          <w:szCs w:val="28"/>
        </w:rPr>
        <w:t xml:space="preserve">6. Mixed Signal: Asian LVT Import Disruption</w:t>
      </w:r>
    </w:p>
    <w:p>
      <w:pPr>
        <w:pBdr>
          <w:bottom w:val="single" w:color="BFCAD4" w:sz="4" w:space="1"/>
        </w:pBdr>
        <w:spacing w:before="120" w:after="120"/>
      </w:pPr>
    </w:p>
    <w:p>
      <w:pPr>
        <w:spacing w:before="60" w:after="100"/>
      </w:pPr>
      <w:r>
        <w:rPr>
          <w:rFonts w:ascii="Arial" w:cs="Arial" w:eastAsia="Arial" w:hAnsi="Arial"/>
          <w:b/>
          <w:bCs/>
          <w:color w:val="1B2D4F"/>
          <w:sz w:val="22"/>
          <w:szCs w:val="22"/>
        </w:rPr>
        <w:t xml:space="preserve">This is the one potentially positive transmission channel for Shaw. </w:t>
      </w:r>
      <w:r>
        <w:rPr>
          <w:rFonts w:ascii="Arial" w:cs="Arial" w:eastAsia="Arial" w:hAnsi="Arial"/>
          <w:color w:val="2C3E50"/>
          <w:sz w:val="22"/>
          <w:szCs w:val="22"/>
        </w:rPr>
        <w:t xml:space="preserve">Hormuz closure forces Asian LVT/SPC manufacturers to reroute shipments around the Cape of Good Hope (+10–14 days per voyage), raising their landed cost by est. $0.08–0.15/sq ft per voyage and delaying supply to U.S. customers by 2–4 weeks per cycle. This temporarily degrades the Asian import cost advantage that has been growing for three years.</w:t>
      </w:r>
    </w:p>
    <w:p>
      <w:pPr>
        <w:spacing w:before="60" w:after="0"/>
      </w:pPr>
    </w:p>
    <w:p>
      <w:pPr>
        <w:spacing w:before="60" w:after="100"/>
      </w:pPr>
      <w:r>
        <w:rPr>
          <w:rFonts w:ascii="Arial" w:cs="Arial" w:eastAsia="Arial" w:hAnsi="Arial"/>
          <w:b/>
          <w:bCs/>
          <w:color w:val="1B2D4F"/>
          <w:sz w:val="22"/>
          <w:szCs w:val="22"/>
        </w:rPr>
        <w:t xml:space="preserve">However, the same disruption also affects Shaw's SPC raw material supply. </w:t>
      </w:r>
      <w:r>
        <w:rPr>
          <w:rFonts w:ascii="Arial" w:cs="Arial" w:eastAsia="Arial" w:hAnsi="Arial"/>
          <w:color w:val="2C3E50"/>
          <w:sz w:val="22"/>
          <w:szCs w:val="22"/>
        </w:rPr>
        <w:t xml:space="preserve">Shaw's February 2025 SPC launch sources rigid core and wear-layer materials from Asia. A prolonged Hormuz closure would delay Shaw's own SPC production inputs, partially offsetting the competitive benefit.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FDEBD0" w:val="clear"/>
            <w:tcMar>
              <w:top w:type="dxa" w:w="100"/>
              <w:left w:type="dxa" w:w="120"/>
              <w:bottom w:type="dxa" w:w="100"/>
              <w:right w:type="dxa" w:w="120"/>
            </w:tcMar>
            <w:vAlign w:val="center"/>
          </w:tcPr>
          <w:p>
            <w:pPr>
              <w:jc w:val="center"/>
            </w:pPr>
            <w:r>
              <w:rPr>
                <w:rFonts w:ascii="Arial" w:cs="Arial" w:eastAsia="Arial" w:hAnsi="Arial"/>
                <w:b/>
                <w:bCs/>
                <w:color w:val="D4881E"/>
                <w:sz w:val="20"/>
                <w:szCs w:val="20"/>
              </w:rPr>
              <w:t xml:space="preserve">NET ASSESSMENT</w:t>
            </w:r>
          </w:p>
        </w:tc>
        <w:tc>
          <w:tcPr>
            <w:tcW w:type="dxa" w:w="8160"/>
            <w:tcBorders>
              <w:top w:val="single" w:color="D5D8DC" w:sz="1"/>
              <w:left w:val="single" w:color="D5D8DC" w:sz="1"/>
              <w:bottom w:val="single" w:color="D5D8DC" w:sz="1"/>
              <w:right w:val="single" w:color="D5D8DC" w:sz="1"/>
            </w:tcBorders>
            <w:shd w:fill="FFFFFF" w:val="clear"/>
            <w:tcMar>
              <w:top w:type="dxa" w:w="100"/>
              <w:left w:type="dxa" w:w="160"/>
              <w:bottom w:type="dxa" w:w="100"/>
              <w:right w:type="dxa" w:w="120"/>
            </w:tcMar>
          </w:tcPr>
          <w:p>
            <w:r>
              <w:rPr>
                <w:rFonts w:ascii="Arial" w:cs="Arial" w:eastAsia="Arial" w:hAnsi="Arial"/>
                <w:color w:val="2C3E50"/>
                <w:sz w:val="21"/>
                <w:szCs w:val="21"/>
              </w:rPr>
              <w:t xml:space="preserve">In a short-duration conflict (&lt; 2 weeks), Asian import disruption is marginally net-positive for Shaw's competitive position in LVT/SPC. In an extended conflict, the raw material sourcing disruption likely outweighs the competitive benefit. Monitor Census HS 3918 + 3919 import volumes for early data.</w:t>
            </w:r>
          </w:p>
        </w:tc>
      </w:tr>
    </w:tbl>
    <w:p>
      <w:pPr>
        <w:spacing w:before="160" w:after="0"/>
      </w:pPr>
    </w:p>
    <w:p>
      <w:pPr>
        <w:pStyle w:val="Heading1"/>
        <w:spacing w:before="280" w:after="100"/>
      </w:pPr>
      <w:r>
        <w:rPr>
          <w:rFonts w:ascii="Arial" w:cs="Arial" w:eastAsia="Arial" w:hAnsi="Arial"/>
          <w:b/>
          <w:bCs/>
          <w:color w:val="1B2D4F"/>
          <w:sz w:val="28"/>
          <w:szCs w:val="28"/>
        </w:rPr>
        <w:t xml:space="preserve">7. Recommended Immediate Actions</w:t>
      </w:r>
    </w:p>
    <w:p>
      <w:pPr>
        <w:pBdr>
          <w:bottom w:val="single" w:color="BFCAD4" w:sz="4" w:space="1"/>
        </w:pBdr>
        <w:spacing w:before="120" w:after="120"/>
      </w:pPr>
    </w:p>
    <w:p>
      <w:pPr>
        <w:pStyle w:val="Heading2"/>
        <w:spacing w:before="180" w:after="100"/>
      </w:pPr>
      <w:r>
        <w:rPr>
          <w:rFonts w:ascii="Arial" w:cs="Arial" w:eastAsia="Arial" w:hAnsi="Arial"/>
          <w:b/>
          <w:bCs/>
          <w:color w:val="1B2D4F"/>
          <w:sz w:val="24"/>
          <w:szCs w:val="24"/>
        </w:rPr>
        <w:t xml:space="preserve">7.1  Raw Material &amp; Inventory</w:t>
      </w:r>
    </w:p>
    <w:p>
      <w:pPr>
        <w:pStyle w:val="ListParagraph"/>
        <w:numPr>
          <w:ilvl w:val="0"/>
          <w:numId w:val="2"/>
        </w:numPr>
        <w:spacing w:before="40" w:after="40"/>
      </w:pPr>
      <w:r>
        <w:rPr>
          <w:rFonts w:ascii="Arial" w:cs="Arial" w:eastAsia="Arial" w:hAnsi="Arial"/>
          <w:color w:val="2C3E50"/>
          <w:sz w:val="22"/>
          <w:szCs w:val="22"/>
        </w:rPr>
        <w:t xml:space="preserve">Immediately audit current resin inventory position across all manufacturing facilities. Quantify weeks of cover at current production rates.</w:t>
      </w:r>
    </w:p>
    <w:p>
      <w:pPr>
        <w:pStyle w:val="ListParagraph"/>
        <w:numPr>
          <w:ilvl w:val="0"/>
          <w:numId w:val="2"/>
        </w:numPr>
        <w:spacing w:before="40" w:after="40"/>
      </w:pPr>
      <w:r>
        <w:rPr>
          <w:rFonts w:ascii="Arial" w:cs="Arial" w:eastAsia="Arial" w:hAnsi="Arial"/>
          <w:color w:val="2C3E50"/>
          <w:sz w:val="22"/>
          <w:szCs w:val="22"/>
        </w:rPr>
        <w:t xml:space="preserve">Accelerate any planned resin procurement ahead of full WPU0672 price spike (4–8 week lag from crude spike to fiber pricing).</w:t>
      </w:r>
    </w:p>
    <w:p>
      <w:pPr>
        <w:pStyle w:val="ListParagraph"/>
        <w:numPr>
          <w:ilvl w:val="0"/>
          <w:numId w:val="2"/>
        </w:numPr>
        <w:spacing w:before="40" w:after="40"/>
      </w:pPr>
      <w:r>
        <w:rPr>
          <w:rFonts w:ascii="Arial" w:cs="Arial" w:eastAsia="Arial" w:hAnsi="Arial"/>
          <w:color w:val="2C3E50"/>
          <w:sz w:val="22"/>
          <w:szCs w:val="22"/>
        </w:rPr>
        <w:t xml:space="preserve">Engage top nylon and polyester fiber suppliers (Invista, Ascend) for forward pricing conversations and supply commitment letters.</w:t>
      </w:r>
    </w:p>
    <w:p>
      <w:pPr>
        <w:pStyle w:val="ListParagraph"/>
        <w:numPr>
          <w:ilvl w:val="0"/>
          <w:numId w:val="2"/>
        </w:numPr>
        <w:spacing w:before="40" w:after="40"/>
      </w:pPr>
      <w:r>
        <w:rPr>
          <w:rFonts w:ascii="Arial" w:cs="Arial" w:eastAsia="Arial" w:hAnsi="Arial"/>
          <w:color w:val="2C3E50"/>
          <w:sz w:val="22"/>
          <w:szCs w:val="22"/>
        </w:rPr>
        <w:t xml:space="preserve">Identify potential domestic and non-Gulf alternative sources for SPC core and wear-layer materials to reduce Asia sourcing dependency.</w:t>
      </w:r>
    </w:p>
    <w:p>
      <w:pPr>
        <w:spacing w:before="60" w:after="0"/>
      </w:pPr>
    </w:p>
    <w:p>
      <w:pPr>
        <w:pStyle w:val="Heading2"/>
        <w:spacing w:before="180" w:after="100"/>
      </w:pPr>
      <w:r>
        <w:rPr>
          <w:rFonts w:ascii="Arial" w:cs="Arial" w:eastAsia="Arial" w:hAnsi="Arial"/>
          <w:b/>
          <w:bCs/>
          <w:color w:val="1B2D4F"/>
          <w:sz w:val="24"/>
          <w:szCs w:val="24"/>
        </w:rPr>
        <w:t xml:space="preserve">7.2  Pricing &amp; Customer Communication</w:t>
      </w:r>
    </w:p>
    <w:p>
      <w:pPr>
        <w:pStyle w:val="ListParagraph"/>
        <w:numPr>
          <w:ilvl w:val="0"/>
          <w:numId w:val="2"/>
        </w:numPr>
        <w:spacing w:before="40" w:after="40"/>
      </w:pPr>
      <w:r>
        <w:rPr>
          <w:rFonts w:ascii="Arial" w:cs="Arial" w:eastAsia="Arial" w:hAnsi="Arial"/>
          <w:color w:val="2C3E50"/>
          <w:sz w:val="22"/>
          <w:szCs w:val="22"/>
        </w:rPr>
        <w:t xml:space="preserve">Review all open pricing commitments and dealer contracts for force majeure or raw material escalation clauses.</w:t>
      </w:r>
    </w:p>
    <w:p>
      <w:pPr>
        <w:pStyle w:val="ListParagraph"/>
        <w:numPr>
          <w:ilvl w:val="0"/>
          <w:numId w:val="2"/>
        </w:numPr>
        <w:spacing w:before="40" w:after="40"/>
      </w:pPr>
      <w:r>
        <w:rPr>
          <w:rFonts w:ascii="Arial" w:cs="Arial" w:eastAsia="Arial" w:hAnsi="Arial"/>
          <w:color w:val="2C3E50"/>
          <w:sz w:val="22"/>
          <w:szCs w:val="22"/>
        </w:rPr>
        <w:t xml:space="preserve">Prepare customer communication on potential surcharge requirements if conflict extends beyond 3 weeks.</w:t>
      </w:r>
    </w:p>
    <w:p>
      <w:pPr>
        <w:pStyle w:val="ListParagraph"/>
        <w:numPr>
          <w:ilvl w:val="0"/>
          <w:numId w:val="2"/>
        </w:numPr>
        <w:spacing w:before="40" w:after="40"/>
      </w:pPr>
      <w:r>
        <w:rPr>
          <w:rFonts w:ascii="Arial" w:cs="Arial" w:eastAsia="Arial" w:hAnsi="Arial"/>
          <w:color w:val="2C3E50"/>
          <w:sz w:val="22"/>
          <w:szCs w:val="22"/>
        </w:rPr>
        <w:t xml:space="preserve">Delay any planned promotional pricing initiatives in the builder channel until input cost trajectory is clear.</w:t>
      </w:r>
    </w:p>
    <w:p>
      <w:pPr>
        <w:spacing w:before="60" w:after="0"/>
      </w:pPr>
    </w:p>
    <w:p>
      <w:pPr>
        <w:pStyle w:val="Heading2"/>
        <w:spacing w:before="180" w:after="100"/>
      </w:pPr>
      <w:r>
        <w:rPr>
          <w:rFonts w:ascii="Arial" w:cs="Arial" w:eastAsia="Arial" w:hAnsi="Arial"/>
          <w:b/>
          <w:bCs/>
          <w:color w:val="1B2D4F"/>
          <w:sz w:val="24"/>
          <w:szCs w:val="24"/>
        </w:rPr>
        <w:t xml:space="preserve">7.3  Scenario Planning &amp; Financial</w:t>
      </w:r>
    </w:p>
    <w:p>
      <w:pPr>
        <w:pStyle w:val="ListParagraph"/>
        <w:numPr>
          <w:ilvl w:val="0"/>
          <w:numId w:val="2"/>
        </w:numPr>
        <w:spacing w:before="40" w:after="40"/>
      </w:pPr>
      <w:r>
        <w:rPr>
          <w:rFonts w:ascii="Arial" w:cs="Arial" w:eastAsia="Arial" w:hAnsi="Arial"/>
          <w:color w:val="2C3E50"/>
          <w:sz w:val="22"/>
          <w:szCs w:val="22"/>
        </w:rPr>
        <w:t xml:space="preserve">Stress test 2025 revenue and EBITDA guidance against Hormuz Shock — Extended scenario (est. –$580M revenue, –200bps EBITDA margin vs. Base Case).</w:t>
      </w:r>
    </w:p>
    <w:p>
      <w:pPr>
        <w:pStyle w:val="ListParagraph"/>
        <w:numPr>
          <w:ilvl w:val="0"/>
          <w:numId w:val="2"/>
        </w:numPr>
        <w:spacing w:before="40" w:after="40"/>
      </w:pPr>
      <w:r>
        <w:rPr>
          <w:rFonts w:ascii="Arial" w:cs="Arial" w:eastAsia="Arial" w:hAnsi="Arial"/>
          <w:color w:val="2C3E50"/>
          <w:sz w:val="22"/>
          <w:szCs w:val="22"/>
        </w:rPr>
        <w:t xml:space="preserve">Review Berkshire Hathaway capital allocation expectations given the macro shift. BRK's buffer provides stability, but internal planning should reflect the updated environment.</w:t>
      </w:r>
    </w:p>
    <w:p>
      <w:pPr>
        <w:pStyle w:val="ListParagraph"/>
        <w:numPr>
          <w:ilvl w:val="0"/>
          <w:numId w:val="2"/>
        </w:numPr>
        <w:spacing w:before="40" w:after="40"/>
      </w:pPr>
      <w:r>
        <w:rPr>
          <w:rFonts w:ascii="Arial" w:cs="Arial" w:eastAsia="Arial" w:hAnsi="Arial"/>
          <w:color w:val="2C3E50"/>
          <w:sz w:val="22"/>
          <w:szCs w:val="22"/>
        </w:rPr>
        <w:t xml:space="preserve">Update the CEO Strategy Portal assumption monitor: three assumptions are now RED. Establish weekly ELT review cadence until conflict resolves.</w:t>
      </w:r>
    </w:p>
    <w:p>
      <w:pPr>
        <w:spacing w:before="60" w:after="0"/>
      </w:pPr>
    </w:p>
    <w:p>
      <w:pPr>
        <w:pStyle w:val="Heading2"/>
        <w:spacing w:before="180" w:after="100"/>
      </w:pPr>
      <w:r>
        <w:rPr>
          <w:rFonts w:ascii="Arial" w:cs="Arial" w:eastAsia="Arial" w:hAnsi="Arial"/>
          <w:b/>
          <w:bCs/>
          <w:color w:val="1B2D4F"/>
          <w:sz w:val="24"/>
          <w:szCs w:val="24"/>
        </w:rPr>
        <w:t xml:space="preserve">7.4  Data Monitoring (FRED + Market)</w:t>
      </w:r>
    </w:p>
    <w:p>
      <w:pPr>
        <w:pStyle w:val="ListParagraph"/>
        <w:numPr>
          <w:ilvl w:val="0"/>
          <w:numId w:val="2"/>
        </w:numPr>
        <w:spacing w:before="40" w:after="40"/>
      </w:pPr>
      <w:r>
        <w:rPr>
          <w:rFonts w:ascii="Arial" w:cs="Arial" w:eastAsia="Arial" w:hAnsi="Arial"/>
          <w:color w:val="2C3E50"/>
          <w:sz w:val="22"/>
          <w:szCs w:val="22"/>
        </w:rPr>
        <w:t xml:space="preserve">Add FRED DCOILWTICO (WTI Crude Oil Price) to the portal's live fact base — this is now the #1 leading indicator for Shaw's input cost trajectory.</w:t>
      </w:r>
    </w:p>
    <w:p>
      <w:pPr>
        <w:pStyle w:val="ListParagraph"/>
        <w:numPr>
          <w:ilvl w:val="0"/>
          <w:numId w:val="2"/>
        </w:numPr>
        <w:spacing w:before="40" w:after="40"/>
      </w:pPr>
      <w:r>
        <w:rPr>
          <w:rFonts w:ascii="Arial" w:cs="Arial" w:eastAsia="Arial" w:hAnsi="Arial"/>
          <w:color w:val="2C3E50"/>
          <w:sz w:val="22"/>
          <w:szCs w:val="22"/>
        </w:rPr>
        <w:t xml:space="preserve">Monitor ICIS nylon 6,6 and PET spot pricing weekly (not accessible via free APIs — requires subscription or manual tracking).</w:t>
      </w:r>
    </w:p>
    <w:p>
      <w:pPr>
        <w:pStyle w:val="ListParagraph"/>
        <w:numPr>
          <w:ilvl w:val="0"/>
          <w:numId w:val="2"/>
        </w:numPr>
        <w:spacing w:before="40" w:after="40"/>
      </w:pPr>
      <w:r>
        <w:rPr>
          <w:rFonts w:ascii="Arial" w:cs="Arial" w:eastAsia="Arial" w:hAnsi="Arial"/>
          <w:color w:val="2C3E50"/>
          <w:sz w:val="22"/>
          <w:szCs w:val="22"/>
        </w:rPr>
        <w:t xml:space="preserve">Track Census HS 3918 monthly import data for first evidence of Asian LVT import slowdown (data lags ~6 weeks).</w:t>
      </w:r>
    </w:p>
    <w:p>
      <w:pPr>
        <w:pStyle w:val="ListParagraph"/>
        <w:numPr>
          <w:ilvl w:val="0"/>
          <w:numId w:val="2"/>
        </w:numPr>
        <w:spacing w:before="40" w:after="40"/>
      </w:pPr>
      <w:r>
        <w:rPr>
          <w:rFonts w:ascii="Arial" w:cs="Arial" w:eastAsia="Arial" w:hAnsi="Arial"/>
          <w:color w:val="2C3E50"/>
          <w:sz w:val="22"/>
          <w:szCs w:val="22"/>
        </w:rPr>
        <w:t xml:space="preserve">Monitor AIS vessel tracking (MarineTraffic, Kpler, Vortexa) for resumption of Hormuz tanker transits as a de-escalation signal.</w:t>
      </w:r>
    </w:p>
    <w:p>
      <w:pPr>
        <w:spacing w:before="160" w:after="0"/>
      </w:pPr>
    </w:p>
    <w:p>
      <w:pPr>
        <w:pStyle w:val="Heading1"/>
        <w:spacing w:before="280" w:after="100"/>
      </w:pPr>
      <w:r>
        <w:rPr>
          <w:rFonts w:ascii="Arial" w:cs="Arial" w:eastAsia="Arial" w:hAnsi="Arial"/>
          <w:b/>
          <w:bCs/>
          <w:color w:val="1B2D4F"/>
          <w:sz w:val="28"/>
          <w:szCs w:val="28"/>
        </w:rPr>
        <w:t xml:space="preserve">8. Key Variables to Watch — Resolution vs. Escalation</w:t>
      </w:r>
    </w:p>
    <w:p>
      <w:pPr>
        <w:pBdr>
          <w:bottom w:val="single" w:color="BFCAD4"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5D8DC" w:sz="1"/>
              <w:left w:val="single" w:color="D5D8DC" w:sz="1"/>
              <w:bottom w:val="single" w:color="D5D8DC" w:sz="1"/>
              <w:right w:val="single" w:color="D5D8DC" w:sz="1"/>
            </w:tcBorders>
            <w:shd w:fill="1B2D4F" w:val="clear"/>
            <w:tcMar>
              <w:top w:type="dxa" w:w="80"/>
              <w:left w:type="dxa" w:w="120"/>
              <w:bottom w:type="dxa" w:w="80"/>
              <w:right w:type="dxa" w:w="80"/>
            </w:tcMar>
          </w:tcPr>
          <w:p>
            <w:r>
              <w:rPr>
                <w:rFonts w:ascii="Arial" w:cs="Arial" w:eastAsia="Arial" w:hAnsi="Arial"/>
                <w:b/>
                <w:bCs/>
                <w:color w:val="FFFFFF"/>
                <w:sz w:val="20"/>
                <w:szCs w:val="20"/>
              </w:rPr>
              <w:t xml:space="preserve">Variable</w:t>
            </w:r>
          </w:p>
        </w:tc>
        <w:tc>
          <w:tcPr>
            <w:tcW w:type="dxa" w:w="3080"/>
            <w:tcBorders>
              <w:top w:val="single" w:color="D5D8DC" w:sz="1"/>
              <w:left w:val="single" w:color="D5D8DC" w:sz="1"/>
              <w:bottom w:val="single" w:color="D5D8DC" w:sz="1"/>
              <w:right w:val="single" w:color="D5D8DC" w:sz="1"/>
            </w:tcBorders>
            <w:shd w:fill="1B2D4F" w:val="clear"/>
            <w:tcMar>
              <w:top w:type="dxa" w:w="80"/>
              <w:left w:type="dxa" w:w="120"/>
              <w:bottom w:type="dxa" w:w="80"/>
              <w:right w:type="dxa" w:w="80"/>
            </w:tcMar>
          </w:tcPr>
          <w:p>
            <w:r>
              <w:rPr>
                <w:rFonts w:ascii="Arial" w:cs="Arial" w:eastAsia="Arial" w:hAnsi="Arial"/>
                <w:b/>
                <w:bCs/>
                <w:color w:val="FFFFFF"/>
                <w:sz w:val="20"/>
                <w:szCs w:val="20"/>
              </w:rPr>
              <w:t xml:space="preserve">De-escalation Signal</w:t>
            </w:r>
          </w:p>
        </w:tc>
        <w:tc>
          <w:tcPr>
            <w:tcW w:type="dxa" w:w="3080"/>
            <w:tcBorders>
              <w:top w:val="single" w:color="D5D8DC" w:sz="1"/>
              <w:left w:val="single" w:color="D5D8DC" w:sz="1"/>
              <w:bottom w:val="single" w:color="D5D8DC" w:sz="1"/>
              <w:right w:val="single" w:color="D5D8DC" w:sz="1"/>
            </w:tcBorders>
            <w:shd w:fill="1B2D4F" w:val="clear"/>
            <w:tcMar>
              <w:top w:type="dxa" w:w="80"/>
              <w:left w:type="dxa" w:w="120"/>
              <w:bottom w:type="dxa" w:w="80"/>
              <w:right w:type="dxa" w:w="80"/>
            </w:tcMar>
          </w:tcPr>
          <w:p>
            <w:r>
              <w:rPr>
                <w:rFonts w:ascii="Arial" w:cs="Arial" w:eastAsia="Arial" w:hAnsi="Arial"/>
                <w:b/>
                <w:bCs/>
                <w:color w:val="FFFFFF"/>
                <w:sz w:val="20"/>
                <w:szCs w:val="20"/>
              </w:rPr>
              <w:t xml:space="preserve">Escalation Signal</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IRGC tanker attack frequency</w:t>
            </w:r>
          </w:p>
        </w:tc>
        <w:tc>
          <w:tcPr>
            <w:tcW w:type="dxa" w:w="30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80"/>
            </w:tcMar>
          </w:tcPr>
          <w:p>
            <w:r>
              <w:rPr>
                <w:rFonts w:ascii="Arial" w:cs="Arial" w:eastAsia="Arial" w:hAnsi="Arial"/>
                <w:color w:val="1A7A4A"/>
                <w:sz w:val="20"/>
                <w:szCs w:val="20"/>
              </w:rPr>
              <w:t xml:space="preserve">Attacks cease; AIS traffic resumes in Strait</w:t>
            </w:r>
          </w:p>
        </w:tc>
        <w:tc>
          <w:tcPr>
            <w:tcW w:type="dxa" w:w="30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C0392B"/>
                <w:sz w:val="20"/>
                <w:szCs w:val="20"/>
              </w:rPr>
              <w:t xml:space="preserve">Additional tanker strikes; insurance market exits further</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Diplomatic channel activity</w:t>
            </w:r>
          </w:p>
        </w:tc>
        <w:tc>
          <w:tcPr>
            <w:tcW w:type="dxa" w:w="30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80"/>
            </w:tcMar>
          </w:tcPr>
          <w:p>
            <w:r>
              <w:rPr>
                <w:rFonts w:ascii="Arial" w:cs="Arial" w:eastAsia="Arial" w:hAnsi="Arial"/>
                <w:color w:val="1A7A4A"/>
                <w:sz w:val="20"/>
                <w:szCs w:val="20"/>
              </w:rPr>
              <w:t xml:space="preserve">Iran-US intermediary talks confirmed; Gulf state mediation</w:t>
            </w:r>
          </w:p>
        </w:tc>
        <w:tc>
          <w:tcPr>
            <w:tcW w:type="dxa" w:w="30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C0392B"/>
                <w:sz w:val="20"/>
                <w:szCs w:val="20"/>
              </w:rPr>
              <w:t xml:space="preserve">Trump rejects negotiations; demands unconditional surrender maintained</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Brent crude price trajectory</w:t>
            </w:r>
          </w:p>
        </w:tc>
        <w:tc>
          <w:tcPr>
            <w:tcW w:type="dxa" w:w="30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80"/>
            </w:tcMar>
          </w:tcPr>
          <w:p>
            <w:r>
              <w:rPr>
                <w:rFonts w:ascii="Arial" w:cs="Arial" w:eastAsia="Arial" w:hAnsi="Arial"/>
                <w:color w:val="1A7A4A"/>
                <w:sz w:val="20"/>
                <w:szCs w:val="20"/>
              </w:rPr>
              <w:t xml:space="preserve">Brent falls below $80; Hormuz transit resumes</w:t>
            </w:r>
          </w:p>
        </w:tc>
        <w:tc>
          <w:tcPr>
            <w:tcW w:type="dxa" w:w="30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C0392B"/>
                <w:sz w:val="20"/>
                <w:szCs w:val="20"/>
              </w:rPr>
              <w:t xml:space="preserve">Brent sustains above $100; Qatar force majeure extends</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Strategic Petroleum Reserve release</w:t>
            </w:r>
          </w:p>
        </w:tc>
        <w:tc>
          <w:tcPr>
            <w:tcW w:type="dxa" w:w="30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80"/>
            </w:tcMar>
          </w:tcPr>
          <w:p>
            <w:r>
              <w:rPr>
                <w:rFonts w:ascii="Arial" w:cs="Arial" w:eastAsia="Arial" w:hAnsi="Arial"/>
                <w:color w:val="1A7A4A"/>
                <w:sz w:val="20"/>
                <w:szCs w:val="20"/>
              </w:rPr>
              <w:t xml:space="preserve">IEA coordinates SPR release; oil prices stabilize</w:t>
            </w:r>
          </w:p>
        </w:tc>
        <w:tc>
          <w:tcPr>
            <w:tcW w:type="dxa" w:w="30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C0392B"/>
                <w:sz w:val="20"/>
                <w:szCs w:val="20"/>
              </w:rPr>
              <w:t xml:space="preserve">SPR release fails to calm market; demand for $150 calls grows</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FRED DCOILWTICO (WTI spot)</w:t>
            </w:r>
          </w:p>
        </w:tc>
        <w:tc>
          <w:tcPr>
            <w:tcW w:type="dxa" w:w="30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80"/>
            </w:tcMar>
          </w:tcPr>
          <w:p>
            <w:r>
              <w:rPr>
                <w:rFonts w:ascii="Arial" w:cs="Arial" w:eastAsia="Arial" w:hAnsi="Arial"/>
                <w:color w:val="1A7A4A"/>
                <w:sz w:val="20"/>
                <w:szCs w:val="20"/>
              </w:rPr>
              <w:t xml:space="preserve">Returns to $70–75 range within 2 weeks</w:t>
            </w:r>
          </w:p>
        </w:tc>
        <w:tc>
          <w:tcPr>
            <w:tcW w:type="dxa" w:w="30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C0392B"/>
                <w:sz w:val="20"/>
                <w:szCs w:val="20"/>
              </w:rPr>
              <w:t xml:space="preserve">Sustains above $90; risk premium pricing in 3+ month duration</w:t>
            </w:r>
          </w:p>
        </w:tc>
      </w:tr>
      <w:tr>
        <w:tc>
          <w:tcPr>
            <w:tcW w:type="dxa" w:w="3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80"/>
            </w:tcMar>
          </w:tcPr>
          <w:p>
            <w:r>
              <w:rPr>
                <w:rFonts w:ascii="Arial" w:cs="Arial" w:eastAsia="Arial" w:hAnsi="Arial"/>
                <w:b/>
                <w:bCs/>
                <w:color w:val="1B2D4F"/>
                <w:sz w:val="20"/>
                <w:szCs w:val="20"/>
              </w:rPr>
              <w:t xml:space="preserve">Asian LVT import data (Census HS 3918)</w:t>
            </w:r>
          </w:p>
        </w:tc>
        <w:tc>
          <w:tcPr>
            <w:tcW w:type="dxa" w:w="30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80"/>
            </w:tcMar>
          </w:tcPr>
          <w:p>
            <w:r>
              <w:rPr>
                <w:rFonts w:ascii="Arial" w:cs="Arial" w:eastAsia="Arial" w:hAnsi="Arial"/>
                <w:color w:val="1A7A4A"/>
                <w:sz w:val="20"/>
                <w:szCs w:val="20"/>
              </w:rPr>
              <w:t xml:space="preserve">Import volumes normalize within 6 weeks</w:t>
            </w:r>
          </w:p>
        </w:tc>
        <w:tc>
          <w:tcPr>
            <w:tcW w:type="dxa" w:w="308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80"/>
            </w:tcMar>
          </w:tcPr>
          <w:p>
            <w:r>
              <w:rPr>
                <w:rFonts w:ascii="Arial" w:cs="Arial" w:eastAsia="Arial" w:hAnsi="Arial"/>
                <w:color w:val="C0392B"/>
                <w:sz w:val="20"/>
                <w:szCs w:val="20"/>
              </w:rPr>
              <w:t xml:space="preserve">Import volumes down &gt;15% for 2+ consecutive months</w:t>
            </w:r>
          </w:p>
        </w:tc>
      </w:tr>
    </w:tbl>
    <w:p>
      <w:pPr>
        <w:spacing w:before="200" w:after="0"/>
      </w:pPr>
    </w:p>
    <w:p>
      <w:pPr>
        <w:pBdr>
          <w:top w:val="single" w:color="1B2D4F" w:sz="4" w:space="6"/>
        </w:pBdr>
        <w:spacing w:before="200" w:after="0"/>
      </w:pPr>
      <w:r>
        <w:t xml:space="preserve"/>
      </w:r>
    </w:p>
    <w:p>
      <w:pPr>
        <w:spacing w:before="80" w:after="40"/>
        <w:jc w:val="center"/>
      </w:pPr>
      <w:r>
        <w:rPr>
          <w:rFonts w:ascii="Arial" w:cs="Arial" w:eastAsia="Arial" w:hAnsi="Arial"/>
          <w:b/>
          <w:bCs/>
          <w:caps/>
          <w:color w:val="5D6D7E"/>
          <w:sz w:val="16"/>
          <w:szCs w:val="16"/>
        </w:rPr>
        <w:t xml:space="preserve">SHAW INDUSTRIES GROUP, INC. — CONFIDENTIAL ELT DOCUMENT</w:t>
      </w:r>
    </w:p>
    <w:p>
      <w:pPr>
        <w:spacing w:before="0" w:after="0"/>
        <w:jc w:val="center"/>
      </w:pPr>
      <w:r>
        <w:rPr>
          <w:rFonts w:ascii="Arial" w:cs="Arial" w:eastAsia="Arial" w:hAnsi="Arial"/>
          <w:color w:val="5D6D7E"/>
          <w:sz w:val="16"/>
          <w:szCs w:val="16"/>
        </w:rPr>
        <w:t xml:space="preserve">Prepared: March 9, 2026  |  Data sources: FRED, ICIS, Kpler, CNBC, Bloomberg, Lloyd's List, Congressional Research Service</w:t>
      </w:r>
    </w:p>
    <w:p>
      <w:pPr>
        <w:spacing w:before="20" w:after="0"/>
        <w:jc w:val="center"/>
      </w:pPr>
      <w:r>
        <w:rPr>
          <w:rFonts w:ascii="Arial" w:cs="Arial" w:eastAsia="Arial" w:hAnsi="Arial"/>
          <w:i/>
          <w:iCs/>
          <w:color w:val="5D6D7E"/>
          <w:sz w:val="16"/>
          <w:szCs w:val="16"/>
        </w:rPr>
        <w:t xml:space="preserve">This brief should be reviewed in conjunction with the Shaw CEO Strategy Portal — Geopolitical Risk module.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1B2D4F"/>
      <w:sz w:val="28"/>
      <w:szCs w:val="28"/>
    </w:rPr>
  </w:style>
  <w:style w:type="paragraph" w:styleId="Heading2">
    <w:name w:val="Heading 2"/>
    <w:basedOn w:val="Normal"/>
    <w:next w:val="Normal"/>
    <w:qFormat/>
    <w:pPr>
      <w:spacing w:before="180" w:after="80"/>
      <w:outlineLvl w:val="1"/>
    </w:pPr>
    <w:rPr>
      <w:rFonts w:ascii="Arial" w:cs="Arial" w:eastAsia="Arial" w:hAnsi="Arial"/>
      <w:b/>
      <w:bCs/>
      <w:color w:val="1B2D4F"/>
      <w:sz w:val="24"/>
      <w:szCs w:val="24"/>
    </w:rPr>
  </w:style>
  <w:style w:type="paragraph" w:styleId="Heading3">
    <w:name w:val="Heading 3"/>
    <w:basedOn w:val="Normal"/>
    <w:next w:val="Normal"/>
    <w:qFormat/>
    <w:pPr>
      <w:spacing w:before="140" w:after="6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2026-03-09T11:40:17.410Z</dcterms:created>
  <dcterms:modified xsi:type="dcterms:W3CDTF">2026-03-09T11:40:17.411Z</dcterms:modified>
</cp:coreProperties>
</file>

<file path=docProps/custom.xml><?xml version="1.0" encoding="utf-8"?>
<Properties xmlns="http://schemas.openxmlformats.org/officeDocument/2006/custom-properties" xmlns:vt="http://schemas.openxmlformats.org/officeDocument/2006/docPropsVTypes"/>
</file>