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5548E" w14:textId="2949EB3B" w:rsidR="00AB56DB" w:rsidRDefault="00AB56DB" w:rsidP="00AB56DB">
      <w:pPr>
        <w:pStyle w:val="CVH1Font"/>
      </w:pPr>
      <w:r>
        <w:t>Executive Summary (</w:t>
      </w:r>
      <w:r w:rsidR="000B7B63">
        <w:t>400 Words)</w:t>
      </w:r>
    </w:p>
    <w:p w14:paraId="36FB880A" w14:textId="129C7DF2" w:rsidR="004B29DF" w:rsidRDefault="007A75CB" w:rsidP="0007143D">
      <w:pPr>
        <w:pStyle w:val="CVParaFont"/>
      </w:pPr>
      <w:r>
        <w:t xml:space="preserve">This </w:t>
      </w:r>
      <w:r w:rsidR="0007143D">
        <w:t>document reports solutions to the following two named problems: ‘Age’ and ‘Churning Scrutiny’</w:t>
      </w:r>
      <w:r w:rsidR="00420477">
        <w:t xml:space="preserve">. </w:t>
      </w:r>
      <w:r w:rsidR="00486C0C">
        <w:t>A logistic regression classification model was designed for the first problem</w:t>
      </w:r>
      <w:r w:rsidR="00226134">
        <w:t>, the aim of which was to determine the ability of a customer’s age</w:t>
      </w:r>
      <w:r w:rsidR="00200005">
        <w:t xml:space="preserve"> to determine </w:t>
      </w:r>
      <w:r w:rsidR="007C4B4A">
        <w:t>whether they may be eligible for a credit card. Secondary to this was to determine the ability of two other features</w:t>
      </w:r>
      <w:r w:rsidR="00D72414">
        <w:t xml:space="preserve"> to do the same.</w:t>
      </w:r>
      <w:r w:rsidR="00B37A8F">
        <w:t xml:space="preserve"> Data cleaning and a Box</w:t>
      </w:r>
      <w:r w:rsidR="00A011D8">
        <w:t xml:space="preserve"> </w:t>
      </w:r>
      <w:r w:rsidR="00B37A8F">
        <w:t xml:space="preserve">Tidwell test were carried out to determine </w:t>
      </w:r>
      <w:r w:rsidR="000E2565">
        <w:t>suitability of the age feature for a logistic regression</w:t>
      </w:r>
      <w:r w:rsidR="008D3B5E">
        <w:t xml:space="preserve">. </w:t>
      </w:r>
      <w:r w:rsidR="00C42CFD">
        <w:t>The data were split into training and testing subsets</w:t>
      </w:r>
      <w:r w:rsidR="00AC7BD6">
        <w:t xml:space="preserve"> and the logistic regression model was trained and tested using these data</w:t>
      </w:r>
      <w:r w:rsidR="004D6252">
        <w:t>, revealing very little information about the ability of age to determine credit card ownership</w:t>
      </w:r>
      <w:r w:rsidR="006C46F7">
        <w:t xml:space="preserve">. A confusion matrix and accuracy score </w:t>
      </w:r>
      <w:r w:rsidR="00850EA3">
        <w:t>of 53% illustrate that</w:t>
      </w:r>
      <w:r w:rsidR="00157588">
        <w:t xml:space="preserve"> age is not a good predictor of credit card ownership</w:t>
      </w:r>
      <w:r w:rsidR="00034423">
        <w:t>.</w:t>
      </w:r>
    </w:p>
    <w:p w14:paraId="3C85C09C" w14:textId="25E954A0" w:rsidR="003D5E09" w:rsidRDefault="004B29DF" w:rsidP="0007143D">
      <w:pPr>
        <w:pStyle w:val="CVParaFont"/>
      </w:pPr>
      <w:r>
        <w:t xml:space="preserve">Other features were selected </w:t>
      </w:r>
      <w:r w:rsidR="00706DBF">
        <w:t xml:space="preserve">as predictors for credit card eligibility using </w:t>
      </w:r>
      <w:r w:rsidR="006015B9">
        <w:t>Chi squared</w:t>
      </w:r>
      <w:r w:rsidR="00A07F75">
        <w:t xml:space="preserve"> </w:t>
      </w:r>
      <w:r w:rsidR="005C1586">
        <w:t xml:space="preserve">and Kruskal-Wallis </w:t>
      </w:r>
      <w:r w:rsidR="00A07F75">
        <w:t>tests</w:t>
      </w:r>
      <w:r w:rsidR="006015B9">
        <w:t>,</w:t>
      </w:r>
      <w:r w:rsidR="005C1586">
        <w:t xml:space="preserve"> point-biserial correlations</w:t>
      </w:r>
      <w:r w:rsidR="002A228A">
        <w:t xml:space="preserve"> and </w:t>
      </w:r>
      <w:r w:rsidR="00B47C36">
        <w:t xml:space="preserve">variance inflation factor calculation. </w:t>
      </w:r>
      <w:r w:rsidR="005D5B75">
        <w:t>Two logistic regression models were constructed</w:t>
      </w:r>
      <w:r w:rsidR="002F080C">
        <w:t xml:space="preserve"> using tenure and Own_property as predictor variables</w:t>
      </w:r>
      <w:r w:rsidR="000051C9">
        <w:t>. Similar to the model</w:t>
      </w:r>
      <w:r w:rsidR="00D1371E">
        <w:t xml:space="preserve"> trained on</w:t>
      </w:r>
      <w:r w:rsidR="000051C9">
        <w:t xml:space="preserve"> age, the accurac</w:t>
      </w:r>
      <w:r w:rsidR="004609E3">
        <w:t>ies</w:t>
      </w:r>
      <w:r w:rsidR="000051C9">
        <w:t xml:space="preserve"> of these models were 51% and 58%, respectively</w:t>
      </w:r>
      <w:r w:rsidR="004609E3">
        <w:t xml:space="preserve">. The area under a ROC-curve was used as a metric to determine </w:t>
      </w:r>
      <w:r w:rsidR="00A31D6D">
        <w:t xml:space="preserve">how close to random these classification models were. For tenure and Own_property, these values indicate </w:t>
      </w:r>
      <w:r w:rsidR="00FF6F99">
        <w:t>better</w:t>
      </w:r>
      <w:r w:rsidR="00A011D8">
        <w:t xml:space="preserve"> </w:t>
      </w:r>
      <w:r w:rsidR="00FF6F99">
        <w:t>than</w:t>
      </w:r>
      <w:r w:rsidR="00A011D8">
        <w:t xml:space="preserve"> </w:t>
      </w:r>
      <w:r w:rsidR="00A31D6D">
        <w:t>random</w:t>
      </w:r>
      <w:r w:rsidR="00FF6F99">
        <w:t xml:space="preserve"> classification of the credit_card class.</w:t>
      </w:r>
    </w:p>
    <w:p w14:paraId="5C1EDCA4" w14:textId="77777777" w:rsidR="00414980" w:rsidRDefault="003D5E09" w:rsidP="003D5E09">
      <w:pPr>
        <w:pStyle w:val="CVParaFont"/>
      </w:pPr>
      <w:r>
        <w:t xml:space="preserve">The second problem was purely statistical in nature. Spearman’s </w:t>
      </w:r>
      <m:oMath>
        <m:r>
          <w:rPr>
            <w:rFonts w:ascii="Cambria Math" w:hAnsi="Cambria Math"/>
          </w:rPr>
          <m:t>ρ</m:t>
        </m:r>
      </m:oMath>
      <w:r>
        <w:t xml:space="preserve"> correlation coefficients were used to determine an association between </w:t>
      </w:r>
      <w:r w:rsidR="007E022F">
        <w:t xml:space="preserve">balance and tenure attributes. The result of this shows </w:t>
      </w:r>
      <w:r w:rsidR="00690FF9">
        <w:t>very little association</w:t>
      </w:r>
      <w:r w:rsidR="00BC3131">
        <w:t xml:space="preserve">, potentially owing to the </w:t>
      </w:r>
      <w:r w:rsidR="00860C04">
        <w:t>interval nature of the tenure attribute. Next, a similar process was carried out for all other</w:t>
      </w:r>
      <w:r w:rsidR="009D2FDC">
        <w:t xml:space="preserve"> attributes in the data, using point-biserial correlation, Spearman’s </w:t>
      </w:r>
      <m:oMath>
        <m:r>
          <w:rPr>
            <w:rFonts w:ascii="Cambria Math" w:hAnsi="Cambria Math"/>
          </w:rPr>
          <m:t>ρ</m:t>
        </m:r>
      </m:oMath>
      <w:r w:rsidR="009D2FDC">
        <w:t xml:space="preserve"> and Kruskal-Wallis tests</w:t>
      </w:r>
      <w:r w:rsidR="000D4734">
        <w:t xml:space="preserve"> to determine associations between other attributes and balance. Of all of these, eight </w:t>
      </w:r>
      <w:r w:rsidR="00587AA5">
        <w:t>attributes were found to have significant associations with balance under specific circumstances.</w:t>
      </w:r>
    </w:p>
    <w:p w14:paraId="7E91B40F" w14:textId="024027E8" w:rsidR="00AB56DB" w:rsidRDefault="00414980" w:rsidP="003D5E09">
      <w:pPr>
        <w:pStyle w:val="CVParaFont"/>
      </w:pPr>
      <w:r>
        <w:t>In repeated study, it may be useful to test other classification models</w:t>
      </w:r>
      <w:r w:rsidR="004A00B6">
        <w:t xml:space="preserve"> to see if they provide an increase in classification performance over logistic regression. </w:t>
      </w:r>
      <w:r w:rsidR="002D7BDA">
        <w:t>A</w:t>
      </w:r>
      <w:r w:rsidR="00A92029">
        <w:t xml:space="preserve"> na</w:t>
      </w:r>
      <w:r w:rsidR="00B3266D">
        <w:t>ïve Bayes classifier</w:t>
      </w:r>
      <w:r w:rsidR="00415906">
        <w:t xml:space="preserve"> or </w:t>
      </w:r>
      <w:r w:rsidR="00685E15">
        <w:t>support vector machine</w:t>
      </w:r>
      <w:r w:rsidR="00B3266D">
        <w:t xml:space="preserve"> could </w:t>
      </w:r>
      <w:r w:rsidR="002F76F2">
        <w:t>be good alternative</w:t>
      </w:r>
      <w:r w:rsidR="00685E15">
        <w:t xml:space="preserve"> candidates</w:t>
      </w:r>
      <w:r w:rsidR="002F76F2">
        <w:t>, or a simple decision tree classifier</w:t>
      </w:r>
      <w:r w:rsidR="00551CC8">
        <w:t>.</w:t>
      </w:r>
      <w:r w:rsidR="007D454A">
        <w:t xml:space="preserve"> </w:t>
      </w:r>
      <w:r w:rsidR="00804053">
        <w:t xml:space="preserve">For the </w:t>
      </w:r>
      <w:r w:rsidR="00D738A1">
        <w:t>Churning Scrutiny problem, other machine learning solutions could have been</w:t>
      </w:r>
      <w:r w:rsidR="00E0036E">
        <w:t xml:space="preserve"> possible that may have provided me with more tangible results than what was calculated here using statistics.</w:t>
      </w:r>
      <w:r w:rsidR="00AB56DB">
        <w:br w:type="page"/>
      </w:r>
    </w:p>
    <w:p w14:paraId="6F7CA49F" w14:textId="3E5E3717" w:rsidR="00AB56DB" w:rsidRDefault="00AB56DB" w:rsidP="00AB56DB">
      <w:pPr>
        <w:pStyle w:val="CVH1Font"/>
      </w:pPr>
      <w:r>
        <w:lastRenderedPageBreak/>
        <w:t>Task 1: Discussion of Techniques</w:t>
      </w:r>
    </w:p>
    <w:p w14:paraId="1A49CF13" w14:textId="77777777" w:rsidR="004C2867" w:rsidRDefault="00F62A62" w:rsidP="00F62A62">
      <w:pPr>
        <w:pStyle w:val="CVH2Font"/>
      </w:pPr>
      <w:r>
        <w:t>Problem 1: ‘Age’</w:t>
      </w:r>
    </w:p>
    <w:p w14:paraId="57DD63DD" w14:textId="7A1B8B5B" w:rsidR="005019AB" w:rsidRDefault="005019AB" w:rsidP="005019AB">
      <w:pPr>
        <w:pStyle w:val="CVParaFont"/>
      </w:pPr>
      <w:r>
        <w:t>The question of whether age is a good predictor of credit card eligibility is a classification problem – can we use the age attribute of this dataset to determine whether a customer is eligible for a credit card?</w:t>
      </w:r>
    </w:p>
    <w:p w14:paraId="2B6118C2" w14:textId="78BF2438" w:rsidR="005019AB" w:rsidRPr="005019AB" w:rsidRDefault="005019AB" w:rsidP="005019AB">
      <w:pPr>
        <w:pStyle w:val="CVH3Font"/>
      </w:pPr>
      <w:r>
        <w:t>Logistic Regression</w:t>
      </w:r>
    </w:p>
    <w:p w14:paraId="0EEB8F16" w14:textId="340F9443" w:rsidR="0062063C" w:rsidRDefault="00704DD9" w:rsidP="00917E58">
      <w:pPr>
        <w:pStyle w:val="CVParaFont"/>
      </w:pPr>
      <w:r>
        <w:t>To</w:t>
      </w:r>
      <w:r w:rsidR="0062063C">
        <w:t xml:space="preserve"> answer this, a suitable </w:t>
      </w:r>
      <w:r w:rsidR="00950612">
        <w:t>classification method need</w:t>
      </w:r>
      <w:r w:rsidR="003007DF">
        <w:t>s</w:t>
      </w:r>
      <w:r w:rsidR="00950612">
        <w:t xml:space="preserve"> to be selected. </w:t>
      </w:r>
      <w:r w:rsidR="00F16AD8">
        <w:t>The l</w:t>
      </w:r>
      <w:r w:rsidR="002D1123">
        <w:t xml:space="preserve">ogistic </w:t>
      </w:r>
      <w:r w:rsidR="00F16AD8">
        <w:t>r</w:t>
      </w:r>
      <w:r w:rsidR="002D1123">
        <w:t xml:space="preserve">egression </w:t>
      </w:r>
      <w:r w:rsidR="00E07A84">
        <w:t xml:space="preserve">classification model </w:t>
      </w:r>
      <w:r w:rsidR="00C744CE">
        <w:t xml:space="preserve">is effective at classifying binary and multinomial </w:t>
      </w:r>
      <w:r w:rsidR="00D03F99">
        <w:t>data</w:t>
      </w:r>
      <w:r w:rsidR="002A7153">
        <w:t xml:space="preserve"> using </w:t>
      </w:r>
      <w:r w:rsidR="002719AB">
        <w:t>multiple predictor variables</w:t>
      </w:r>
      <w:r w:rsidR="00F16AD8">
        <w:t xml:space="preserve">. </w:t>
      </w:r>
      <w:r w:rsidR="00296AB4">
        <w:t xml:space="preserve">This type of </w:t>
      </w:r>
      <w:r w:rsidR="00DF50C6">
        <w:t xml:space="preserve">regression mandates that four </w:t>
      </w:r>
      <w:r w:rsidR="005F3D90">
        <w:t>conditions</w:t>
      </w:r>
      <w:r w:rsidR="00DF50C6">
        <w:t xml:space="preserve"> be met</w:t>
      </w:r>
      <w:r w:rsidR="005F3D90">
        <w:t xml:space="preserve"> </w:t>
      </w:r>
      <w:r w:rsidR="005F3D90">
        <w:fldChar w:fldCharType="begin"/>
      </w:r>
      <w:r w:rsidR="00792360">
        <w:instrText xml:space="preserve"> ADDIN ZOTERO_ITEM CSL_CITATION {"citationID":"OkckNCeW","properties":{"formattedCitation":"[1]","plainCitation":"[1]","noteIndex":0},"citationItems":[{"id":972,"uris":["http://zotero.org/users/7469534/items/BNW7373W"],"itemData":{"id":972,"type":"book","publisher":"pearson Boston, MA","title":"Using multivariate statistics","volume":"6","author":[{"family":"Tabachnick","given":"Barbara G"},{"family":"Fidell","given":"Linda S"},{"family":"Ullman","given":"Jodie B"}],"issued":{"date-parts":[["2013"]]}}}],"schema":"https://github.com/citation-style-language/schema/raw/master/csl-citation.json"} </w:instrText>
      </w:r>
      <w:r w:rsidR="005F3D90">
        <w:fldChar w:fldCharType="separate"/>
      </w:r>
      <w:r w:rsidR="00792360" w:rsidRPr="00792360">
        <w:rPr>
          <w:rFonts w:cs="Tahoma"/>
        </w:rPr>
        <w:t>[1]</w:t>
      </w:r>
      <w:r w:rsidR="005F3D90">
        <w:fldChar w:fldCharType="end"/>
      </w:r>
      <w:r w:rsidR="00DF50C6">
        <w:t>:</w:t>
      </w:r>
      <w:r w:rsidR="009625F0">
        <w:t xml:space="preserve"> </w:t>
      </w:r>
      <w:r w:rsidR="00A22421">
        <w:t>i</w:t>
      </w:r>
      <w:r w:rsidR="009625F0">
        <w:t>ndependen</w:t>
      </w:r>
      <w:r w:rsidR="00A22421">
        <w:t>t</w:t>
      </w:r>
      <w:r w:rsidR="009625F0">
        <w:t xml:space="preserve"> </w:t>
      </w:r>
      <w:r w:rsidR="00A22421">
        <w:t>measurements</w:t>
      </w:r>
      <w:r w:rsidR="009625F0">
        <w:t xml:space="preserve">; linearity between variables and </w:t>
      </w:r>
      <w:r w:rsidR="00D0436F">
        <w:t xml:space="preserve">the </w:t>
      </w:r>
      <w:r w:rsidR="002277D6">
        <w:t xml:space="preserve">logarithmically transformed </w:t>
      </w:r>
      <w:r w:rsidR="00D0436F">
        <w:t>response variable</w:t>
      </w:r>
      <w:r w:rsidR="002277D6">
        <w:t xml:space="preserve">; </w:t>
      </w:r>
      <w:r w:rsidR="00AE0399">
        <w:t xml:space="preserve">absence of multicollinearity between variables; and </w:t>
      </w:r>
      <w:r w:rsidR="005F3D90">
        <w:t>sufficient sample size.</w:t>
      </w:r>
      <w:r w:rsidR="00724485">
        <w:t xml:space="preserve"> In the case of univariate regression</w:t>
      </w:r>
      <w:r w:rsidR="000C74F4">
        <w:t xml:space="preserve">, </w:t>
      </w:r>
      <w:r w:rsidR="007B7638">
        <w:t>there is no multicollinearity</w:t>
      </w:r>
      <w:r w:rsidR="00A51E75">
        <w:t xml:space="preserve">, so this can be disregarded. </w:t>
      </w:r>
      <w:r w:rsidR="0099231A">
        <w:t xml:space="preserve">Given that each </w:t>
      </w:r>
      <w:r w:rsidR="00FD291A">
        <w:t>instance</w:t>
      </w:r>
      <w:r w:rsidR="0099231A">
        <w:t xml:space="preserve"> </w:t>
      </w:r>
      <w:r w:rsidR="00FD291A">
        <w:t>in</w:t>
      </w:r>
      <w:r w:rsidR="0099231A">
        <w:t xml:space="preserve"> the dataset is an individual customer, it can be assumed that each is an independent measurement, </w:t>
      </w:r>
      <w:r w:rsidR="00D0436F">
        <w:t xml:space="preserve">and linearity between </w:t>
      </w:r>
      <w:r w:rsidR="0070337B">
        <w:t>the log of the response variable and continuous variables can be tested using the Box-Tidwell approach</w:t>
      </w:r>
      <w:r w:rsidR="00240FF1">
        <w:t xml:space="preserve"> </w:t>
      </w:r>
      <w:r w:rsidR="0093135B">
        <w:fldChar w:fldCharType="begin"/>
      </w:r>
      <w:r w:rsidR="00792360">
        <w:instrText xml:space="preserve"> ADDIN ZOTERO_ITEM CSL_CITATION {"citationID":"NzxOqoRX","properties":{"formattedCitation":"[2]","plainCitation":"[2]","noteIndex":0},"citationItems":[{"id":973,"uris":["http://zotero.org/users/7469534/items/QTPVWGZP"],"itemData":{"id":973,"type":"article-journal","abstract":"In representing a realationship between a response and a number of independent variables, it is preferable when possible to work with a simple functional form in transformed variables rather than with a more complicated form in the original variables. This paper describes and illustrates a procedure to estimate appropriate transformations in this context.","container-title":"Technometrics","DOI":"10.1080/00401706.1962.10490038","ISSN":"0040-1706","issue":"4","note":"publisher: ASA Website\n_eprint: https://www.tandfonline.com/doi/pdf/10.1080/00401706.1962.10490038","page":"531-550","source":"Taylor and Francis+NEJM","title":"Transformation of the Independent Variables","volume":"4","author":[{"family":"Box","given":"G. E.P."},{"family":"Tidwell","given":"Paul W."}],"issued":{"date-parts":[["1962",11,1]]}}}],"schema":"https://github.com/citation-style-language/schema/raw/master/csl-citation.json"} </w:instrText>
      </w:r>
      <w:r w:rsidR="0093135B">
        <w:fldChar w:fldCharType="separate"/>
      </w:r>
      <w:r w:rsidR="00792360" w:rsidRPr="00792360">
        <w:rPr>
          <w:rFonts w:cs="Tahoma"/>
        </w:rPr>
        <w:t>[2]</w:t>
      </w:r>
      <w:r w:rsidR="0093135B">
        <w:fldChar w:fldCharType="end"/>
      </w:r>
      <w:r w:rsidR="0070337B">
        <w:t>.</w:t>
      </w:r>
    </w:p>
    <w:p w14:paraId="76C4281F" w14:textId="6AF9E82C" w:rsidR="00126225" w:rsidRDefault="00352736" w:rsidP="00917E58">
      <w:pPr>
        <w:pStyle w:val="CVParaFont"/>
      </w:pPr>
      <w:r>
        <w:t xml:space="preserve">The </w:t>
      </w:r>
      <w:r w:rsidR="00AD55DF">
        <w:t>benefit</w:t>
      </w:r>
      <w:r>
        <w:t xml:space="preserve"> of using logistic regression is that it places few restrictions on the data – the </w:t>
      </w:r>
      <w:r w:rsidR="00070DB2">
        <w:t xml:space="preserve">predictor variable can be continuous, ordinal, </w:t>
      </w:r>
      <w:r w:rsidR="00E206C7">
        <w:t xml:space="preserve">or </w:t>
      </w:r>
      <w:r w:rsidR="00070DB2">
        <w:t xml:space="preserve">nominal provided </w:t>
      </w:r>
      <w:r w:rsidR="000E21AA">
        <w:t>dummy variables are used</w:t>
      </w:r>
      <w:r w:rsidR="00AD55DF">
        <w:t xml:space="preserve">. This allows us </w:t>
      </w:r>
      <w:r w:rsidR="001A7E70">
        <w:t>to examine each of the predictor variables using univariate and multivariate analysis</w:t>
      </w:r>
      <w:r w:rsidR="001A2C4B">
        <w:t>, regardless of the mixture of data types</w:t>
      </w:r>
      <w:r w:rsidR="0003409A">
        <w:t xml:space="preserve">. Furthermore, this does not require the data to exhibit any </w:t>
      </w:r>
      <w:r w:rsidR="007309FD">
        <w:t>probability distribution</w:t>
      </w:r>
      <w:r w:rsidR="00ED4A46">
        <w:t xml:space="preserve">. The only data type restriction is that the outcome variable </w:t>
      </w:r>
      <w:r w:rsidR="00782BFD">
        <w:t xml:space="preserve">must </w:t>
      </w:r>
      <w:r w:rsidR="00ED4A46">
        <w:t xml:space="preserve">be </w:t>
      </w:r>
      <w:r w:rsidR="00E6685F">
        <w:t>categorical</w:t>
      </w:r>
      <w:r w:rsidR="007A1F59">
        <w:t>.</w:t>
      </w:r>
    </w:p>
    <w:p w14:paraId="0B6618C2" w14:textId="293E6F9B" w:rsidR="000F0C62" w:rsidRDefault="00F71898" w:rsidP="00917E58">
      <w:pPr>
        <w:pStyle w:val="CVParaFont"/>
      </w:pPr>
      <w:r>
        <w:t xml:space="preserve">Logistic regression </w:t>
      </w:r>
      <w:r w:rsidR="00C73C21">
        <w:t xml:space="preserve">starts to falter </w:t>
      </w:r>
      <w:r w:rsidR="00EB7549">
        <w:t xml:space="preserve">as complexity increases – this is because the </w:t>
      </w:r>
      <w:r w:rsidR="0035129B">
        <w:t>loss</w:t>
      </w:r>
      <w:r w:rsidR="00EB7549">
        <w:t xml:space="preserve"> function (</w:t>
      </w:r>
      <w:r w:rsidR="0046208D">
        <w:t>Eq. 1</w:t>
      </w:r>
      <w:r w:rsidR="00EB7549">
        <w:t xml:space="preserve">) </w:t>
      </w:r>
      <w:r w:rsidR="003C2DBA">
        <w:t xml:space="preserve">does not </w:t>
      </w:r>
      <w:r w:rsidR="00240FF1">
        <w:t>punish</w:t>
      </w:r>
      <w:r w:rsidR="003C2DBA">
        <w:t xml:space="preserve"> complexity, prohibiting a trade-off between </w:t>
      </w:r>
      <w:r w:rsidR="00874770">
        <w:t>performance and complexity</w:t>
      </w:r>
      <w:r w:rsidR="0035129B">
        <w:t xml:space="preserve"> as other </w:t>
      </w:r>
      <w:r w:rsidR="006058F9">
        <w:t>classification models do.</w:t>
      </w:r>
      <w:r w:rsidR="00E546F1">
        <w:t xml:space="preserve"> </w:t>
      </w:r>
      <w:r w:rsidR="00E6685F">
        <w:t>A</w:t>
      </w:r>
      <w:r w:rsidR="00E6685F">
        <w:t>s a mathematical model</w:t>
      </w:r>
      <w:r w:rsidR="00E6685F">
        <w:t>,</w:t>
      </w:r>
      <w:r w:rsidR="00E6685F">
        <w:t xml:space="preserve"> </w:t>
      </w:r>
      <w:r w:rsidR="00E6685F">
        <w:t>t</w:t>
      </w:r>
      <w:r w:rsidR="00E546F1">
        <w:t xml:space="preserve">his method of classification struggles </w:t>
      </w:r>
      <w:r w:rsidR="00C46670">
        <w:t xml:space="preserve">with </w:t>
      </w:r>
      <w:r w:rsidR="00E546F1">
        <w:t>missing data</w:t>
      </w:r>
      <w:r w:rsidR="00E6685F">
        <w:t xml:space="preserve"> </w:t>
      </w:r>
      <w:r w:rsidR="00587F1A">
        <w:t xml:space="preserve">– it requires </w:t>
      </w:r>
      <w:r w:rsidR="007E3D61">
        <w:t>complete data</w:t>
      </w:r>
      <w:r w:rsidR="002D36CE">
        <w:t xml:space="preserve"> to estimate a coefficient</w:t>
      </w:r>
      <w:r w:rsidR="00240FF1">
        <w:t xml:space="preserve"> </w:t>
      </w:r>
      <w:r w:rsidR="002D36CE">
        <w:t>for each feature and it has no inherent imputation method</w:t>
      </w:r>
      <w:r w:rsidR="00514A7C">
        <w:t>.</w:t>
      </w:r>
    </w:p>
    <w:p w14:paraId="7FE20BFA" w14:textId="3BCB4569" w:rsidR="00126225" w:rsidRPr="00A41769" w:rsidRDefault="00A41769" w:rsidP="00A41769">
      <w:pPr>
        <w:pStyle w:val="CVParaFont"/>
        <w:tabs>
          <w:tab w:val="center" w:pos="4513"/>
          <w:tab w:val="right" w:pos="9026"/>
        </w:tabs>
        <w:jc w:val="center"/>
      </w:pPr>
      <w:r>
        <w:tab/>
      </w:r>
      <m:oMath>
        <m:func>
          <m:funcPr>
            <m:ctrlPr>
              <w:rPr>
                <w:rFonts w:ascii="Cambria Math" w:hAnsi="Cambria Math"/>
                <w:i/>
                <w:sz w:val="24"/>
                <w:szCs w:val="32"/>
              </w:rPr>
            </m:ctrlPr>
          </m:funcPr>
          <m:fName>
            <m:r>
              <m:rPr>
                <m:sty m:val="p"/>
              </m:rPr>
              <w:rPr>
                <w:rFonts w:ascii="Cambria Math" w:hAnsi="Cambria Math"/>
                <w:sz w:val="24"/>
                <w:szCs w:val="32"/>
              </w:rPr>
              <m:t>ln</m:t>
            </m:r>
          </m:fName>
          <m:e>
            <m:d>
              <m:dPr>
                <m:ctrlPr>
                  <w:rPr>
                    <w:rFonts w:ascii="Cambria Math" w:hAnsi="Cambria Math"/>
                    <w:i/>
                    <w:sz w:val="24"/>
                    <w:szCs w:val="32"/>
                  </w:rPr>
                </m:ctrlPr>
              </m:dPr>
              <m:e>
                <m:f>
                  <m:fPr>
                    <m:ctrlPr>
                      <w:rPr>
                        <w:rFonts w:ascii="Cambria Math" w:hAnsi="Cambria Math"/>
                        <w:i/>
                        <w:sz w:val="24"/>
                        <w:szCs w:val="32"/>
                      </w:rPr>
                    </m:ctrlPr>
                  </m:fPr>
                  <m:num>
                    <m:acc>
                      <m:accPr>
                        <m:ctrlPr>
                          <w:rPr>
                            <w:rFonts w:ascii="Cambria Math" w:hAnsi="Cambria Math"/>
                            <w:i/>
                            <w:sz w:val="24"/>
                            <w:szCs w:val="32"/>
                          </w:rPr>
                        </m:ctrlPr>
                      </m:accPr>
                      <m:e>
                        <m:r>
                          <w:rPr>
                            <w:rFonts w:ascii="Cambria Math" w:hAnsi="Cambria Math"/>
                            <w:sz w:val="24"/>
                            <w:szCs w:val="32"/>
                          </w:rPr>
                          <m:t>y</m:t>
                        </m:r>
                      </m:e>
                    </m:acc>
                  </m:num>
                  <m:den>
                    <m:r>
                      <w:rPr>
                        <w:rFonts w:ascii="Cambria Math" w:hAnsi="Cambria Math"/>
                        <w:sz w:val="24"/>
                        <w:szCs w:val="32"/>
                      </w:rPr>
                      <m:t>1-</m:t>
                    </m:r>
                    <m:acc>
                      <m:accPr>
                        <m:ctrlPr>
                          <w:rPr>
                            <w:rFonts w:ascii="Cambria Math" w:hAnsi="Cambria Math"/>
                            <w:i/>
                            <w:sz w:val="24"/>
                            <w:szCs w:val="32"/>
                          </w:rPr>
                        </m:ctrlPr>
                      </m:accPr>
                      <m:e>
                        <m:r>
                          <w:rPr>
                            <w:rFonts w:ascii="Cambria Math" w:hAnsi="Cambria Math"/>
                            <w:sz w:val="24"/>
                            <w:szCs w:val="32"/>
                          </w:rPr>
                          <m:t>y</m:t>
                        </m:r>
                      </m:e>
                    </m:acc>
                  </m:den>
                </m:f>
              </m:e>
            </m:d>
            <m:r>
              <w:rPr>
                <w:rFonts w:ascii="Cambria Math" w:hAnsi="Cambria Math"/>
                <w:sz w:val="24"/>
                <w:szCs w:val="32"/>
              </w:rPr>
              <m:t>=A+∑</m:t>
            </m:r>
            <m:sSub>
              <m:sSubPr>
                <m:ctrlPr>
                  <w:rPr>
                    <w:rFonts w:ascii="Cambria Math" w:hAnsi="Cambria Math"/>
                    <w:i/>
                    <w:sz w:val="24"/>
                    <w:szCs w:val="32"/>
                  </w:rPr>
                </m:ctrlPr>
              </m:sSubPr>
              <m:e>
                <m:r>
                  <w:rPr>
                    <w:rFonts w:ascii="Cambria Math" w:hAnsi="Cambria Math"/>
                    <w:sz w:val="24"/>
                    <w:szCs w:val="32"/>
                  </w:rPr>
                  <m:t>B</m:t>
                </m:r>
              </m:e>
              <m:sub>
                <m:r>
                  <w:rPr>
                    <w:rFonts w:ascii="Cambria Math" w:hAnsi="Cambria Math"/>
                    <w:sz w:val="24"/>
                    <w:szCs w:val="32"/>
                  </w:rPr>
                  <m:t>j</m:t>
                </m:r>
              </m:sub>
            </m:sSub>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ij</m:t>
                </m:r>
              </m:sub>
            </m:sSub>
          </m:e>
        </m:func>
      </m:oMath>
      <w:r>
        <w:tab/>
        <w:t>Eq. 1</w:t>
      </w:r>
    </w:p>
    <w:p w14:paraId="1FA9D91C" w14:textId="1B412EE3" w:rsidR="00841214" w:rsidRDefault="00841214" w:rsidP="001F5D6A">
      <w:pPr>
        <w:pStyle w:val="CVH3Font"/>
      </w:pPr>
      <w:r>
        <w:t>Data Cleaning</w:t>
      </w:r>
    </w:p>
    <w:p w14:paraId="4619B2D0" w14:textId="53E93764" w:rsidR="00841214" w:rsidRDefault="00514A7C" w:rsidP="00841214">
      <w:pPr>
        <w:pStyle w:val="CVParaFont"/>
      </w:pPr>
      <w:r>
        <w:t xml:space="preserve">Before modelling our data, </w:t>
      </w:r>
      <w:r w:rsidR="008A3542">
        <w:t xml:space="preserve">we need to check that </w:t>
      </w:r>
      <w:r w:rsidR="001F1A23">
        <w:t xml:space="preserve">our age feature meets all requirements </w:t>
      </w:r>
      <w:r w:rsidR="00C46670">
        <w:t>of</w:t>
      </w:r>
      <w:r w:rsidR="00A05CC3">
        <w:t xml:space="preserve"> the logistic regression model</w:t>
      </w:r>
      <w:r w:rsidR="00383439">
        <w:t xml:space="preserve">. </w:t>
      </w:r>
      <w:r w:rsidR="00792C79">
        <w:t xml:space="preserve">The Box-Tidwell </w:t>
      </w:r>
      <w:r w:rsidR="00EF1E58">
        <w:t>transformation</w:t>
      </w:r>
      <w:r w:rsidR="00763658">
        <w:t xml:space="preserve"> </w:t>
      </w:r>
      <w:r w:rsidR="00763658">
        <w:fldChar w:fldCharType="begin"/>
      </w:r>
      <w:r w:rsidR="00792360">
        <w:instrText xml:space="preserve"> ADDIN ZOTERO_ITEM CSL_CITATION {"citationID":"WIBcES2v","properties":{"formattedCitation":"[2]","plainCitation":"[2]","noteIndex":0},"citationItems":[{"id":973,"uris":["http://zotero.org/users/7469534/items/QTPVWGZP"],"itemData":{"id":973,"type":"article-journal","abstract":"In representing a realationship between a response and a number of independent variables, it is preferable when possible to work with a simple functional form in transformed variables rather than with a more complicated form in the original variables. This paper describes and illustrates a procedure to estimate appropriate transformations in this context.","container-title":"Technometrics","DOI":"10.1080/00401706.1962.10490038","ISSN":"0040-1706","issue":"4","note":"publisher: ASA Website\n_eprint: https://www.tandfonline.com/doi/pdf/10.1080/00401706.1962.10490038","page":"531-550","source":"Taylor and Francis+NEJM","title":"Transformation of the Independent Variables","volume":"4","author":[{"family":"Box","given":"G. E.P."},{"family":"Tidwell","given":"Paul W."}],"issued":{"date-parts":[["1962",11,1]]}}}],"schema":"https://github.com/citation-style-language/schema/raw/master/csl-citation.json"} </w:instrText>
      </w:r>
      <w:r w:rsidR="00763658">
        <w:fldChar w:fldCharType="separate"/>
      </w:r>
      <w:r w:rsidR="00792360" w:rsidRPr="00792360">
        <w:rPr>
          <w:rFonts w:cs="Tahoma"/>
        </w:rPr>
        <w:t>[2]</w:t>
      </w:r>
      <w:r w:rsidR="00763658">
        <w:fldChar w:fldCharType="end"/>
      </w:r>
      <w:r w:rsidR="000D48EC">
        <w:t xml:space="preserve"> provides a way of testing for linearity between </w:t>
      </w:r>
      <w:r w:rsidR="00F70CDD">
        <w:t xml:space="preserve">the log </w:t>
      </w:r>
      <w:r w:rsidR="0048688A">
        <w:t xml:space="preserve">predictor and </w:t>
      </w:r>
      <w:r w:rsidR="00E407FE">
        <w:t>outcome. In performing a logisti</w:t>
      </w:r>
      <w:r w:rsidR="00E96748">
        <w:t xml:space="preserve">c regression using the log of the predictor, we can use </w:t>
      </w:r>
      <w:r w:rsidR="000A7758">
        <w:t>a significant</w:t>
      </w:r>
      <w:r w:rsidR="00E96748">
        <w:t xml:space="preserve"> p-value </w:t>
      </w:r>
      <w:r w:rsidR="00273FAE">
        <w:t xml:space="preserve">to indicate </w:t>
      </w:r>
      <w:r w:rsidR="00841B93">
        <w:t xml:space="preserve">a violation of the assumption – a value smaller than 0.05 means the log of the predictor </w:t>
      </w:r>
      <w:r w:rsidR="00FB63F3">
        <w:t>is linearly proportional to the outcome</w:t>
      </w:r>
      <w:r w:rsidR="00917DD1">
        <w:t>.</w:t>
      </w:r>
      <w:r w:rsidR="00A147DB">
        <w:t xml:space="preserve"> </w:t>
      </w:r>
      <w:r w:rsidR="00AE2B33">
        <w:t>Testing age with the Box-Tidwell method</w:t>
      </w:r>
      <w:r w:rsidR="000B59AA">
        <w:t xml:space="preserve"> indicates that this linearity assumption is not violated</w:t>
      </w:r>
      <w:r w:rsidR="00E40D14">
        <w:t xml:space="preserve"> (p=0.807)</w:t>
      </w:r>
      <w:r w:rsidR="00AE2B33">
        <w:t>.</w:t>
      </w:r>
    </w:p>
    <w:p w14:paraId="60B29A04" w14:textId="48F0ECA5" w:rsidR="006145E9" w:rsidRPr="00841214" w:rsidRDefault="006145E9" w:rsidP="00841214">
      <w:pPr>
        <w:pStyle w:val="CVParaFont"/>
      </w:pPr>
      <w:r>
        <w:t xml:space="preserve">The provided dataset does not have any missing </w:t>
      </w:r>
      <w:r w:rsidR="00871556">
        <w:t>values,</w:t>
      </w:r>
      <w:r w:rsidR="00606FBC">
        <w:t xml:space="preserve"> so no imputation is required</w:t>
      </w:r>
      <w:r w:rsidR="003A6913">
        <w:t xml:space="preserve">. What remains to be reviewed is the sample size. </w:t>
      </w:r>
      <w:r w:rsidR="000C2D31">
        <w:t>Studies show that sample size for meaningful logistic regression</w:t>
      </w:r>
      <w:r w:rsidR="001535AD">
        <w:t xml:space="preserve"> should be at least </w:t>
      </w:r>
      <m:oMath>
        <m:r>
          <w:rPr>
            <w:rFonts w:ascii="Cambria Math" w:hAnsi="Cambria Math"/>
          </w:rPr>
          <m:t>100+50i</m:t>
        </m:r>
      </m:oMath>
      <w:r w:rsidR="001535AD">
        <w:t xml:space="preserve"> where </w:t>
      </w:r>
      <m:oMath>
        <m:r>
          <w:rPr>
            <w:rFonts w:ascii="Cambria Math" w:hAnsi="Cambria Math"/>
          </w:rPr>
          <m:t>i</m:t>
        </m:r>
      </m:oMath>
      <w:r w:rsidR="001535AD">
        <w:t xml:space="preserve"> is the number of independent variables</w:t>
      </w:r>
      <w:r w:rsidR="00144BD8">
        <w:t xml:space="preserve"> </w:t>
      </w:r>
      <w:r w:rsidR="00144BD8">
        <w:fldChar w:fldCharType="begin"/>
      </w:r>
      <w:r w:rsidR="00792360">
        <w:instrText xml:space="preserve"> ADDIN ZOTERO_ITEM CSL_CITATION {"citationID":"7icu8lOU","properties":{"formattedCitation":"[3], [4]","plainCitation":"[3], [4]","noteIndex":0},"citationItems":[{"id":974,"uris":["http://zotero.org/users/7469534/items/LUST8VII"],"itemData":{"id":974,"type":"article-journal","container-title":"Malaysian Journal of Medical Sciences","DOI":"10.21315/mjms2018.25.4.12","ISSN":"1394195X, 21804303","issue":"4","journalAbbreviation":"MJMS","page":"122-130","source":"DOI.org (Crossref)","title":"Sample Size Guidelines for Logistic Regression from Observational Studies with Large Population: Emphasis on the Accuracy Between Statistics and Parameters Based on Real Life Clinical Data","title-short":"Sample Size Guidelines for Logistic Regression from Observational Studies with Large Population","volume":"25","author":[{"family":"Bujang","given":"Mohamad Adam"},{"family":"Sa’at","given":"Nadiah"},{"family":"Tg Abu Bakar Sidik","given":"Tg Mohd Ikhwan"},{"family":"Chien Joo","given":"Lim"}],"issued":{"date-parts":[["2018"]]}}},{"id":919,"uris":["http://zotero.org/users/7469534/items/MDHXI7MD"],"itemData":{"id":919,"type":"article-journal","abstract":"Calculating the sample size in scientific studies is one of the critical issues as regards the scientific contribution of the study. The sample size critically affects the hypothesis and the study design, and there is no straightforward way of calculating the effective sample size for reaching an accurate conclusion. Use of a statistically incorrect sample size may lead to inadequate results in both clinical and laboratory studies as well as resulting in time loss, cost, and ethical problems. This review holds two main aims. The first aim is to explain the importance of sample size and its relationship to effect size (ES) and statistical significance. The second aim is to assist researchers planning to perform sample size estimations by suggesting and elucidating available alternative software, guidelines and references that will serve different scientific purposes.","container-title":"Biochemia Medica","DOI":"10.11613/BM.2021.010502","ISSN":"1330-0962","issue":"1","journalAbbreviation":"Biochem Med (Zagreb)","note":"PMID: 33380887\nPMCID: PMC7745163","page":"010502","source":"PubMed Central","title":"Sample size, power and effect size revisited: simplified and practical approaches in pre-clinical, clinical and laboratory studies","title-short":"Sample size, power and effect size revisited","volume":"31","author":[{"family":"Serdar","given":"Ceyhan Ceran"},{"family":"Cihan","given":"Murat"},{"family":"Yücel","given":"Doğan"},{"family":"Serdar","given":"Muhittin A"}],"issued":{"date-parts":[["2021",2,15]]}}}],"schema":"https://github.com/citation-style-language/schema/raw/master/csl-citation.json"} </w:instrText>
      </w:r>
      <w:r w:rsidR="00144BD8">
        <w:fldChar w:fldCharType="separate"/>
      </w:r>
      <w:r w:rsidR="00792360" w:rsidRPr="00792360">
        <w:rPr>
          <w:rFonts w:cs="Tahoma"/>
        </w:rPr>
        <w:t>[3], [4]</w:t>
      </w:r>
      <w:r w:rsidR="00144BD8">
        <w:fldChar w:fldCharType="end"/>
      </w:r>
      <w:r w:rsidR="001535AD">
        <w:t>. This dataset has 22</w:t>
      </w:r>
      <w:r w:rsidR="00A0604C">
        <w:t xml:space="preserve"> features</w:t>
      </w:r>
      <w:r w:rsidR="00480ACA">
        <w:t xml:space="preserve"> and 9</w:t>
      </w:r>
      <w:r w:rsidR="00334E1E">
        <w:t>709 entries</w:t>
      </w:r>
      <w:r w:rsidR="001535AD">
        <w:t xml:space="preserve">, so the minimum </w:t>
      </w:r>
      <w:r w:rsidR="00144BD8">
        <w:t>sample size</w:t>
      </w:r>
      <w:r w:rsidR="00B14A12">
        <w:t xml:space="preserve"> </w:t>
      </w:r>
      <w:r w:rsidR="00A0604C">
        <w:t xml:space="preserve">of </w:t>
      </w:r>
      <w:r w:rsidR="00144BD8">
        <w:t>1200 is far exceeded</w:t>
      </w:r>
      <w:r w:rsidR="0046208D">
        <w:t>.</w:t>
      </w:r>
    </w:p>
    <w:p w14:paraId="61220072" w14:textId="1F1F53E7" w:rsidR="00C07740" w:rsidRDefault="00C07740" w:rsidP="00C07740">
      <w:pPr>
        <w:pStyle w:val="CVH3Font"/>
      </w:pPr>
      <w:r>
        <w:t>Age as a Predictor</w:t>
      </w:r>
    </w:p>
    <w:p w14:paraId="7E87C87B" w14:textId="77665760" w:rsidR="00C07740" w:rsidRDefault="005E7BA6" w:rsidP="00C07740">
      <w:pPr>
        <w:pStyle w:val="CVParaFont"/>
      </w:pPr>
      <w:r>
        <w:t>For most banks</w:t>
      </w:r>
      <w:r w:rsidR="00D42A25">
        <w:t xml:space="preserve"> (Halifax, HSBC, Lloyds, Barclays, Natwest), the minimum age </w:t>
      </w:r>
      <w:r w:rsidR="00434400">
        <w:t xml:space="preserve">to apply for a credit card is </w:t>
      </w:r>
      <w:r w:rsidR="00A0604C">
        <w:t>eighteen</w:t>
      </w:r>
      <w:r w:rsidR="00F72ECE">
        <w:t xml:space="preserve">. </w:t>
      </w:r>
      <w:r w:rsidR="00B474DA">
        <w:t>Explicitly</w:t>
      </w:r>
      <w:r w:rsidR="00F72ECE">
        <w:t xml:space="preserve">, this is the only relationship between age and </w:t>
      </w:r>
      <w:r w:rsidR="00F72ECE">
        <w:lastRenderedPageBreak/>
        <w:t>credit card eligibility</w:t>
      </w:r>
      <w:r w:rsidR="006A1D8A">
        <w:t xml:space="preserve">. </w:t>
      </w:r>
      <w:r w:rsidR="0008035A">
        <w:t xml:space="preserve">Classification models can be used to see if </w:t>
      </w:r>
      <w:r w:rsidR="00633261">
        <w:t>a</w:t>
      </w:r>
      <w:r w:rsidR="00B474DA">
        <w:t xml:space="preserve">n implicit relationship may exist between </w:t>
      </w:r>
      <w:r w:rsidR="00657EB8">
        <w:t>the two.</w:t>
      </w:r>
    </w:p>
    <w:p w14:paraId="60244E1F" w14:textId="0B9D1125" w:rsidR="00CA62A0" w:rsidRDefault="00CA62A0" w:rsidP="00C07740">
      <w:pPr>
        <w:pStyle w:val="CVParaFont"/>
      </w:pPr>
      <w:r>
        <w:t xml:space="preserve">The provided dataset includes no customers under the age of </w:t>
      </w:r>
      <w:r w:rsidR="00262678">
        <w:t>eighteen</w:t>
      </w:r>
      <w:r w:rsidR="00801CD5">
        <w:t>, so we can discount the influence of under-18s being refused a credit card</w:t>
      </w:r>
      <w:r w:rsidR="006C1108">
        <w:t xml:space="preserve">. </w:t>
      </w:r>
      <w:r w:rsidR="00DE71E5">
        <w:t xml:space="preserve">The data were split into training and test subsets and the training set was used to </w:t>
      </w:r>
      <w:r w:rsidR="00E633B6">
        <w:t>train a logistic regression model using class weight balancing</w:t>
      </w:r>
      <w:r w:rsidR="00C513FA">
        <w:t xml:space="preserve">. This weight balancing parameter is </w:t>
      </w:r>
      <w:r w:rsidR="00184802">
        <w:t>required by</w:t>
      </w:r>
      <w:r w:rsidR="00D801A1">
        <w:t xml:space="preserve"> the imbalance in the credit_card class </w:t>
      </w:r>
      <w:r w:rsidR="00490CAD">
        <w:t xml:space="preserve">– </w:t>
      </w:r>
      <w:r w:rsidR="00E7204D">
        <w:t xml:space="preserve">the ratio of </w:t>
      </w:r>
      <w:r w:rsidR="00A56BA1">
        <w:t xml:space="preserve">customers with credit cards </w:t>
      </w:r>
      <w:r w:rsidR="00E7204D">
        <w:t>versus those without is</w:t>
      </w:r>
      <w:r w:rsidR="009A2860">
        <w:t xml:space="preserve"> roughly</w:t>
      </w:r>
      <w:r w:rsidR="00E7204D">
        <w:t xml:space="preserve"> </w:t>
      </w:r>
      <w:r w:rsidR="009A2860">
        <w:t>7 to 3.</w:t>
      </w:r>
    </w:p>
    <w:p w14:paraId="10CDBC98" w14:textId="032D5910" w:rsidR="00AE081C" w:rsidRDefault="00AE081C" w:rsidP="00C07740">
      <w:pPr>
        <w:pStyle w:val="CVParaFont"/>
      </w:pPr>
      <w:r>
        <w:t>Despite</w:t>
      </w:r>
      <w:r w:rsidR="006A3BE2">
        <w:t xml:space="preserve"> the rationale behind age being a predictor of credit card ownership, the logistic regression model</w:t>
      </w:r>
      <w:r w:rsidR="00BC0A07">
        <w:t xml:space="preserve"> had a hard time identifying any tangible relationship. </w:t>
      </w:r>
      <w:r w:rsidR="00836B6B">
        <w:t xml:space="preserve">The accuracy of the model is estimated using Eq. 2 and is visualised in </w:t>
      </w:r>
      <w:r w:rsidR="009D7742">
        <w:t>Fig. 1 (Appendix) using a confusion matrix.</w:t>
      </w:r>
      <w:r w:rsidR="003E6A31">
        <w:t xml:space="preserve"> The resultant accuracy for the model trained on age is </w:t>
      </w:r>
      <w:r w:rsidR="003B7E22">
        <w:t>53%</w:t>
      </w:r>
      <w:r w:rsidR="004A05AC">
        <w:t>, meaning this model</w:t>
      </w:r>
      <w:r w:rsidR="00C20D31">
        <w:t xml:space="preserve"> does little better than randomly assigning class attributes based on the predictor.</w:t>
      </w:r>
    </w:p>
    <w:p w14:paraId="2C8CE141" w14:textId="343A8C50" w:rsidR="009E7BC2" w:rsidRDefault="00963193" w:rsidP="002376E6">
      <w:pPr>
        <w:pStyle w:val="CVParaFont"/>
        <w:tabs>
          <w:tab w:val="right" w:pos="9026"/>
        </w:tabs>
        <w:jc w:val="right"/>
      </w:pPr>
      <m:oMathPara>
        <m:oMath>
          <m:r>
            <w:rPr>
              <w:rFonts w:ascii="Cambria Math" w:hAnsi="Cambria Math"/>
            </w:rPr>
            <m:t>accuracy</m:t>
          </m:r>
          <m:d>
            <m:dPr>
              <m:ctrlPr>
                <w:rPr>
                  <w:rFonts w:ascii="Cambria Math" w:hAnsi="Cambria Math"/>
                  <w:i/>
                </w:rPr>
              </m:ctrlPr>
            </m:dPr>
            <m:e>
              <m:r>
                <w:rPr>
                  <w:rFonts w:ascii="Cambria Math" w:hAnsi="Cambria Math"/>
                </w:rPr>
                <m:t>y,  </m:t>
              </m:r>
              <m:acc>
                <m:accPr>
                  <m:ctrlPr>
                    <w:rPr>
                      <w:rFonts w:ascii="Cambria Math" w:hAnsi="Cambria Math"/>
                      <w:i/>
                    </w:rPr>
                  </m:ctrlPr>
                </m:accPr>
                <m:e>
                  <m:r>
                    <w:rPr>
                      <w:rFonts w:ascii="Cambria Math" w:hAnsi="Cambria Math"/>
                    </w:rPr>
                    <m:t>y</m:t>
                  </m:r>
                </m:e>
              </m:acc>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samples</m:t>
                  </m:r>
                </m:sub>
              </m:sSub>
            </m:den>
          </m:f>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samples</m:t>
                  </m:r>
                </m:sub>
              </m:sSub>
              <m:r>
                <w:rPr>
                  <w:rFonts w:ascii="Cambria Math" w:hAnsi="Cambria Math"/>
                </w:rPr>
                <m:t>-1</m:t>
              </m:r>
            </m:sup>
            <m:e>
              <m:r>
                <m:rPr>
                  <m:scr m:val="double-struck"/>
                </m:rPr>
                <w:rPr>
                  <w:rFonts w:ascii="Cambria Math" w:hAnsi="Cambria Math"/>
                </w:rPr>
                <m:t>I(</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r>
            <w:br/>
          </m:r>
        </m:oMath>
      </m:oMathPara>
      <w:r w:rsidR="002376E6">
        <w:t>Eq.2</w:t>
      </w:r>
    </w:p>
    <w:p w14:paraId="3A5DC512" w14:textId="0893EBB9" w:rsidR="002376E6" w:rsidRDefault="00011418" w:rsidP="002376E6">
      <w:pPr>
        <w:pStyle w:val="CVParaFont"/>
        <w:tabs>
          <w:tab w:val="right" w:pos="9026"/>
        </w:tabs>
      </w:pPr>
      <w:r>
        <w:t xml:space="preserve">Furthermore, </w:t>
      </w:r>
      <w:r w:rsidR="000D641F">
        <w:t>the coefficient</w:t>
      </w:r>
      <w:r w:rsidR="005F5A5B">
        <w:t xml:space="preserve"> </w:t>
      </w:r>
      <w:r w:rsidR="000D641F">
        <w:t xml:space="preserve">associated with </w:t>
      </w:r>
      <w:r w:rsidR="001F1285">
        <w:t>age is very small (</w:t>
      </w:r>
      <w:r w:rsidR="00F97F9A">
        <w:t>-</w:t>
      </w:r>
      <w:r w:rsidR="001F1285">
        <w:t>0.</w:t>
      </w:r>
      <w:r w:rsidR="00F97F9A">
        <w:t>001) and the p-value</w:t>
      </w:r>
      <w:r w:rsidR="003F0718">
        <w:t xml:space="preserve"> for this is not significant (0.345 &gt; 0.05)</w:t>
      </w:r>
      <w:r w:rsidR="00350F4E">
        <w:t xml:space="preserve">, which tells us that there is little </w:t>
      </w:r>
      <w:r w:rsidR="000022D7">
        <w:t>linear</w:t>
      </w:r>
      <w:r w:rsidR="00350F4E">
        <w:t xml:space="preserve"> association between age and credit card ownership</w:t>
      </w:r>
      <w:r w:rsidR="00906EFA">
        <w:t xml:space="preserve"> and should not be used as a</w:t>
      </w:r>
      <w:r w:rsidR="001D6FD4">
        <w:t xml:space="preserve"> reliable</w:t>
      </w:r>
      <w:r w:rsidR="00906EFA">
        <w:t xml:space="preserve"> predictor of credit card ownership.</w:t>
      </w:r>
    </w:p>
    <w:p w14:paraId="16B1A44A" w14:textId="416BC3C8" w:rsidR="00906EFA" w:rsidRDefault="00906EFA" w:rsidP="00906EFA">
      <w:pPr>
        <w:pStyle w:val="CVH3Font"/>
      </w:pPr>
      <w:r>
        <w:t>Other Features as Predictors</w:t>
      </w:r>
    </w:p>
    <w:p w14:paraId="3F8CB1E0" w14:textId="44B22792" w:rsidR="00906EFA" w:rsidRDefault="00AD3CE6" w:rsidP="00906EFA">
      <w:pPr>
        <w:pStyle w:val="CVParaFont"/>
      </w:pPr>
      <w:r>
        <w:t xml:space="preserve">In deciding which other features could be used as univariate predictors of credit card ownership, there are two main methods two approach this: </w:t>
      </w:r>
      <w:r w:rsidR="001B44EA">
        <w:t xml:space="preserve">research and </w:t>
      </w:r>
      <w:r w:rsidR="00BD0179">
        <w:t xml:space="preserve">statistical inference. In this section, I use </w:t>
      </w:r>
      <w:r w:rsidR="00CE1FA7">
        <w:t>statistical inference</w:t>
      </w:r>
      <w:r w:rsidR="00BD0179">
        <w:t xml:space="preserve"> </w:t>
      </w:r>
      <w:r w:rsidR="004D1B48">
        <w:t>to choose two features that can be used as predictors of the credit_card feature.</w:t>
      </w:r>
    </w:p>
    <w:p w14:paraId="682D8E57" w14:textId="3564354E" w:rsidR="005E7717" w:rsidRDefault="005E7717" w:rsidP="005E7717">
      <w:pPr>
        <w:pStyle w:val="CVH4Font"/>
      </w:pPr>
      <w:r>
        <w:t>Statistical Inference</w:t>
      </w:r>
    </w:p>
    <w:p w14:paraId="08E9734A" w14:textId="6F679FF8" w:rsidR="005E7717" w:rsidRDefault="00250C34" w:rsidP="005E7717">
      <w:pPr>
        <w:pStyle w:val="CVParaFont"/>
      </w:pPr>
      <w:r>
        <w:t xml:space="preserve">From a statistical point of view, there are a few methods we can use to </w:t>
      </w:r>
      <w:r w:rsidR="00A72C30">
        <w:t>isolate some features that may be good predictors of credit card ownership</w:t>
      </w:r>
      <w:r w:rsidR="003837D5">
        <w:t>. Primarily, correlation coefficients are effective at showing statistical significance of a relationship between</w:t>
      </w:r>
      <w:r w:rsidR="006164AD">
        <w:t xml:space="preserve"> explanatory and response variable</w:t>
      </w:r>
      <w:r w:rsidR="00025D60">
        <w:t xml:space="preserve">s. </w:t>
      </w:r>
      <w:r w:rsidR="008926D9">
        <w:t xml:space="preserve">Depending on the data type and probability distribution of a feature, </w:t>
      </w:r>
      <w:r w:rsidR="00CC40D5">
        <w:t xml:space="preserve">the choice of correlation coefficient is crucial. </w:t>
      </w:r>
      <w:r w:rsidR="009D46DB">
        <w:t>Point-Biserial correlation</w:t>
      </w:r>
      <w:r w:rsidR="009D46DB">
        <w:t xml:space="preserve"> </w:t>
      </w:r>
      <w:r w:rsidR="004F038C">
        <w:t>is chosen to find the correlation between a continuous variable and the binary response</w:t>
      </w:r>
      <w:r w:rsidR="00B96DDA">
        <w:t xml:space="preserve">. </w:t>
      </w:r>
      <w:r w:rsidR="00D67A75">
        <w:t xml:space="preserve">A p-value associated with this statistic can be used to tell us if the correlation is significant. </w:t>
      </w:r>
      <w:r w:rsidR="005E2BEE">
        <w:t>To</w:t>
      </w:r>
      <w:r w:rsidR="00C63EDE">
        <w:t xml:space="preserve"> study the association between other data types, </w:t>
      </w:r>
      <w:r w:rsidR="00ED1988">
        <w:t>a</w:t>
      </w:r>
      <w:r w:rsidR="008D4E1E">
        <w:t xml:space="preserv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ED1988">
        <w:t xml:space="preserve"> test is used to evaluate </w:t>
      </w:r>
      <w:r w:rsidR="00DE1286">
        <w:t>association</w:t>
      </w:r>
      <w:r w:rsidR="008366D7">
        <w:t xml:space="preserve"> for dichotomous features;</w:t>
      </w:r>
      <w:r w:rsidR="001B4043">
        <w:t xml:space="preserve"> </w:t>
      </w:r>
      <w:r w:rsidR="00270C93">
        <w:t>f</w:t>
      </w:r>
      <w:r w:rsidR="001B4043">
        <w:t>or multinomial</w:t>
      </w:r>
      <w:r w:rsidR="004A1B1D">
        <w:t xml:space="preserve"> features</w:t>
      </w:r>
      <w:r w:rsidR="00E01BDB">
        <w:t>, a non-parametric Kruskal-Wallis test. The associated p-values with these can be used to see if any correlation</w:t>
      </w:r>
      <w:r w:rsidR="00615EA6">
        <w:t xml:space="preserve"> between a feature and credit_card is significant and warrants further </w:t>
      </w:r>
      <w:r w:rsidR="00D1491E">
        <w:t>investigation.</w:t>
      </w:r>
    </w:p>
    <w:p w14:paraId="5EBF914A" w14:textId="278E1019" w:rsidR="005E2BEE" w:rsidRDefault="005E2BEE" w:rsidP="005E7717">
      <w:pPr>
        <w:pStyle w:val="CVParaFont"/>
      </w:pPr>
      <w:r>
        <w:t xml:space="preserve">From this analysis, </w:t>
      </w:r>
      <w:r w:rsidR="00091007">
        <w:t xml:space="preserve">two features had a significant association – home ownership and </w:t>
      </w:r>
      <w:r w:rsidR="00091007" w:rsidRPr="009D46DB">
        <w:t>tenure</w:t>
      </w:r>
      <w:r w:rsidR="002A49CB">
        <w:t>.</w:t>
      </w:r>
      <w:r w:rsidR="00B34759">
        <w:t xml:space="preserve"> Given that home ownership </w:t>
      </w:r>
      <w:r w:rsidR="00D463E3">
        <w:t xml:space="preserve">is </w:t>
      </w:r>
      <w:r w:rsidR="007B58AC">
        <w:t>linked</w:t>
      </w:r>
      <w:r w:rsidR="00D463E3">
        <w:t xml:space="preserve"> to credit score</w:t>
      </w:r>
      <w:r w:rsidR="007B58AC">
        <w:t xml:space="preserve"> by mortgages</w:t>
      </w:r>
      <w:r w:rsidR="00D52971">
        <w:t xml:space="preserve">, this association with </w:t>
      </w:r>
      <w:r w:rsidR="00BB3D17">
        <w:t xml:space="preserve">credit card </w:t>
      </w:r>
      <w:r w:rsidR="00CF4048">
        <w:t>eligibility</w:t>
      </w:r>
      <w:r w:rsidR="00BB3D17">
        <w:t xml:space="preserve"> is logical</w:t>
      </w:r>
      <w:r w:rsidR="00961420">
        <w:t>.</w:t>
      </w:r>
    </w:p>
    <w:p w14:paraId="448C5547" w14:textId="44E34493" w:rsidR="00504C03" w:rsidRDefault="000708B9" w:rsidP="005E7717">
      <w:pPr>
        <w:pStyle w:val="CVParaFont"/>
      </w:pPr>
      <w:r>
        <w:t>We can also decide</w:t>
      </w:r>
      <w:r w:rsidR="00B86BC9">
        <w:t xml:space="preserve"> which features to use based on which ones contribute the most to a </w:t>
      </w:r>
      <w:r w:rsidR="000D5C06">
        <w:t>logistic</w:t>
      </w:r>
      <w:r w:rsidR="00B86BC9">
        <w:t xml:space="preserve"> regression model</w:t>
      </w:r>
      <w:r w:rsidR="000D5C06">
        <w:t xml:space="preserve"> that uses all features</w:t>
      </w:r>
      <w:r w:rsidR="000F54A6">
        <w:t xml:space="preserve">. </w:t>
      </w:r>
      <w:r w:rsidR="006C22CA">
        <w:t>To</w:t>
      </w:r>
      <w:r w:rsidR="000F54A6">
        <w:t xml:space="preserve"> do this, </w:t>
      </w:r>
      <w:r w:rsidR="00E50A6F">
        <w:t>combat the presence</w:t>
      </w:r>
      <w:r w:rsidR="000F54A6">
        <w:t xml:space="preserve"> of multicollinearity. </w:t>
      </w:r>
      <w:r w:rsidR="002A71E6">
        <w:t>Multicollinearity is a property of</w:t>
      </w:r>
      <w:r w:rsidR="002C29BD">
        <w:t xml:space="preserve"> </w:t>
      </w:r>
      <w:r w:rsidR="002A71E6">
        <w:t xml:space="preserve">features in a dataset that have a </w:t>
      </w:r>
      <w:r w:rsidR="002C29BD">
        <w:t xml:space="preserve">correlation with </w:t>
      </w:r>
      <w:r w:rsidR="00FC6FF5">
        <w:t>each other,</w:t>
      </w:r>
      <w:r w:rsidR="006A44BC">
        <w:t xml:space="preserve"> and </w:t>
      </w:r>
      <w:r w:rsidR="00FC6FF5">
        <w:t xml:space="preserve">it </w:t>
      </w:r>
      <w:r w:rsidR="006A44BC">
        <w:t>can be evaluated using a variance inflation factor (VIF)</w:t>
      </w:r>
      <w:r w:rsidR="001377B4">
        <w:t xml:space="preserve">. </w:t>
      </w:r>
      <w:r w:rsidR="00631DB7">
        <w:t xml:space="preserve">Typically, values above </w:t>
      </w:r>
      <w:r w:rsidR="00D35DD7">
        <w:t>five show high collinearity with another feature</w:t>
      </w:r>
      <w:r w:rsidR="000F61CE">
        <w:t xml:space="preserve"> and should be either dropped or transformed to reduce this inflation</w:t>
      </w:r>
      <w:r w:rsidR="001355CE">
        <w:t xml:space="preserve">. Interestingly, the features that have a high VIF value are age and </w:t>
      </w:r>
      <w:r w:rsidR="00DF0528">
        <w:t>credit score. As such, they are dropped from the multivariate logistic regression.</w:t>
      </w:r>
    </w:p>
    <w:p w14:paraId="20B07577" w14:textId="36B6BD50" w:rsidR="00DF0528" w:rsidRDefault="00664CCA" w:rsidP="005E7717">
      <w:pPr>
        <w:pStyle w:val="CVParaFont"/>
      </w:pPr>
      <w:r>
        <w:t xml:space="preserve">Now, to select features that could be used as </w:t>
      </w:r>
      <w:r w:rsidR="00D94AAD">
        <w:t>predictors of credit card ownership, the remaining features are ranked by their coefficient</w:t>
      </w:r>
      <w:r w:rsidR="00187CAA">
        <w:t xml:space="preserve">s in a multiple logistic regression. The higher the absolute </w:t>
      </w:r>
      <w:r w:rsidR="00187CAA">
        <w:lastRenderedPageBreak/>
        <w:t xml:space="preserve">value of the coefficient, the more </w:t>
      </w:r>
      <w:r w:rsidR="00446541">
        <w:t xml:space="preserve">relative importance they have. From this, we can isolate tenure </w:t>
      </w:r>
      <w:r w:rsidR="009F6577">
        <w:t>as a predictor</w:t>
      </w:r>
      <w:r w:rsidR="008E5293">
        <w:t xml:space="preserve">. </w:t>
      </w:r>
    </w:p>
    <w:p w14:paraId="6174A90D" w14:textId="46697388" w:rsidR="00A84953" w:rsidRDefault="00CC77DC" w:rsidP="005E7717">
      <w:pPr>
        <w:pStyle w:val="CVParaFont"/>
      </w:pPr>
      <w:r>
        <w:t xml:space="preserve">Using selection from both coefficient and association analysis, we have two suitable candidates: </w:t>
      </w:r>
      <w:r w:rsidRPr="009E7BA3">
        <w:rPr>
          <w:b/>
          <w:bCs/>
        </w:rPr>
        <w:t>tenure</w:t>
      </w:r>
      <w:r>
        <w:t xml:space="preserve"> and </w:t>
      </w:r>
      <w:r w:rsidRPr="009E7BA3">
        <w:rPr>
          <w:b/>
          <w:bCs/>
        </w:rPr>
        <w:t>Own_</w:t>
      </w:r>
      <w:r w:rsidR="009E7BA3" w:rsidRPr="009E7BA3">
        <w:rPr>
          <w:b/>
          <w:bCs/>
        </w:rPr>
        <w:t>property</w:t>
      </w:r>
      <w:r w:rsidR="009E7BA3">
        <w:t>.</w:t>
      </w:r>
    </w:p>
    <w:p w14:paraId="584904B8" w14:textId="67737D17" w:rsidR="00F46028" w:rsidRDefault="00F46028" w:rsidP="00F46028">
      <w:pPr>
        <w:pStyle w:val="CVH4Font"/>
      </w:pPr>
      <w:r>
        <w:t xml:space="preserve">Performance of </w:t>
      </w:r>
      <w:r w:rsidR="00A71080">
        <w:t>tenure and Own_property</w:t>
      </w:r>
    </w:p>
    <w:p w14:paraId="35DA1856" w14:textId="0B61552F" w:rsidR="009E7BA3" w:rsidRPr="005E7717" w:rsidRDefault="009E7BA3" w:rsidP="005E7717">
      <w:pPr>
        <w:pStyle w:val="CVParaFont"/>
      </w:pPr>
      <w:r>
        <w:t>Performing logistic regression using tenure</w:t>
      </w:r>
      <w:r w:rsidR="00AB1B5A">
        <w:t xml:space="preserve"> as the exogenous variable, we achieve an accuracy of </w:t>
      </w:r>
      <w:r w:rsidR="0059205F">
        <w:t>50%, and for Own_property, the accuracy is 58%</w:t>
      </w:r>
      <w:r w:rsidR="006B660A">
        <w:t xml:space="preserve">. Neither of these are particularly large </w:t>
      </w:r>
      <w:r w:rsidR="00360C9A">
        <w:t>and</w:t>
      </w:r>
      <w:r w:rsidR="006B660A">
        <w:t xml:space="preserve"> could indicate spurious classification</w:t>
      </w:r>
      <w:r w:rsidR="00DB2DD5">
        <w:t xml:space="preserve">. </w:t>
      </w:r>
      <w:r w:rsidR="00360C9A">
        <w:t>Both</w:t>
      </w:r>
      <w:r w:rsidR="00DB2DD5">
        <w:t xml:space="preserve"> features were tested using </w:t>
      </w:r>
      <w:r w:rsidR="0091122D">
        <w:t>an ROC to determine how close to total randomness each learned model is</w:t>
      </w:r>
      <w:r w:rsidR="00901D27">
        <w:t>. The area under curve</w:t>
      </w:r>
      <w:r w:rsidR="00437F63">
        <w:t xml:space="preserve"> (AUC) </w:t>
      </w:r>
      <w:r w:rsidR="00640A95">
        <w:t xml:space="preserve">tells us </w:t>
      </w:r>
      <w:r w:rsidR="00D55707">
        <w:t xml:space="preserve">how closely our model performs to chance. A value of </w:t>
      </w:r>
      <w:r w:rsidR="00A5615E">
        <w:t xml:space="preserve">1 shows perfect </w:t>
      </w:r>
      <w:r w:rsidR="00C60090">
        <w:t xml:space="preserve">modelling, </w:t>
      </w:r>
      <w:r w:rsidR="00437F63">
        <w:t>while 0.5 shows random modelling. For the model with tenure, the AUC-ROC</w:t>
      </w:r>
      <w:r w:rsidR="00D55707">
        <w:t xml:space="preserve"> </w:t>
      </w:r>
      <w:r w:rsidR="005F079B">
        <w:t>is 0.529, and that for Own_property is 0.51</w:t>
      </w:r>
      <w:r w:rsidR="00B22592">
        <w:t xml:space="preserve">1. Again, these are not </w:t>
      </w:r>
      <w:r w:rsidR="004326B6">
        <w:t>good</w:t>
      </w:r>
      <w:r w:rsidR="00B22592">
        <w:t xml:space="preserve"> values, but they tell us that </w:t>
      </w:r>
      <w:r w:rsidR="00EB7133">
        <w:t>modelling using these features is not entirely spurious</w:t>
      </w:r>
      <w:r w:rsidR="00F46028">
        <w:t>.</w:t>
      </w:r>
    </w:p>
    <w:p w14:paraId="3A3010A4" w14:textId="47F9EA4D" w:rsidR="004C2867" w:rsidRDefault="004C2867" w:rsidP="004C2867">
      <w:pPr>
        <w:pStyle w:val="CVH2Font"/>
      </w:pPr>
      <w:r>
        <w:t xml:space="preserve">Problem 2: ‘Churning </w:t>
      </w:r>
      <w:r w:rsidR="009D4534">
        <w:t>Scrutiny’</w:t>
      </w:r>
    </w:p>
    <w:p w14:paraId="792B2E94" w14:textId="77777777" w:rsidR="00136FD9" w:rsidRDefault="005A0569" w:rsidP="005A0569">
      <w:pPr>
        <w:pStyle w:val="CVParaFont"/>
      </w:pPr>
      <w:r>
        <w:t>In this problem, the bank wants to know if there is an association between balance and tenure</w:t>
      </w:r>
      <w:r w:rsidR="006655D9">
        <w:t>. To answer this question, a statistical approach was used.</w:t>
      </w:r>
    </w:p>
    <w:p w14:paraId="36580572" w14:textId="647BD75E" w:rsidR="009308AD" w:rsidRDefault="009308AD" w:rsidP="009308AD">
      <w:pPr>
        <w:pStyle w:val="CVH3Font"/>
      </w:pPr>
      <w:r>
        <w:t xml:space="preserve">Spearman’s </w:t>
      </w:r>
      <m:oMath>
        <m:r>
          <w:rPr>
            <w:rFonts w:ascii="Cambria Math" w:hAnsi="Cambria Math"/>
          </w:rPr>
          <m:t>ρ</m:t>
        </m:r>
      </m:oMath>
      <w:r w:rsidR="00066160">
        <w:t xml:space="preserve"> Analysis of </w:t>
      </w:r>
      <w:r w:rsidR="00A54692">
        <w:t>Balance and Tenure</w:t>
      </w:r>
    </w:p>
    <w:p w14:paraId="43C9AB71" w14:textId="3DCD585B" w:rsidR="00E44497" w:rsidRDefault="008334E3" w:rsidP="005A0569">
      <w:pPr>
        <w:pStyle w:val="CVParaFont"/>
      </w:pPr>
      <w:r>
        <w:t>To determine</w:t>
      </w:r>
      <w:r w:rsidR="00AD662D">
        <w:t xml:space="preserve"> the presence of a link between balance and tenure, I used Spearman’s </w:t>
      </w:r>
      <m:oMath>
        <m:r>
          <w:rPr>
            <w:rFonts w:ascii="Cambria Math" w:hAnsi="Cambria Math"/>
          </w:rPr>
          <m:t>ρ</m:t>
        </m:r>
      </m:oMath>
      <w:r w:rsidR="00AD662D">
        <w:t xml:space="preserve"> correlation coefficient</w:t>
      </w:r>
      <w:r w:rsidR="00161112">
        <w:t xml:space="preserve"> </w:t>
      </w:r>
      <w:r w:rsidR="00161112">
        <w:fldChar w:fldCharType="begin"/>
      </w:r>
      <w:r w:rsidR="00792360">
        <w:instrText xml:space="preserve"> ADDIN ZOTERO_ITEM CSL_CITATION {"citationID":"kHOo2pim","properties":{"formattedCitation":"[5]","plainCitation":"[5]","noteIndex":0},"citationItems":[{"id":979,"uris":["http://zotero.org/users/7469534/items/R43TXMG7"],"itemData":{"id":979,"type":"book","abstract":"This reprinted article originally appeared in American Journal of Psychology, 1904, Vol 15[1], 72-101. (The following abstract of the original article appeared in record 1926-00292-001.) Attempted to study the scientific correlation between two things. Any correlational experiment can only be regarded as a sample and presents a certain amount of accidental deviation from the real general tendency. Accidental deviation can be measured by the 'probable error.' Accidental deviation depends on the number or cases, and on the largeness of existing correspondence. Probable error varies according to the method of calculation. While the number of Ss helps to reduce accidental deviation, it has no effect upon systematic deviation, except that it indirectly leads to an augmentation. Therefore, the number of cases should be determined by the principle that the measurements to be aggregated together should have their error brought to the same general order of magnitude. Suggests that probable errors must be kept down to limits small enough for the particular object of investigation to be proved. (PsycInfo Database Record (c) 2024 APA, all rights reserved)","collection-title":"Studies in individual differences: The search for intelligence","event-place":"East Norwalk, CT, US","note":"page: 58\nDOI: 10.1037/11491-005","number-of-pages":"45","publisher":"Appleton-Century-Crofts","publisher-place":"East Norwalk, CT, US","source":"APA PsycNet","title":"The Proof and Measurement of Association Between Two Things","author":[{"family":"Spearman","given":"C."}],"issued":{"date-parts":[["1961"]]}}}],"schema":"https://github.com/citation-style-language/schema/raw/master/csl-citation.json"} </w:instrText>
      </w:r>
      <w:r w:rsidR="00161112">
        <w:fldChar w:fldCharType="separate"/>
      </w:r>
      <w:r w:rsidR="00792360" w:rsidRPr="00792360">
        <w:rPr>
          <w:rFonts w:cs="Tahoma"/>
        </w:rPr>
        <w:t>[5]</w:t>
      </w:r>
      <w:r w:rsidR="00161112">
        <w:fldChar w:fldCharType="end"/>
      </w:r>
      <w:r w:rsidR="00664BB0">
        <w:t>. This is a non-parametric analogue of Pearson’s R correlation coefficient</w:t>
      </w:r>
      <w:r w:rsidR="00CE7399">
        <w:t xml:space="preserve"> that indicates the strength, direction and significance of </w:t>
      </w:r>
      <w:r w:rsidR="009270C4">
        <w:t>correlation between two features that are not drawn from any probability distribution</w:t>
      </w:r>
      <w:r w:rsidR="00A759DA">
        <w:t xml:space="preserve">. In this case, tenure does not fit into </w:t>
      </w:r>
      <w:r w:rsidR="00524B72">
        <w:t xml:space="preserve">any common distributions, as tested using the </w:t>
      </w:r>
      <w:r w:rsidR="009F7038">
        <w:t>Kolmogorov-Smirnov test</w:t>
      </w:r>
      <w:r w:rsidR="00CD4124">
        <w:t>. However, balance does exhibit normality under certain conditions</w:t>
      </w:r>
      <w:r w:rsidR="009308AD">
        <w:t>, notwithstanding that it doesn’t affect this portion of the analysis</w:t>
      </w:r>
      <w:r w:rsidR="000B6B8D">
        <w:t xml:space="preserve">. Normality is tested for using the </w:t>
      </w:r>
      <w:r w:rsidR="00563561">
        <w:t xml:space="preserve">D’Agostino normality test </w:t>
      </w:r>
      <w:r w:rsidR="00563561">
        <w:fldChar w:fldCharType="begin"/>
      </w:r>
      <w:r w:rsidR="00792360">
        <w:instrText xml:space="preserve"> ADDIN ZOTERO_ITEM CSL_CITATION {"citationID":"ye25LqeC","properties":{"formattedCitation":"[6]","plainCitation":"[6]","noteIndex":0},"citationItems":[{"id":983,"uris":["http://zotero.org/users/7469534/items/N8SE9MLK"],"itemData":{"id":983,"type":"article</w:instrText>
      </w:r>
      <w:r w:rsidR="00792360">
        <w:rPr>
          <w:rFonts w:hint="eastAsia"/>
        </w:rPr>
        <w:instrText xml:space="preserve">-journal","abstract":"This paper is a preliminary to a detailed survey of the relative powers of a number of omnibus and directional tests of nonnormality. The probability integrals of </w:instrText>
      </w:r>
      <w:r w:rsidR="00792360">
        <w:rPr>
          <w:rFonts w:hint="eastAsia"/>
        </w:rPr>
        <w:instrText>√</w:instrText>
      </w:r>
      <w:r w:rsidR="00792360">
        <w:rPr>
          <w:rFonts w:hint="eastAsia"/>
        </w:rPr>
        <w:instrText>b1 and b2, the standardized third and fourth moment statistics, are f</w:instrText>
      </w:r>
      <w:r w:rsidR="00792360">
        <w:instrText xml:space="preserve">ound for random samples from a normal distribution. Main attention is given to b2. Extensive computer simulation and curve fitting have been used to provide charts of probability levels out to the 0.1% point, for 20 ≤ n ≤ 200. For </w:instrText>
      </w:r>
      <w:r w:rsidR="00792360">
        <w:rPr>
          <w:rFonts w:hint="eastAsia"/>
        </w:rPr>
        <w:instrText>√</w:instrText>
      </w:r>
      <w:r w:rsidR="00792360">
        <w:instrText>b1, the parameters of J</w:instrText>
      </w:r>
      <w:r w:rsidR="00792360">
        <w:rPr>
          <w:rFonts w:hint="eastAsia"/>
        </w:rPr>
        <w:instrText xml:space="preserve">ohnson's symmetrical SU approximation are tabled for values of n between 8 and 1000. An illustration is given of two </w:instrText>
      </w:r>
      <w:r w:rsidR="00792360">
        <w:rPr>
          <w:rFonts w:hint="eastAsia"/>
        </w:rPr>
        <w:instrText>‘</w:instrText>
      </w:r>
      <w:r w:rsidR="00792360">
        <w:rPr>
          <w:rFonts w:hint="eastAsia"/>
        </w:rPr>
        <w:instrText>omnibus</w:instrText>
      </w:r>
      <w:r w:rsidR="00792360">
        <w:rPr>
          <w:rFonts w:hint="eastAsia"/>
        </w:rPr>
        <w:instrText>’</w:instrText>
      </w:r>
      <w:r w:rsidR="00792360">
        <w:rPr>
          <w:rFonts w:hint="eastAsia"/>
        </w:rPr>
        <w:instrText xml:space="preserve"> tests applying the charts and table, involving the joint use of </w:instrText>
      </w:r>
      <w:r w:rsidR="00792360">
        <w:rPr>
          <w:rFonts w:hint="eastAsia"/>
        </w:rPr>
        <w:instrText>√</w:instrText>
      </w:r>
      <w:r w:rsidR="00792360">
        <w:rPr>
          <w:rFonts w:hint="eastAsia"/>
        </w:rPr>
        <w:instrText xml:space="preserve">b1 and b2.","container-title":"Biometrika","DOI":"10.1093/biomet/60.3.613","ISSN":"0006-3444","issue":"3","journalAbbreviation":"Biometrika","page":"613-622","source":"Silverchair","title":"Tests for departure from normality. Empirical results for the distributions of b2 and </w:instrText>
      </w:r>
      <w:r w:rsidR="00792360">
        <w:rPr>
          <w:rFonts w:hint="eastAsia"/>
        </w:rPr>
        <w:instrText>√</w:instrText>
      </w:r>
      <w:r w:rsidR="00792360">
        <w:rPr>
          <w:rFonts w:hint="eastAsia"/>
        </w:rPr>
        <w:instrText>b1","volume":"60","author":[{"family":"D'</w:instrText>
      </w:r>
      <w:r w:rsidR="00792360">
        <w:instrText xml:space="preserve">AGOSTINO","given":"RALPH"},{"family":"PEARSON","given":"E. S."}],"issued":{"date-parts":[["1973",12,1]]}}}],"schema":"https://github.com/citation-style-language/schema/raw/master/csl-citation.json"} </w:instrText>
      </w:r>
      <w:r w:rsidR="00563561">
        <w:fldChar w:fldCharType="separate"/>
      </w:r>
      <w:r w:rsidR="00792360" w:rsidRPr="00792360">
        <w:rPr>
          <w:rFonts w:cs="Tahoma"/>
        </w:rPr>
        <w:t>[6]</w:t>
      </w:r>
      <w:r w:rsidR="00563561">
        <w:fldChar w:fldCharType="end"/>
      </w:r>
      <w:r w:rsidR="00D357EA">
        <w:t xml:space="preserve">. </w:t>
      </w:r>
    </w:p>
    <w:p w14:paraId="2A713E18" w14:textId="207FC202" w:rsidR="00E672D2" w:rsidRDefault="00E44497" w:rsidP="005A0569">
      <w:pPr>
        <w:pStyle w:val="CVParaFont"/>
      </w:pPr>
      <w:r>
        <w:t xml:space="preserve">Spearman’s </w:t>
      </w:r>
      <m:oMath>
        <m:r>
          <w:rPr>
            <w:rFonts w:ascii="Cambria Math" w:hAnsi="Cambria Math"/>
          </w:rPr>
          <m:t>ρ</m:t>
        </m:r>
      </m:oMath>
      <w:r>
        <w:t xml:space="preserve"> </w:t>
      </w:r>
      <w:r w:rsidR="004854F8">
        <w:t>analysis of the relationship between balance and tenure revealed very little</w:t>
      </w:r>
      <w:r w:rsidR="00970C0A">
        <w:t xml:space="preserve"> – statistic = -0.009, p=0.358</w:t>
      </w:r>
      <w:r w:rsidR="00C84ECA">
        <w:t>. The correlation is very weak, and it is not statistically significant</w:t>
      </w:r>
      <w:r w:rsidR="00E44C6E">
        <w:t xml:space="preserve">. </w:t>
      </w:r>
      <w:r w:rsidR="003243E3">
        <w:t xml:space="preserve">Surprisingly, if we remove instances where </w:t>
      </w:r>
      <m:oMath>
        <m:r>
          <w:rPr>
            <w:rFonts w:ascii="Cambria Math" w:hAnsi="Cambria Math"/>
          </w:rPr>
          <m:t>balance = 0</m:t>
        </m:r>
      </m:oMath>
      <w:r w:rsidR="003243E3">
        <w:t xml:space="preserve"> and </w:t>
      </w:r>
      <m:oMath>
        <m:r>
          <w:rPr>
            <w:rFonts w:ascii="Cambria Math" w:hAnsi="Cambria Math"/>
          </w:rPr>
          <m:t>Exited = 1</m:t>
        </m:r>
      </m:oMath>
      <w:r w:rsidR="004361BD">
        <w:t xml:space="preserve">, </w:t>
      </w:r>
      <w:r w:rsidR="009E08BF">
        <w:t>the distribution of balance becomes closer to normal. Typically, we’d expect the performance of a correlation coefficient to increase if a</w:t>
      </w:r>
      <w:r w:rsidR="00D01563">
        <w:t xml:space="preserve"> feature is parametric. However, in this instance,</w:t>
      </w:r>
      <w:r w:rsidR="000568DB">
        <w:t xml:space="preserve"> the statistic becomes 0.001 and the p-value becomes 0.9</w:t>
      </w:r>
      <w:r w:rsidR="00A507D2">
        <w:t>39 (hugely insignificant).</w:t>
      </w:r>
    </w:p>
    <w:p w14:paraId="10A4AF63" w14:textId="132596CF" w:rsidR="00A54692" w:rsidRDefault="00A54692" w:rsidP="00A54692">
      <w:pPr>
        <w:pStyle w:val="CVH3Font"/>
      </w:pPr>
      <w:r>
        <w:t>Correlation Analysis of Other Attributes</w:t>
      </w:r>
    </w:p>
    <w:p w14:paraId="24E647D7" w14:textId="7E8EA1D5" w:rsidR="005E0612" w:rsidRDefault="008A3B26" w:rsidP="00A54692">
      <w:pPr>
        <w:pStyle w:val="CVParaFont"/>
      </w:pPr>
      <w:r>
        <w:t>The second aim of this solution is to find other attributes</w:t>
      </w:r>
      <w:r w:rsidR="005E0539">
        <w:t xml:space="preserve"> that may have a correlation with balance, and particularly those of high value. To this end, a few masks for the </w:t>
      </w:r>
      <w:r w:rsidR="00BF12A4">
        <w:t xml:space="preserve">balance were created to filter out the following: </w:t>
      </w:r>
      <m:oMath>
        <m:r>
          <w:rPr>
            <w:rFonts w:ascii="Cambria Math" w:hAnsi="Cambria Math"/>
          </w:rPr>
          <m:t>balance = 0</m:t>
        </m:r>
      </m:oMath>
      <w:r w:rsidR="003222A3">
        <w:t xml:space="preserve">; </w:t>
      </w:r>
      <m:oMath>
        <m:r>
          <w:rPr>
            <w:rFonts w:ascii="Cambria Math" w:hAnsi="Cambria Math"/>
          </w:rPr>
          <m:t>balance = 0, Exited = 1</m:t>
        </m:r>
      </m:oMath>
      <w:r w:rsidR="004340F4">
        <w:t xml:space="preserve">; </w:t>
      </w:r>
      <m:oMath>
        <m:r>
          <w:rPr>
            <w:rFonts w:ascii="Cambria Math" w:hAnsi="Cambria Math"/>
          </w:rPr>
          <m:t>balance</m:t>
        </m:r>
        <m:r>
          <w:rPr>
            <w:rFonts w:ascii="Cambria Math" w:hAnsi="Cambria Math"/>
          </w:rPr>
          <m:t xml:space="preserve"> &lt;</m:t>
        </m:r>
        <m:r>
          <w:rPr>
            <w:rFonts w:ascii="Cambria Math" w:hAnsi="Cambria Math"/>
          </w:rPr>
          <m:t xml:space="preserve"> </m:t>
        </m:r>
        <m:r>
          <w:rPr>
            <w:rFonts w:ascii="Cambria Math" w:hAnsi="Cambria Math"/>
          </w:rPr>
          <m:t>quantil</m:t>
        </m:r>
        <m:sSub>
          <m:sSubPr>
            <m:ctrlPr>
              <w:rPr>
                <w:rFonts w:ascii="Cambria Math" w:hAnsi="Cambria Math"/>
                <w:i/>
              </w:rPr>
            </m:ctrlPr>
          </m:sSubPr>
          <m:e>
            <m:r>
              <w:rPr>
                <w:rFonts w:ascii="Cambria Math" w:hAnsi="Cambria Math"/>
              </w:rPr>
              <m:t>e</m:t>
            </m:r>
          </m:e>
          <m:sub>
            <m:r>
              <w:rPr>
                <w:rFonts w:ascii="Cambria Math" w:hAnsi="Cambria Math"/>
              </w:rPr>
              <m:t>95</m:t>
            </m:r>
          </m:sub>
        </m:sSub>
        <m:r>
          <w:rPr>
            <w:rFonts w:ascii="Cambria Math" w:hAnsi="Cambria Math"/>
          </w:rPr>
          <m:t>(balance)</m:t>
        </m:r>
      </m:oMath>
      <w:r w:rsidR="001C1A22">
        <w:t xml:space="preserve">; </w:t>
      </w:r>
      <m:oMath>
        <m:r>
          <w:rPr>
            <w:rFonts w:ascii="Cambria Math" w:hAnsi="Cambria Math"/>
          </w:rPr>
          <m:t>balance</m:t>
        </m:r>
        <m:r>
          <w:rPr>
            <w:rFonts w:ascii="Cambria Math" w:hAnsi="Cambria Math"/>
          </w:rPr>
          <m:t>&lt;</m:t>
        </m:r>
        <m:r>
          <w:rPr>
            <w:rFonts w:ascii="Cambria Math" w:hAnsi="Cambria Math"/>
          </w:rPr>
          <m:t xml:space="preserve"> </m:t>
        </m:r>
        <m:r>
          <w:rPr>
            <w:rFonts w:ascii="Cambria Math" w:hAnsi="Cambria Math"/>
          </w:rPr>
          <m:t>quantil</m:t>
        </m:r>
        <m:sSub>
          <m:sSubPr>
            <m:ctrlPr>
              <w:rPr>
                <w:rFonts w:ascii="Cambria Math" w:hAnsi="Cambria Math"/>
                <w:i/>
              </w:rPr>
            </m:ctrlPr>
          </m:sSubPr>
          <m:e>
            <m:r>
              <w:rPr>
                <w:rFonts w:ascii="Cambria Math" w:hAnsi="Cambria Math"/>
              </w:rPr>
              <m:t>e</m:t>
            </m:r>
          </m:e>
          <m:sub>
            <m:r>
              <w:rPr>
                <w:rFonts w:ascii="Cambria Math" w:hAnsi="Cambria Math"/>
              </w:rPr>
              <m:t>99</m:t>
            </m:r>
          </m:sub>
        </m:sSub>
        <m:r>
          <w:rPr>
            <w:rFonts w:ascii="Cambria Math" w:hAnsi="Cambria Math"/>
          </w:rPr>
          <m:t>(balance)</m:t>
        </m:r>
      </m:oMath>
      <w:r w:rsidR="005E0612">
        <w:t>.</w:t>
      </w:r>
    </w:p>
    <w:p w14:paraId="299465D4" w14:textId="623A7FF5" w:rsidR="004537F6" w:rsidRDefault="005E0612" w:rsidP="00A54692">
      <w:pPr>
        <w:pStyle w:val="CVParaFont"/>
      </w:pPr>
      <w:r>
        <w:t xml:space="preserve">For each of the features, </w:t>
      </w:r>
      <w:r w:rsidR="00161112">
        <w:t>the correlation coefficient was chosen</w:t>
      </w:r>
      <w:r w:rsidR="00C03B5E">
        <w:t xml:space="preserve"> based on the data type. Dichotomous features used Point-Biserial </w:t>
      </w:r>
      <w:r w:rsidR="003C0F5B">
        <w:t>correlation;</w:t>
      </w:r>
      <w:r w:rsidR="00C03B5E">
        <w:t xml:space="preserve"> </w:t>
      </w:r>
      <w:r w:rsidR="003C0F5B">
        <w:t>continuous</w:t>
      </w:r>
      <w:r w:rsidR="00BB3583">
        <w:t>,</w:t>
      </w:r>
      <w:r w:rsidR="003C0F5B">
        <w:t xml:space="preserve"> Spearman’s </w:t>
      </w:r>
      <m:oMath>
        <m:r>
          <w:rPr>
            <w:rFonts w:ascii="Cambria Math" w:hAnsi="Cambria Math"/>
          </w:rPr>
          <m:t>ρ</m:t>
        </m:r>
      </m:oMath>
      <w:r w:rsidR="003C0F5B">
        <w:t xml:space="preserve">; </w:t>
      </w:r>
      <w:r w:rsidR="00E72EFE">
        <w:t xml:space="preserve">multinomial features used a Kruskal-Wallis test with a </w:t>
      </w:r>
      <w:r w:rsidR="000D65A7">
        <w:t xml:space="preserve">Conover-Iman post-hoc test to identify </w:t>
      </w:r>
      <w:r w:rsidR="00921EF4">
        <w:t xml:space="preserve">significantly different groups. These are all non-parametric </w:t>
      </w:r>
      <w:r w:rsidR="00941838">
        <w:t xml:space="preserve">indicators of association. </w:t>
      </w:r>
      <w:r w:rsidR="004B4AE4">
        <w:t xml:space="preserve">Again, the statistic of the correlations (Spearman and Point-Biserial) indicates strength and direction, while the p-value of each </w:t>
      </w:r>
      <w:r w:rsidR="00DF1765">
        <w:t xml:space="preserve">method indicates significance. Each feature was filtered </w:t>
      </w:r>
      <w:r w:rsidR="004802CE">
        <w:t>using each of the masks above and tested for association with balance. Of these</w:t>
      </w:r>
      <w:r w:rsidR="0095347D">
        <w:t xml:space="preserve"> analyses, eight features had a statistically significant </w:t>
      </w:r>
      <w:r w:rsidR="00E126DC">
        <w:t xml:space="preserve">association: Exited, gender, age, Own_car, Geography, Total_income, credit_card, </w:t>
      </w:r>
      <w:r w:rsidR="00B043FB">
        <w:t>and Housing_type.</w:t>
      </w:r>
      <w:r w:rsidR="00255646">
        <w:t xml:space="preserve"> Association between </w:t>
      </w:r>
      <w:r w:rsidR="009235D8">
        <w:t>four of these is shown in Fig. 2.</w:t>
      </w:r>
    </w:p>
    <w:p w14:paraId="183FD216" w14:textId="6017A466" w:rsidR="00AB56DB" w:rsidRDefault="004537F6" w:rsidP="00A54692">
      <w:pPr>
        <w:pStyle w:val="CVParaFont"/>
      </w:pPr>
      <w:r>
        <w:lastRenderedPageBreak/>
        <w:t>Of these, the</w:t>
      </w:r>
      <w:r w:rsidR="009170E9">
        <w:t xml:space="preserve"> strongest</w:t>
      </w:r>
      <w:r>
        <w:t xml:space="preserve"> correlation</w:t>
      </w:r>
      <w:r w:rsidR="009170E9">
        <w:t xml:space="preserve">s </w:t>
      </w:r>
      <w:r w:rsidR="003443D5">
        <w:t xml:space="preserve">are </w:t>
      </w:r>
      <w:r w:rsidR="00E5740D">
        <w:t>Total_income</w:t>
      </w:r>
      <w:r w:rsidR="003443D5">
        <w:t xml:space="preserve"> </w:t>
      </w:r>
      <w:r w:rsidR="00453C40">
        <w:t xml:space="preserve">(statistic = </w:t>
      </w:r>
      <w:r w:rsidR="003443D5">
        <w:t>0.</w:t>
      </w:r>
      <w:r w:rsidR="00E5740D">
        <w:t>21</w:t>
      </w:r>
      <w:r w:rsidR="00453C40">
        <w:t>)</w:t>
      </w:r>
      <w:r w:rsidR="003443D5">
        <w:t xml:space="preserve">, </w:t>
      </w:r>
      <w:r w:rsidR="00B927B3">
        <w:t xml:space="preserve">credit_card </w:t>
      </w:r>
      <w:r w:rsidR="00453C40">
        <w:t xml:space="preserve">(statistic = </w:t>
      </w:r>
      <w:r w:rsidR="00B927B3">
        <w:t>-0.22</w:t>
      </w:r>
      <w:r w:rsidR="00453C40">
        <w:t>) and Geography (</w:t>
      </w:r>
      <w:r w:rsidR="009C755A">
        <w:t xml:space="preserve">p-value = </w:t>
      </w:r>
      <m:oMath>
        <m:r>
          <w:rPr>
            <w:rFonts w:ascii="Cambria Math" w:hAnsi="Cambria Math"/>
          </w:rPr>
          <m:t>2.05×</m:t>
        </m:r>
        <m:sSup>
          <m:sSupPr>
            <m:ctrlPr>
              <w:rPr>
                <w:rFonts w:ascii="Cambria Math" w:hAnsi="Cambria Math"/>
                <w:i/>
              </w:rPr>
            </m:ctrlPr>
          </m:sSupPr>
          <m:e>
            <m:r>
              <w:rPr>
                <w:rFonts w:ascii="Cambria Math" w:hAnsi="Cambria Math"/>
              </w:rPr>
              <m:t>10</m:t>
            </m:r>
          </m:e>
          <m:sup>
            <m:r>
              <w:rPr>
                <w:rFonts w:ascii="Cambria Math" w:hAnsi="Cambria Math"/>
              </w:rPr>
              <m:t>-294</m:t>
            </m:r>
          </m:sup>
        </m:sSup>
      </m:oMath>
      <w:r w:rsidR="009C755A">
        <w:t>)</w:t>
      </w:r>
      <w:r w:rsidR="001A6920">
        <w:t xml:space="preserve">. From </w:t>
      </w:r>
      <w:r w:rsidR="00EE4E6D">
        <w:t>th</w:t>
      </w:r>
      <w:r w:rsidR="00890005">
        <w:t xml:space="preserve">is analysis, </w:t>
      </w:r>
      <w:r w:rsidR="00EE4E6D">
        <w:t>it can be concluded that a customer is more likely to be a higher earner if they are from the Netherlands</w:t>
      </w:r>
      <w:r w:rsidR="00890005">
        <w:t xml:space="preserve">, if they </w:t>
      </w:r>
      <w:r w:rsidR="00F46ACC">
        <w:rPr>
          <w:i/>
          <w:iCs/>
        </w:rPr>
        <w:t xml:space="preserve">don’t </w:t>
      </w:r>
      <w:r w:rsidR="00890005">
        <w:t xml:space="preserve">have a credit card, or if they are </w:t>
      </w:r>
      <w:r w:rsidR="008D2A19">
        <w:t>high earners (in the 99</w:t>
      </w:r>
      <w:r w:rsidR="008D2A19" w:rsidRPr="008D2A19">
        <w:rPr>
          <w:vertAlign w:val="superscript"/>
        </w:rPr>
        <w:t>th</w:t>
      </w:r>
      <w:r w:rsidR="008D2A19">
        <w:t xml:space="preserve"> quantile of balances)</w:t>
      </w:r>
      <w:r w:rsidR="00616F8D">
        <w:t>.</w:t>
      </w:r>
      <w:r w:rsidR="00AB56DB">
        <w:br w:type="page"/>
      </w:r>
    </w:p>
    <w:p w14:paraId="27BFFD51" w14:textId="43842FBD" w:rsidR="00AB56DB" w:rsidRDefault="00AB56DB" w:rsidP="00AB56DB">
      <w:pPr>
        <w:pStyle w:val="CVH1Font"/>
      </w:pPr>
      <w:r>
        <w:lastRenderedPageBreak/>
        <w:t>Task 2: Evaluation of Tools and Languages</w:t>
      </w:r>
    </w:p>
    <w:p w14:paraId="43F01957" w14:textId="738F6309" w:rsidR="00017F19" w:rsidRDefault="00810E66" w:rsidP="00810E66">
      <w:pPr>
        <w:pStyle w:val="CVParaFont"/>
      </w:pPr>
      <w:r>
        <w:t xml:space="preserve">The analysis of </w:t>
      </w:r>
      <w:r w:rsidR="00BE70A6">
        <w:t>these data was carried out using Python</w:t>
      </w:r>
      <w:r w:rsidR="00B94548">
        <w:t xml:space="preserve"> version 3.12</w:t>
      </w:r>
      <w:r w:rsidR="008063A8">
        <w:t xml:space="preserve"> in an Anaconda-managed environment running JupyterLab</w:t>
      </w:r>
      <w:r w:rsidR="00155E25">
        <w:t xml:space="preserve"> </w:t>
      </w:r>
      <w:r w:rsidR="00155E25">
        <w:fldChar w:fldCharType="begin"/>
      </w:r>
      <w:r w:rsidR="00792360">
        <w:instrText xml:space="preserve"> ADDIN ZOTERO_ITEM CSL_CITATION {"citationID":"xydIjIOp","properties":{"formattedCitation":"[7], [8], [9]","plainCitation":"[7], [8], [9]","noteIndex":0},"citationItems":[{"id":987,"uris":["http://zotero.org/users/7469534/items/PFAKJRVV"],"itemData":{"id":987,"type":"book","event-place":"Scotts Valley, CA","ISBN":"1-4414-1269-7","publisher":"CreateSpace","publisher-place":"Scotts Valley, CA","title":"Python 3 Reference Manual","author":[{"family":"Van Rossum","given":"Guido"},{"family":"Drake","given":"Fred L."}],"issued":{"date-parts":[["2009"]]}}},{"id":986,"uris":["http://zotero.org/users/7469534/items/IV3G98ND"],"itemData":{"id":986,"type":"document","note":"container-title: Anaconda Documentation\nversion: Vers. 2-2.4.0","publisher":"Anaconda Inc.","title":"Anaconda Software Distribution","URL":"https://docs.anaconda.com/","issued":{"date-parts":[["2020"]]}}},{"id":988,"uris":["http://zotero.org/users/7469534/items/DSZQFRV3"],"itemData":{"id":988,"type":"paper-conference","container-title":"Positioning and Power in Academic Publishing: Players, Agents and Agendas","page":"87 - 90","publisher":"IOS Press","title":"Jupyter Notebooks – a publishing format for reproducible computational workflows","author":[{"family":"Kluyver","given":"Thomas"},{"family":"Ragan-Kelley","given":"Benjamin"},{"family":"Pérez","given":"Fernando"},{"family":"Granger","given":"Brian"},{"family":"Bussonnier","given":"Matthias"},{"family":"Frederic","given":"Jonathan"},{"family":"Kelley","given":"Kyle"},{"family":"Hamrick","given":"Jessica"},{"family":"Grout","given":"Jason"},{"family":"Corlay","given":"Sylvain"},{"family":"Ivanov","given":"Paul"},{"family":"Avila","given":"Damián"},{"family":"Abdalla","given":"Safia"},{"family":"Willing","given":"Carol"}],"editor":[{"family":"Loizides","given":"F."},{"family":"Schmidt","given":"B."}],"issued":{"date-parts":[["2016"]]}}}],"schema":"https://github.com/citation-style-language/schema/raw/master/csl-citation.json"} </w:instrText>
      </w:r>
      <w:r w:rsidR="00155E25">
        <w:fldChar w:fldCharType="separate"/>
      </w:r>
      <w:r w:rsidR="00792360" w:rsidRPr="00792360">
        <w:rPr>
          <w:rFonts w:cs="Tahoma"/>
        </w:rPr>
        <w:t>[7], [8], [9]</w:t>
      </w:r>
      <w:r w:rsidR="00155E25">
        <w:fldChar w:fldCharType="end"/>
      </w:r>
      <w:r w:rsidR="008063A8">
        <w:t xml:space="preserve">. </w:t>
      </w:r>
      <w:r w:rsidR="00580383">
        <w:t xml:space="preserve">Python is an open-source programming language with </w:t>
      </w:r>
      <w:r w:rsidR="00D7565D">
        <w:t>about 8.2 million users.</w:t>
      </w:r>
      <w:r w:rsidR="002F7E4E">
        <w:t xml:space="preserve"> Because it is open-source, there are many contributors developing useful packages, many of which are useful for </w:t>
      </w:r>
      <w:r w:rsidR="001415B9">
        <w:t>data mining and statistical analysis. In particular, the scikit-learn, scipy and statsmodels packages were particularly useful</w:t>
      </w:r>
      <w:r w:rsidR="009B41D6">
        <w:t xml:space="preserve"> as they provide a</w:t>
      </w:r>
      <w:r w:rsidR="00882664">
        <w:t xml:space="preserve"> flexible interface with some otherwise complex programming concepts</w:t>
      </w:r>
      <w:r w:rsidR="00017F19">
        <w:t>.</w:t>
      </w:r>
      <w:r w:rsidR="00097A33">
        <w:t xml:space="preserve"> Anaconda is a useful environment management tool that allows me to </w:t>
      </w:r>
      <w:r w:rsidR="00C134D7">
        <w:t>organise Python packages, as well as launch JupyterLab</w:t>
      </w:r>
      <w:r w:rsidR="00481853">
        <w:t>. Jupyter Notebooks are useful tools for writing notes on my code</w:t>
      </w:r>
      <w:r w:rsidR="002E1FC2">
        <w:t xml:space="preserve"> and improving legibility and maintainability.</w:t>
      </w:r>
    </w:p>
    <w:p w14:paraId="71EC88EE" w14:textId="1B0A12CB" w:rsidR="00157548" w:rsidRDefault="00157548" w:rsidP="00810E66">
      <w:pPr>
        <w:pStyle w:val="CVParaFont"/>
      </w:pPr>
      <w:r>
        <w:t xml:space="preserve">Despite </w:t>
      </w:r>
      <w:r w:rsidR="00893FAD">
        <w:t xml:space="preserve">its flexibility, Python </w:t>
      </w:r>
      <w:r w:rsidR="00605FB6">
        <w:t xml:space="preserve">comes with a learning curve </w:t>
      </w:r>
      <w:r w:rsidR="00540421">
        <w:t xml:space="preserve">since it is a programming language. </w:t>
      </w:r>
      <w:r w:rsidR="009749AD">
        <w:t xml:space="preserve">Processes are not abstracted behind a GUI like with other tools like </w:t>
      </w:r>
      <w:r w:rsidR="00B351B4">
        <w:t>WEKA</w:t>
      </w:r>
      <w:r w:rsidR="00605FB6">
        <w:t xml:space="preserve"> and a deeper understanding of these processes may be required to choose the </w:t>
      </w:r>
      <w:r w:rsidR="00425056">
        <w:t xml:space="preserve">most suitable packages for a given scenario (e.g. statsmodels </w:t>
      </w:r>
      <w:r w:rsidR="0073689D">
        <w:t xml:space="preserve">provides statistical insights to </w:t>
      </w:r>
      <w:r w:rsidR="00552556">
        <w:t xml:space="preserve">data mining </w:t>
      </w:r>
      <w:r w:rsidR="0073689D">
        <w:t>models, while scikit-learn simply generates a model</w:t>
      </w:r>
      <w:r w:rsidR="00552556">
        <w:t xml:space="preserve"> for use in machine learning</w:t>
      </w:r>
      <w:r w:rsidR="0073689D">
        <w:t>)</w:t>
      </w:r>
      <w:r w:rsidR="00552556">
        <w:t>.</w:t>
      </w:r>
    </w:p>
    <w:p w14:paraId="7EFB3BF8" w14:textId="47EDBA43" w:rsidR="00BA0684" w:rsidRDefault="00017F19" w:rsidP="00810E66">
      <w:pPr>
        <w:pStyle w:val="CVParaFont"/>
      </w:pPr>
      <w:r>
        <w:t>If I were to complete this task again, I would likely use R instead of Python. R is also an open-source programming language with many contributors, but it is designed specifically with data analysis in mind (compared with the all-purpose nature of Python)</w:t>
      </w:r>
      <w:r w:rsidR="00592225">
        <w:t>. Because of this, it lends itself well to statistical models like logistic regression and</w:t>
      </w:r>
      <w:r w:rsidR="001D2F93">
        <w:t xml:space="preserve"> integrates well with association analysis techniques</w:t>
      </w:r>
      <w:r w:rsidR="00BD30AE">
        <w:t xml:space="preserve">. </w:t>
      </w:r>
      <w:r w:rsidR="000840E3">
        <w:t xml:space="preserve">The main benefit of R over Python is that R data structures are </w:t>
      </w:r>
      <w:r w:rsidR="0056541C">
        <w:t>homogenised – using data.frame as its main structure, rather than a choice of</w:t>
      </w:r>
      <w:r w:rsidR="00473CBC">
        <w:t xml:space="preserve"> the native list type,</w:t>
      </w:r>
      <w:r w:rsidR="0056541C">
        <w:t xml:space="preserve"> numpy</w:t>
      </w:r>
      <w:r w:rsidR="00DA5740">
        <w:t xml:space="preserve">.ndarray, pandas.DataFrame, or even </w:t>
      </w:r>
      <w:r w:rsidR="0068361D">
        <w:t>polars.DataFrame</w:t>
      </w:r>
      <w:r w:rsidR="003F7050">
        <w:t xml:space="preserve"> to confuse things</w:t>
      </w:r>
      <w:r w:rsidR="007B3E51">
        <w:t xml:space="preserve"> </w:t>
      </w:r>
      <w:r w:rsidR="007B3E51">
        <w:fldChar w:fldCharType="begin"/>
      </w:r>
      <w:r w:rsidR="00792360">
        <w:instrText xml:space="preserve"> ADDIN ZOTERO_ITEM CSL_CITATION {"citationID":"j5RGl2QV","properties":{"formattedCitation":"[10]","plainCitation":"[10]","noteIndex":0},"citationItems":[{"id":989,"uris":["http://zotero.org/users/7469534/items/AEHSAEK3"],"itemData":{"id":989,"type":"article-journal","container-title":"Journal of Data Science","DOI":"10.6339/JDS.201707_15(3).0001","ISSN":"1680-743X, 1683-8602","issue":"3","language":"en","page":"355-372","source":"DOI.org (Crossref)","title":"MatLab vs. Python vs. R","volume":"15","author":[{"family":"Ozgur","given":"Ceyhun"},{"family":"Colliau","given":"Taylor"},{"family":"Rogers","given":"Grace"},{"family":"Hughes","given":"Zachariah"}],"issued":{"date-parts":[["2021",3,7]]}}}],"schema":"https://github.com/citation-style-language/schema/raw/master/csl-citation.json"} </w:instrText>
      </w:r>
      <w:r w:rsidR="007B3E51">
        <w:fldChar w:fldCharType="separate"/>
      </w:r>
      <w:r w:rsidR="00792360" w:rsidRPr="00792360">
        <w:rPr>
          <w:rFonts w:cs="Tahoma"/>
        </w:rPr>
        <w:t>[10]</w:t>
      </w:r>
      <w:r w:rsidR="007B3E51">
        <w:fldChar w:fldCharType="end"/>
      </w:r>
      <w:r w:rsidR="003F7050">
        <w:t>. This makes it an easier choice for learning statistics and data mining techniques and is also compatible with Anaconda development environments and Jupyter Notebooks.</w:t>
      </w:r>
      <w:r w:rsidR="00CA6352">
        <w:t xml:space="preserve"> </w:t>
      </w:r>
    </w:p>
    <w:p w14:paraId="00FA5528" w14:textId="1DDFCD92" w:rsidR="00AB56DB" w:rsidRDefault="00BE716D" w:rsidP="00810E66">
      <w:pPr>
        <w:pStyle w:val="CVParaFont"/>
      </w:pPr>
      <w:r>
        <w:t xml:space="preserve">On the other hand, Python is more industry-standard than R is, at least outside of academia. </w:t>
      </w:r>
      <w:r w:rsidR="00863EC1">
        <w:t>Python is integrated into significantly more business tech stacks than R is</w:t>
      </w:r>
      <w:r w:rsidR="000628AC">
        <w:t xml:space="preserve"> (</w:t>
      </w:r>
      <w:r w:rsidR="00B50983">
        <w:t>260</w:t>
      </w:r>
      <w:r w:rsidR="00B4171B">
        <w:t>,</w:t>
      </w:r>
      <w:r w:rsidR="00B50983">
        <w:t xml:space="preserve">000 companies use Python vs </w:t>
      </w:r>
      <w:r w:rsidR="000628AC">
        <w:t>6600</w:t>
      </w:r>
      <w:r w:rsidR="00B50983">
        <w:t xml:space="preserve"> using R</w:t>
      </w:r>
      <w:r w:rsidR="00B4171B">
        <w:t>Studio</w:t>
      </w:r>
      <w:r w:rsidR="00B50983">
        <w:t xml:space="preserve"> </w:t>
      </w:r>
      <w:r w:rsidR="00B50983">
        <w:fldChar w:fldCharType="begin"/>
      </w:r>
      <w:r w:rsidR="00792360">
        <w:instrText xml:space="preserve"> ADDIN ZOTERO_ITEM CSL_CITATION {"citationID":"Gi66NODd","properties":{"formattedCitation":"[11]","plainCitation":"[11]","noteIndex":0},"citationItems":[{"id":991,"uris":["http://zotero.org/users/7469534/items/278BB8AL"],"itemData":{"id":991,"type":"webpage","abstract":"enlyft industry research shows that Python has a market share of about 3.21% compared to leading competitors PHP, Java and Perl.","language":"en","title":"Python commands 3.21% market share in Programming Languages","URL":"https://enlyft.com/tech/products/python","accessed":{"date-parts":[["2024",10,27]]}}}],"schema":"https://github.com/citation-style-language/schema/raw/master/csl-citation.json"} </w:instrText>
      </w:r>
      <w:r w:rsidR="00B50983">
        <w:fldChar w:fldCharType="separate"/>
      </w:r>
      <w:r w:rsidR="00792360" w:rsidRPr="00792360">
        <w:rPr>
          <w:rFonts w:cs="Tahoma"/>
        </w:rPr>
        <w:t>[11]</w:t>
      </w:r>
      <w:r w:rsidR="00B50983">
        <w:fldChar w:fldCharType="end"/>
      </w:r>
      <w:r w:rsidR="00B50983">
        <w:t>)</w:t>
      </w:r>
      <w:r w:rsidR="002B21CB">
        <w:t>. Python also lends itself to integration with other use cases like web app development</w:t>
      </w:r>
      <w:r w:rsidR="00381733">
        <w:t>. Machine learning using scikit-learn can be integrated into a Django webapp</w:t>
      </w:r>
      <w:r w:rsidR="004055D3">
        <w:t>, or data can be obtained using web scraping packages and cleaned for use in statsmodels</w:t>
      </w:r>
      <w:r w:rsidR="00B914B0">
        <w:t xml:space="preserve"> scripts. This extensibility isn’t present in R.</w:t>
      </w:r>
      <w:r w:rsidR="00AB56DB">
        <w:br w:type="page"/>
      </w:r>
    </w:p>
    <w:p w14:paraId="43FAC383" w14:textId="2FFD43EB" w:rsidR="00AB56DB" w:rsidRDefault="00AB56DB" w:rsidP="00AB56DB">
      <w:pPr>
        <w:pStyle w:val="CVH1Font"/>
      </w:pPr>
      <w:r>
        <w:lastRenderedPageBreak/>
        <w:t>Task 3: Discussion of Current Literature</w:t>
      </w:r>
    </w:p>
    <w:p w14:paraId="1D98A359" w14:textId="77777777" w:rsidR="00881D8E" w:rsidRDefault="006007E6" w:rsidP="00881D8E">
      <w:pPr>
        <w:pStyle w:val="CVH2Font"/>
      </w:pPr>
      <w:r>
        <w:t>Current Issues in Data Classification in Credit</w:t>
      </w:r>
      <w:r w:rsidR="00881D8E">
        <w:t xml:space="preserve"> Risk</w:t>
      </w:r>
    </w:p>
    <w:p w14:paraId="411F45D4" w14:textId="4E37BC82" w:rsidR="00C012D3" w:rsidRDefault="002F2CAE" w:rsidP="00881D8E">
      <w:pPr>
        <w:pStyle w:val="CVParaFont"/>
      </w:pPr>
      <w:r>
        <w:t>Data Classification is an old concept</w:t>
      </w:r>
      <w:r w:rsidR="003F32A6">
        <w:t>, but with</w:t>
      </w:r>
      <w:r w:rsidR="003C05CC">
        <w:t xml:space="preserve"> the age of big data and ever</w:t>
      </w:r>
      <w:r w:rsidR="001267C8">
        <w:t>-</w:t>
      </w:r>
      <w:r w:rsidR="003C05CC">
        <w:t xml:space="preserve">changing rules, regulations and applications, there are always avenues for </w:t>
      </w:r>
      <w:r w:rsidR="001F6F32">
        <w:t>further development and solutions</w:t>
      </w:r>
      <w:r w:rsidR="00251C75">
        <w:t xml:space="preserve"> </w:t>
      </w:r>
      <w:r w:rsidR="0004411E">
        <w:fldChar w:fldCharType="begin"/>
      </w:r>
      <w:r w:rsidR="00792360">
        <w:instrText xml:space="preserve"> ADDIN ZOTERO_ITEM CSL_CITATION {"citationID":"tTxWYviU","properties":{"formattedCitation":"[12]","plainCitation":"[12]","noteIndex":0},"citationItems":[{"id":993,"uris":["http://zotero.org/users/7469534/items/DIMJMN2M"],"itemData":{"id":993,"type":"article-journal","abstract":"Credit risk assessment is a crucial element in credit risk management. With the extensive research on consumer credit risk assessment in recent decades, the abundance of literature on this topic can be overwhelming for researchers. Therefore, this article aims to provide a more systematic and comprehensive analysis from three perspectives: classification algorithms, data traits, and learning methods. Firstly, the state-of-the-art classification algorithms are categorized into traditional single classifiers, intelligent single classifiers, hybrid and ensemble multiple classifiers. Secondly, considering the diversity of data traits in the credit dataset, data traits are divided into external structure information traits, data quality traits, data quantity traits, and internal information traits. Data traits-driven modeling framework based on multiple classifiers is proposed for solving credit risk assessment. Thirdly, considering the differences in data modeling methods, learning methods are classified into data status, label status, and structure form. Furthermore, model interpretability, model bias, model multi-pattern, and model fairness are discussed. Finally, the limitations and future research directions are presented. This review article serves as a helpful guide for researchers and practitioners in the field of credit risk modeling and analysis.","container-title":"Expert Systems with Applications","DOI":"10.1016/j.eswa.2023.121484","ISSN":"0957-4174","journalAbbreviation":"Expert Systems with Applications","page":"121484","source":"ScienceDirect","title":"Consumer credit risk assessment: A review from the state-of-the-art classification algorithms, data traits, and learning methods","title-short":"Consumer credit risk assessment","volume":"237","author":[{"family":"Zhang","given":"Xiaoming"},{"family":"Yu","given":"Lean"}],"issued":{"date-parts":[["2024",3,1]]}}}],"schema":"https://github.com/citation-style-language/schema/raw/master/csl-citation.json"} </w:instrText>
      </w:r>
      <w:r w:rsidR="0004411E">
        <w:fldChar w:fldCharType="separate"/>
      </w:r>
      <w:r w:rsidR="00792360" w:rsidRPr="00792360">
        <w:rPr>
          <w:rFonts w:cs="Tahoma"/>
        </w:rPr>
        <w:t>[12]</w:t>
      </w:r>
      <w:r w:rsidR="0004411E">
        <w:fldChar w:fldCharType="end"/>
      </w:r>
      <w:r w:rsidR="001F6F32">
        <w:t>.</w:t>
      </w:r>
    </w:p>
    <w:p w14:paraId="7B0AC0ED" w14:textId="77777777" w:rsidR="00C012D3" w:rsidRDefault="00C012D3" w:rsidP="00C012D3">
      <w:pPr>
        <w:pStyle w:val="CVH3Font"/>
      </w:pPr>
      <w:r>
        <w:t>Classification Model Transparency</w:t>
      </w:r>
    </w:p>
    <w:p w14:paraId="266FD0DB" w14:textId="775D501E" w:rsidR="005E71A4" w:rsidRDefault="00C012D3" w:rsidP="00C012D3">
      <w:pPr>
        <w:pStyle w:val="CVParaFont"/>
      </w:pPr>
      <w:r>
        <w:t>Typically, classification models like</w:t>
      </w:r>
      <w:r w:rsidR="008B5734">
        <w:t xml:space="preserve"> </w:t>
      </w:r>
      <w:r>
        <w:t>na</w:t>
      </w:r>
      <w:r w:rsidR="00196355">
        <w:t>ïve Bayes</w:t>
      </w:r>
      <w:r w:rsidR="008B5734">
        <w:t>, artificial neural networks</w:t>
      </w:r>
      <w:r w:rsidR="00194F9C">
        <w:t xml:space="preserve"> and support vector machine</w:t>
      </w:r>
      <w:r w:rsidR="00196355">
        <w:t xml:space="preserve"> models </w:t>
      </w:r>
      <w:r w:rsidR="000229AE">
        <w:t>are discriminative</w:t>
      </w:r>
      <w:r w:rsidR="00B33989">
        <w:t xml:space="preserve"> – they don’t provide any information about </w:t>
      </w:r>
      <w:r w:rsidR="00B33989">
        <w:rPr>
          <w:i/>
          <w:iCs/>
        </w:rPr>
        <w:t>how</w:t>
      </w:r>
      <w:r w:rsidR="00B33989">
        <w:t xml:space="preserve"> they make classification </w:t>
      </w:r>
      <w:r w:rsidR="00D20A2E">
        <w:t>predictions; they only provide predictions.</w:t>
      </w:r>
      <w:r w:rsidR="00FD71E0">
        <w:t xml:space="preserve"> Some of the most </w:t>
      </w:r>
      <w:r w:rsidR="002A69AF">
        <w:t>powerful</w:t>
      </w:r>
      <w:r w:rsidR="00FD71E0">
        <w:t xml:space="preserve"> machine learning models used in credit risk assessment are discriminative models</w:t>
      </w:r>
      <w:r w:rsidR="00F3344E">
        <w:softHyphen/>
      </w:r>
      <w:r w:rsidR="00F3344E">
        <w:softHyphen/>
      </w:r>
      <w:r w:rsidR="00D36668">
        <w:t xml:space="preserve"> –</w:t>
      </w:r>
      <w:r w:rsidR="004B73D9">
        <w:t xml:space="preserve"> a proportion that is likely to increase with the advent of </w:t>
      </w:r>
      <w:r w:rsidR="00D36668">
        <w:t>artificial intelligence</w:t>
      </w:r>
      <w:r w:rsidR="0036379B">
        <w:t xml:space="preserve"> </w:t>
      </w:r>
      <w:r w:rsidR="0036379B">
        <w:fldChar w:fldCharType="begin"/>
      </w:r>
      <w:r w:rsidR="00792360">
        <w:instrText xml:space="preserve"> ADDIN ZOTERO_ITEM CSL_CITATION {"citationID":"EGj9EyVf","properties":{"formattedCitation":"[13]","plainCitation":"[13]","noteIndex":0},"citationItems":[{"id":996,"uris":["http://zotero.org/users/7469534/items/7QXLTC9B"],"itemData":{"id":996,"type":"article-journal","abstract":"Developing accurate analytical credit scoring models has become a major focus for financial institutions. For this purpose, numerous classification algorithms have been proposed for credit scoring. However, the application of deep learning algorithms for classification has been largely ignored in the credit scoring literature. The main motivation for this research is to consider the appropriateness of deep learning algorithms for credit scoring. To this end two deep learning architectures are constructed, namely a multilayer perceptron network and a deep belief network, and their performance compared to that of two conventional methods and two ensemble methods for credit scoring. The models are then evaluated using a range of credit scoring data sets and performance measures. Furthermore, Bayesian statistical testing procedures are introduced in the context of credit scoring and compared to frequentist non-parametric testing procedures which have traditionally been considered best practice in credit scoring. This comparison will highlight the benefits of Bayesian statistical procedures and secure empirical findings. Two main conclusions emerge from comparing the different classification algorithms for credit scoring. Firstly, the ensemble method, XGBoost, is the best performing method for credit scoring of all the methods considered here. Secondly, deep neural networks do not outperform their shallower counterparts and are considerably more computationally expensive to construct. Therefore, deep learning algorithms do not seem to be appropriate models for credit scoring based on this comparison and XGBoost should be preferred over the other credit scoring methods considered here when classification performance is the main objective of credit scoring activities.","container-title":"European Journal of Operational Research","DOI":"10.1016/j.ejor.2021.03.006","ISSN":"0377-2217","issue":"1","journalAbbreviation":"European Journal of Operational Research","page":"292-305","source":"ScienceDirect","title":"Deep learning for credit scoring: Do or don’t?","title-short":"Deep learning for credit scoring","volume":"295","author":[{"family":"Gunnarsson","given":"Björn Rafn"},{"family":"Broucke","given":"Seppe","non-dropping-particle":"vanden"},{"family":"Baesens","given":"Bart"},{"family":"Óskarsdóttir","given":"María"},{"family":"Lemahieu","given":"Wilfried"}],"issued":{"date-parts":[["2021",11,16]]}}}],"schema":"https://github.com/citation-style-language/schema/raw/master/csl-citation.json"} </w:instrText>
      </w:r>
      <w:r w:rsidR="0036379B">
        <w:fldChar w:fldCharType="separate"/>
      </w:r>
      <w:r w:rsidR="00792360" w:rsidRPr="00792360">
        <w:rPr>
          <w:rFonts w:cs="Tahoma"/>
        </w:rPr>
        <w:t>[13]</w:t>
      </w:r>
      <w:r w:rsidR="0036379B">
        <w:fldChar w:fldCharType="end"/>
      </w:r>
      <w:r w:rsidR="0036379B">
        <w:t xml:space="preserve">. </w:t>
      </w:r>
      <w:r w:rsidR="007009DF">
        <w:t>The Basel II Accord</w:t>
      </w:r>
      <w:r w:rsidR="00402573">
        <w:t xml:space="preserve"> </w:t>
      </w:r>
      <w:r w:rsidR="00721A85">
        <w:fldChar w:fldCharType="begin"/>
      </w:r>
      <w:r w:rsidR="00792360">
        <w:instrText xml:space="preserve"> ADDIN ZOTERO_ITEM CSL_CITATION {"citationID":"VCmSMRq4","properties":{"formattedCitation":"[14]","plainCitation":"[14]","noteIndex":0},"citationItems":[{"id":1003,"uris":["http://zotero.org/users/7469534/items/ZEZYC37M"],"itemData":{"id":1003,"type":"article-journal","abstract":"Abstract of \"Basel II: International Convergence of Capital Measurement and Capital Standards: a Revised Framework\", June 2004","language":"en","source":"www.bis.org","title":"Basel II: International Convergence of Capital Measurement and Capital Standards: a Revised Framework","title-short":"Basel II","URL":"https://www.bis.org/publ/bcbs107.htm","accessed":{"date-parts":[["2024",10,27]]},"issued":{"date-parts":[["2004",6,10]]}}}],"schema":"https://github.com/citation-style-language/schema/raw/master/csl-citation.json"} </w:instrText>
      </w:r>
      <w:r w:rsidR="00721A85">
        <w:fldChar w:fldCharType="separate"/>
      </w:r>
      <w:r w:rsidR="00792360" w:rsidRPr="00792360">
        <w:rPr>
          <w:rFonts w:cs="Tahoma"/>
        </w:rPr>
        <w:t>[14]</w:t>
      </w:r>
      <w:r w:rsidR="00721A85">
        <w:fldChar w:fldCharType="end"/>
      </w:r>
      <w:r w:rsidR="00F226FE">
        <w:t xml:space="preserve"> is a framework that increases regulations on credit scoring agencies that requires them to be transparent with how </w:t>
      </w:r>
      <w:r w:rsidR="000601E7">
        <w:t xml:space="preserve">credit scores are determined. This transparency is difficult to obtain when using deterministic classification models </w:t>
      </w:r>
      <w:r w:rsidR="00F77DC4">
        <w:t xml:space="preserve">to formulate </w:t>
      </w:r>
      <w:r w:rsidR="005B2143">
        <w:t>a credit risk report, and the alternative is to use poor-performing generative models like linear regression</w:t>
      </w:r>
      <w:r w:rsidR="00B939D2">
        <w:t xml:space="preserve"> and </w:t>
      </w:r>
      <w:r w:rsidR="00C605A8">
        <w:t>decision trees</w:t>
      </w:r>
      <w:r w:rsidR="005B2143">
        <w:t xml:space="preserve"> </w:t>
      </w:r>
      <w:r w:rsidR="005B2143">
        <w:fldChar w:fldCharType="begin"/>
      </w:r>
      <w:r w:rsidR="00792360">
        <w:instrText xml:space="preserve"> ADDIN ZOTERO_ITEM CSL_CITATION {"citationID":"5HruM82J","properties":{"formattedCitation":"[13]","plainCitation":"[13]","noteIndex":0},"citationItems":[{"id":996,"uris":["http://zotero.org/users/7469534/items/7QXLTC9B"],"itemData":{"id":996,"type":"article-journal","abstract":"Developing accurate analytical credit scoring models has become a major focus for financial institutions. For this purpose, numerous classification algorithms have been proposed for credit scoring. However, the application of deep learning algorithms for classification has been largely ignored in the credit scoring literature. The main motivation for this research is to consider the appropriateness of deep learning algorithms for credit scoring. To this end two deep learning architectures are constructed, namely a multilayer perceptron network and a deep belief network, and their performance compared to that of two conventional methods and two ensemble methods for credit scoring. The models are then evaluated using a range of credit scoring data sets and performance measures. Furthermore, Bayesian statistical testing procedures are introduced in the context of credit scoring and compared to frequentist non-parametric testing procedures which have traditionally been considered best practice in credit scoring. This comparison will highlight the benefits of Bayesian statistical procedures and secure empirical findings. Two main conclusions emerge from comparing the different classification algorithms for credit scoring. Firstly, the ensemble method, XGBoost, is the best performing method for credit scoring of all the methods considered here. Secondly, deep neural networks do not outperform their shallower counterparts and are considerably more computationally expensive to construct. Therefore, deep learning algorithms do not seem to be appropriate models for credit scoring based on this comparison and XGBoost should be preferred over the other credit scoring methods considered here when classification performance is the main objective of credit scoring activities.","container-title":"European Journal of Operational Research","DOI":"10.1016/j.ejor.2021.03.006","ISSN":"0377-2217","issue":"1","journalAbbreviation":"European Journal of Operational Research","page":"292-305","source":"ScienceDirect","title":"Deep learning for credit scoring: Do or don’t?","title-short":"Deep learning for credit scoring","volume":"295","author":[{"family":"Gunnarsson","given":"Björn Rafn"},{"family":"Broucke","given":"Seppe","non-dropping-particle":"vanden"},{"family":"Baesens","given":"Bart"},{"family":"Óskarsdóttir","given":"María"},{"family":"Lemahieu","given":"Wilfried"}],"issued":{"date-parts":[["2021",11,16]]}}}],"schema":"https://github.com/citation-style-language/schema/raw/master/csl-citation.json"} </w:instrText>
      </w:r>
      <w:r w:rsidR="005B2143">
        <w:fldChar w:fldCharType="separate"/>
      </w:r>
      <w:r w:rsidR="00792360" w:rsidRPr="00792360">
        <w:rPr>
          <w:rFonts w:cs="Tahoma"/>
        </w:rPr>
        <w:t>[13]</w:t>
      </w:r>
      <w:r w:rsidR="005B2143">
        <w:fldChar w:fldCharType="end"/>
      </w:r>
      <w:r w:rsidR="00C605A8">
        <w:t>.</w:t>
      </w:r>
    </w:p>
    <w:p w14:paraId="5A1650CB" w14:textId="70BF06E5" w:rsidR="00866EF7" w:rsidRDefault="0094690F" w:rsidP="00C012D3">
      <w:pPr>
        <w:pStyle w:val="CVParaFont"/>
      </w:pPr>
      <w:r>
        <w:t xml:space="preserve">Under European GDPR regulations, any customer is also entitled </w:t>
      </w:r>
      <w:r w:rsidR="00707C35">
        <w:t>‘</w:t>
      </w:r>
      <w:r w:rsidR="00707C35" w:rsidRPr="00707C35">
        <w:t>not to be subject to a decision based solely on automated processing</w:t>
      </w:r>
      <w:r w:rsidR="00707C35">
        <w:t xml:space="preserve">’ </w:t>
      </w:r>
      <w:r w:rsidR="0069067B">
        <w:fldChar w:fldCharType="begin"/>
      </w:r>
      <w:r w:rsidR="00792360">
        <w:instrText xml:space="preserve"> ADDIN ZOTERO_ITEM CSL_CITATION {"citationID":"MelIsjDV","properties":{"formattedCitation":"[15]","plainCitation":"[15]","noteIndex":0},"citationItems":[{"id":898,"uris":["http://zotero.org/users/7469534/items/M6HD8G95"],"itemData":{"id":898,"type":"webpage","abstract":"The official PDF of the Regulation (EU) 2016/679 – known as GDPR – its recitals &amp; key issues as a neatly arranged website.","container-title":"General Data Protection Regulation (GDPR)","language":"en-US","title":"General Data Protection Regulation (GDPR) – Legal Text","URL":"https://gdpr-info.eu/","accessed":{"date-parts":[["2024",6,24]]}}}],"schema":"https://github.com/citation-style-language/schema/raw/master/csl-citation.json"} </w:instrText>
      </w:r>
      <w:r w:rsidR="0069067B">
        <w:fldChar w:fldCharType="separate"/>
      </w:r>
      <w:r w:rsidR="00792360" w:rsidRPr="00792360">
        <w:rPr>
          <w:rFonts w:cs="Tahoma"/>
        </w:rPr>
        <w:t>[15]</w:t>
      </w:r>
      <w:r w:rsidR="0069067B">
        <w:fldChar w:fldCharType="end"/>
      </w:r>
      <w:r w:rsidR="005D352C">
        <w:t>, implying that any credit scoring must be transparent on the instance level, as well as the dataset level</w:t>
      </w:r>
      <w:r w:rsidR="00866EF7">
        <w:t>. As such, questions that must be addressed include ‘</w:t>
      </w:r>
      <w:r w:rsidR="00A22DA4">
        <w:t>Is the model well fitted around this prediction?’, ‘Which variables contribute to the selected prediction?’,</w:t>
      </w:r>
      <w:r w:rsidR="00786AD6">
        <w:t xml:space="preserve"> and </w:t>
      </w:r>
      <w:r w:rsidR="00A22DA4">
        <w:t>‘</w:t>
      </w:r>
      <w:r w:rsidR="00786AD6">
        <w:t>What is the model prediction for this instance?’</w:t>
      </w:r>
      <w:r w:rsidR="00B476F7">
        <w:t xml:space="preserve"> </w:t>
      </w:r>
      <w:r w:rsidR="00786AD6">
        <w:fldChar w:fldCharType="begin"/>
      </w:r>
      <w:r w:rsidR="00792360">
        <w:instrText xml:space="preserve"> ADDIN ZOTERO_ITEM CSL_CITATION {"citationID":"QyaNek0y","properties":{"formattedCitation":"[16]","plainCitation":"[16]","noteIndex":0},"citationItems":[{"id":1005,"uris":["http://zotero.org/users/7469534/items/8NXBRYEZ"],"itemData":{"id":1005,"type":"article-journal","abstract":"A major requirement for credit scoring models is to provide a maximally accurate risk prediction. Additionally, regulators demand these models to be transparent and auditable. Thus, in credit scoring, very simple predictive models such as logistic regression or decision trees are still widely used and the superior predictive power of modern machine learning algorithms cannot be fully leveraged. Significant potential is therefore missed, leading to higher reserves or more credit defaults. This article works out different dimensions that have to be considered for making credit scoring models understandable and presents a framework for making “black box” machine learning models transparent, auditable, and explainable. Following this framework, we present an overview of techniques, demonstrate how they can be applied in credit scoring and how results compare to the interpretability of scorecards. A real world case study shows that a comparable degree of interpretability can be achieved while machine learning techniques keep their ability to improve predictive power.","container-title":"Journal of the Operational Research Society","DOI":"10.1080/01605682.2021.1922098","ISSN":"0160-5682","issue":"1","note":"publisher: Taylor &amp; Francis\n_eprint: https://doi.org/10.1080/01605682.2021.1922098","page":"70-90","source":"Taylor and Francis+NEJM","title":"Transparency, auditability, and explainability of machine learning models in credit scoring","volume":"73","author":[{"family":"Bücker","given":"Michael"},{"family":"Szepannek","given":"Gero"},{"family":"Gosiewska","given":"Alicja"},{"family":"Biecek","given":"Przemyslaw"}],"issued":{"date-parts":[["2022",1,2]]}}}],"schema":"https://github.com/citation-style-language/schema/raw/master/csl-citation.json"} </w:instrText>
      </w:r>
      <w:r w:rsidR="00786AD6">
        <w:fldChar w:fldCharType="separate"/>
      </w:r>
      <w:r w:rsidR="00792360" w:rsidRPr="00792360">
        <w:rPr>
          <w:rFonts w:cs="Tahoma"/>
        </w:rPr>
        <w:t>[16]</w:t>
      </w:r>
      <w:r w:rsidR="00786AD6">
        <w:fldChar w:fldCharType="end"/>
      </w:r>
      <w:r w:rsidR="00B476F7">
        <w:t>.</w:t>
      </w:r>
      <w:r w:rsidR="002B73DD">
        <w:t xml:space="preserve"> </w:t>
      </w:r>
    </w:p>
    <w:p w14:paraId="08391BA2" w14:textId="3E45450E" w:rsidR="00E23848" w:rsidRDefault="00E23848" w:rsidP="00C012D3">
      <w:pPr>
        <w:pStyle w:val="CVParaFont"/>
      </w:pPr>
      <w:r>
        <w:t xml:space="preserve">Various methods have been developed to adhere to these rules and regulations. </w:t>
      </w:r>
      <w:r w:rsidR="005326C3">
        <w:t xml:space="preserve">One good contribution to the literature is the </w:t>
      </w:r>
      <w:r w:rsidR="006838A8" w:rsidRPr="006838A8">
        <w:t>Transparency, Auditability, and eXplainability for Credit Scoring</w:t>
      </w:r>
      <w:r w:rsidR="006838A8">
        <w:t xml:space="preserve"> (TAX4CS) framework</w:t>
      </w:r>
      <w:r w:rsidR="00145F57">
        <w:t xml:space="preserve"> (Fig. 3) </w:t>
      </w:r>
      <w:r w:rsidR="00145F57">
        <w:fldChar w:fldCharType="begin"/>
      </w:r>
      <w:r w:rsidR="00792360">
        <w:instrText xml:space="preserve"> ADDIN ZOTERO_ITEM CSL_CITATION {"citationID":"pXqESWF1","properties":{"formattedCitation":"[16]","plainCitation":"[16]","noteIndex":0},"citationItems":[{"id":1005,"uris":["http://zotero.org/users/7469534/items/8NXBRYEZ"],"itemData":{"id":1005,"type":"article-journal","abstract":"A major requirement for credit scoring models is to provide a maximally accurate risk prediction. Additionally, regulators demand these models to be transparent and auditable. Thus, in credit scoring, very simple predictive models such as logistic regression or decision trees are still widely used and the superior predictive power of modern machine learning algorithms cannot be fully leveraged. Significant potential is therefore missed, leading to higher reserves or more credit defaults. This article works out different dimensions that have to be considered for making credit scoring models understandable and presents a framework for making “black box” machine learning models transparent, auditable, and explainable. Following this framework, we present an overview of techniques, demonstrate how they can be applied in credit scoring and how results compare to the interpretability of scorecards. A real world case study shows that a comparable degree of interpretability can be achieved while machine learning techniques keep their ability to improve predictive power.","container-title":"Journal of the Operational Research Society","DOI":"10.1080/01605682.2021.1922098","ISSN":"0160-5682","issue":"1","note":"publisher: Taylor &amp; Francis\n_eprint: https://doi.org/10.1080/01605682.2021.1922098","page":"70-90","source":"Taylor and Francis+NEJM","title":"Transparency, auditability, and explainability of machine learning models in credit scoring","volume":"73","author":[{"family":"Bücker","given":"Michael"},{"family":"Szepannek","given":"Gero"},{"family":"Gosiewska","given":"Alicja"},{"family":"Biecek","given":"Przemyslaw"}],"issued":{"date-parts":[["2022",1,2]]}}}],"schema":"https://github.com/citation-style-language/schema/raw/master/csl-citation.json"} </w:instrText>
      </w:r>
      <w:r w:rsidR="00145F57">
        <w:fldChar w:fldCharType="separate"/>
      </w:r>
      <w:r w:rsidR="00792360" w:rsidRPr="00792360">
        <w:rPr>
          <w:rFonts w:cs="Tahoma"/>
        </w:rPr>
        <w:t>[16]</w:t>
      </w:r>
      <w:r w:rsidR="00145F57">
        <w:fldChar w:fldCharType="end"/>
      </w:r>
      <w:r w:rsidR="002A1304">
        <w:t xml:space="preserve">. This model is used to ensure that all stakeholders are </w:t>
      </w:r>
      <w:r w:rsidR="00F711D8">
        <w:t>considered when using discriminative classification models</w:t>
      </w:r>
      <w:r w:rsidR="00C04947">
        <w:t xml:space="preserve">, and that appropriate techniques are used to </w:t>
      </w:r>
      <w:r w:rsidR="00E80C5C">
        <w:t xml:space="preserve">convey how a particular prediction was made, as well as evaluate </w:t>
      </w:r>
      <w:r w:rsidR="00305BB1">
        <w:t xml:space="preserve">the </w:t>
      </w:r>
      <w:r w:rsidR="003629A8">
        <w:t xml:space="preserve">entire </w:t>
      </w:r>
      <w:r w:rsidR="00913169">
        <w:t>model</w:t>
      </w:r>
      <w:r w:rsidR="00305BB1">
        <w:t xml:space="preserve">. </w:t>
      </w:r>
      <w:r w:rsidR="003629A8">
        <w:t xml:space="preserve">Section 4 of Bücker et. </w:t>
      </w:r>
      <w:r w:rsidR="007B240F">
        <w:t>a</w:t>
      </w:r>
      <w:r w:rsidR="003629A8">
        <w:t>l</w:t>
      </w:r>
      <w:r w:rsidR="007B240F">
        <w:t>’s work outlines specific metrics that can be used to determine how a</w:t>
      </w:r>
      <w:r w:rsidR="00EC050E">
        <w:t>n instance’s prediction was made. Primarily, these are SHAP</w:t>
      </w:r>
      <w:r w:rsidR="00F24BD1">
        <w:t xml:space="preserve"> </w:t>
      </w:r>
      <w:r w:rsidR="0055177B">
        <w:t xml:space="preserve">and iBreakDown </w:t>
      </w:r>
      <w:r w:rsidR="00F24BD1">
        <w:fldChar w:fldCharType="begin"/>
      </w:r>
      <w:r w:rsidR="00792360">
        <w:instrText xml:space="preserve"> ADDIN ZOTERO_ITEM CSL_CITATION {"citationID":"HedwE3As","properties":{"formattedCitation":"[17], [18]","plainCitation":"[17], [18]","noteIndex":0},"citationItems":[{"id":1011,"uris":["http://zotero.org/users/7469534/items/5IYXHT3M"],"itemData":{"id":1011,"type":"article","abstract":"Understanding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approaches.","DOI":"10.48550/arXiv.1705.07874","note":"arXiv:1705.07874","number":"arXiv:1705.07874","publisher":"arXiv","source":"arXiv.org","title":"A Unified Approach to Interpreting Model Predictions","URL":"http://arxiv.org/abs/1705.07874","author":[{"family":"Lundberg","given":"Scott"},{"family":"Lee","given":"Su-In"}],"accessed":{"date-parts":[["2024",10,27]]},"issued":{"date-parts":[["2017",11,25]]}}},{"id":1008,"uris":["http://zotero.org/users/7469534/items/LF3SD667"],"itemData":{"id":1008,"type":"article","abstract":"Explainable Artificial Intelligence (XAI)has received a great deal of attention recently. Explainability is being presented as a remedy for the distrust of complex and opaque models. Model agnostic methods such as LIME, SHAP, or Break Down promise instance-level interpretability for any complex machine learning model. But how faithful are these additive explanations? Can we rely on additive explanations for non-additive models? In this paper, we (1) examine the behavior of the most popular instance-level explanations under the presence of interactions, (2) introduce a new method that detects interactions for instance-level explanations, (3) perform a large scale benchmark to see how frequently additive explanations may be misleading.","DOI":"10.48550/arXiv.1903.11420","note":"arXiv:1903.11420","number":"arXiv:1903.11420","publisher":"arXiv","source":"arXiv.org","title":"Do Not Trust Additive Explanations","URL":"http://arxiv.org/abs/1903.11420","author":[{"family":"Gosiewska","given":"Alicja"},{"family":"Biecek","given":"Przemyslaw"}],"accessed":{"date-parts":[["2024",10,27]]},"issued":{"date-parts":[["2020",5,8]]}}}],"schema":"https://github.com/citation-style-language/schema/raw/master/csl-citation.json"} </w:instrText>
      </w:r>
      <w:r w:rsidR="00F24BD1">
        <w:fldChar w:fldCharType="separate"/>
      </w:r>
      <w:r w:rsidR="00792360" w:rsidRPr="00792360">
        <w:rPr>
          <w:rFonts w:cs="Tahoma"/>
        </w:rPr>
        <w:t>[17], [18]</w:t>
      </w:r>
      <w:r w:rsidR="00F24BD1">
        <w:fldChar w:fldCharType="end"/>
      </w:r>
      <w:r w:rsidR="0055177B">
        <w:t>, which are</w:t>
      </w:r>
      <w:r w:rsidR="00B1614D">
        <w:t xml:space="preserve"> recent</w:t>
      </w:r>
      <w:r w:rsidR="0055177B">
        <w:t xml:space="preserve"> </w:t>
      </w:r>
      <w:r w:rsidR="005E07B1">
        <w:t>additive and non-additive local model prediction</w:t>
      </w:r>
      <w:r w:rsidR="003C2471">
        <w:t xml:space="preserve"> interpretation frameworks, respectively. </w:t>
      </w:r>
      <w:r w:rsidR="005905A3">
        <w:t xml:space="preserve">iBreakDown </w:t>
      </w:r>
      <w:r w:rsidR="00DF4383">
        <w:t>is a powerful tool for identifying how</w:t>
      </w:r>
      <w:r w:rsidR="00036FB0">
        <w:t xml:space="preserve"> the value of</w:t>
      </w:r>
      <w:r w:rsidR="00DF4383">
        <w:t xml:space="preserve"> each attribute used in training a model influences </w:t>
      </w:r>
      <w:r w:rsidR="00D569EF">
        <w:t xml:space="preserve">the decision-making process </w:t>
      </w:r>
      <w:r w:rsidR="00FC7F29">
        <w:t>of that model on an instance level (Fig</w:t>
      </w:r>
      <w:r w:rsidR="00E16666">
        <w:t>.</w:t>
      </w:r>
      <w:r w:rsidR="00FC7F29">
        <w:t xml:space="preserve"> 4)</w:t>
      </w:r>
      <w:r w:rsidR="00036FB0">
        <w:t>.</w:t>
      </w:r>
    </w:p>
    <w:p w14:paraId="27BDA749" w14:textId="49F13676" w:rsidR="005C7574" w:rsidRDefault="005C7574" w:rsidP="00C012D3">
      <w:pPr>
        <w:pStyle w:val="CVParaFont"/>
      </w:pPr>
      <w:r>
        <w:t>SHAP (</w:t>
      </w:r>
      <w:r w:rsidR="000C1AC7">
        <w:t>Shapley Additive exPlanations)</w:t>
      </w:r>
      <w:r w:rsidR="0012420F">
        <w:t xml:space="preserve"> is a model-agnostic method that </w:t>
      </w:r>
      <w:r w:rsidR="00EE7BC0">
        <w:t>derives from game theoretical Shapley values</w:t>
      </w:r>
      <w:r w:rsidR="00D55800">
        <w:t xml:space="preserve">. These </w:t>
      </w:r>
      <w:r w:rsidR="0068478F">
        <w:t xml:space="preserve">values are </w:t>
      </w:r>
      <w:r w:rsidR="00E20B17">
        <w:t>additive,</w:t>
      </w:r>
      <w:r w:rsidR="0068478F">
        <w:t xml:space="preserve"> and they tell us how the value of an attribute </w:t>
      </w:r>
      <w:r w:rsidR="00E20B17">
        <w:t xml:space="preserve">affects the model outcome prediction. The additivity of the SHAP method </w:t>
      </w:r>
      <w:r w:rsidR="00D01612">
        <w:t xml:space="preserve">is advantageous as it can be used to </w:t>
      </w:r>
      <w:r w:rsidR="00E44C44">
        <w:t xml:space="preserve">illustrate visually how each attribute contributes to the final prediction value. However, </w:t>
      </w:r>
      <w:r w:rsidR="00706F05">
        <w:t>this additivity is an issue when there are interactions between features</w:t>
      </w:r>
      <w:r w:rsidR="00DC3F78">
        <w:t xml:space="preserve"> because these interactions imply an order to which features should be ‘read’</w:t>
      </w:r>
      <w:r w:rsidR="00D50772">
        <w:t>. These interactions are not captured by additive model-agnostic methods like SHAP and LIME</w:t>
      </w:r>
      <w:r w:rsidR="00825A8E">
        <w:t xml:space="preserve">. iBreakDown is a non-additive model-agnostic that </w:t>
      </w:r>
      <w:r w:rsidR="00F45F50">
        <w:t>incorporates interactions in the explanations.</w:t>
      </w:r>
    </w:p>
    <w:p w14:paraId="734E1AF7" w14:textId="244C64F1" w:rsidR="00BE23AA" w:rsidRDefault="000B276D" w:rsidP="00C012D3">
      <w:pPr>
        <w:pStyle w:val="CVParaFont"/>
      </w:pPr>
      <w:r>
        <w:t xml:space="preserve">iBreakDown </w:t>
      </w:r>
      <w:r w:rsidR="002B2B6A">
        <w:t xml:space="preserve">has seen usage in several recent </w:t>
      </w:r>
      <w:r w:rsidR="009B5EA5">
        <w:t xml:space="preserve">papers </w:t>
      </w:r>
      <w:r w:rsidR="009B5EA5">
        <w:fldChar w:fldCharType="begin"/>
      </w:r>
      <w:r w:rsidR="00792360">
        <w:instrText xml:space="preserve"> ADDIN ZOTERO_ITEM CSL_CITATION {"citationID":"giQQWle6","properties":{"formattedCitation":"[19], [20], [21]","plainCitation":"[19], [20], [21]","noteIndex":0},"citationItems":[{"id":1014,"uris":["http://zotero.org/users/7469534/items/DD97IW72"],"itemData":{"id":1014,"type":"article-journal","abstract":"We developed an interpretable machine learning algorithm that prospectively predicts the risk of thrombocytopenia in older critically ill patients during their stay in the intensive care unit (ICU), ultimately aiding clinical decision-making and improving patient care. Data from 2286 geriatric patients who underwent surgery and were admitted to the ICU of Dongyang People’s Hospital between 2012 and 2021 were retrospectively analyzed. Integrated algorithms were developed, and four machine-learning algorithms were used. Selected characteristics included common demographic data, biochemical indicators, and vital signs. Eight key variables were selected using the Least Absolute Shrinkage and Selection Operator and Random Forest Algorithm. Thrombocytopenia occurred in 18.2% of postoperative geriatric patients, with a higher mortality rate. The C5.0 model showed the best performance, with an area under the receiver operating characteristic curve close to 0.85, along with unparalleled accuracy, precision, specificity, recall, and balanced accuracy scores of 0.88, 0.98, 0.89, 0.98, and 0.85, respectively. The support vector machine model excelled at predictively assessing thrombocytopenia severity, demonstrating an accuracy rate of 0.80 in the MIMIC database. Thus, our machine learning-based models have considerable potential in effectively predicting the risk and severity of postoperative thrombocytopenia in geriatric ICU patients for better clinical decision-making and patient care.","container-title":"Scientific Reports","DOI":"10.1038/s41598-024-67785-1","ISSN":"2045-2322","issue":"1","journalAbbreviation":"Sci Rep","language":"en","license":"2024 The Author(s)","note":"publisher: Nature Publishing Group","page":"16738","source":"www.nature.com","title":"Retrospective analysis of interpretable machine learning in predicting ICU thrombocytopenia in geriatric ICU patients","volume":"14","author":[{"family":"Xu","given":"Yingting"},{"family":"Zhang","given":"Weimin"},{"family":"Ma","given":"Xuchao"},{"family":"Wu","given":"Muying"},{"family":"Jiang","given":"Xuandong"}],"issued":{"date-parts":[["2024",7,20]]}}},{"id":1016,"uris":["http://zotero.org/users/7469534/items/47VF47XX"],"itemData":{"id":1016,"type":"article-journal","abstract":"&lt;p&gt;&lt;bold&gt;Objectives:&lt;/bold&gt; An accurate prediction model for hyperuricemia (HUA) in adults remain unavailable. This study aimed to develop a stacking ensemble prediction model for HUA to identify high-risk groups and explore risk factors.&lt;/p&gt;&lt;p&gt;&lt;bold&gt;Methods:&lt;/bold&gt; A prospective health checkup cohort of 40899 subjects was examined and randomly divided into the training and validation sets with the ratio of 7:3. LASSO regression was employed to screen out important features and then the ROSE sampling was used to handle the imbalanced classes. An ensemble model using stacking strategy was constructed based on three individual models, including support vector machine, decision tree C5.0, and eXtreme gradient boosting. Model validations were conducted using the area under the receiver operating characteristic curve (AUC) and the calibration curve, as well as metrics including accuracy, sensitivity, specificity, positive predictive value, negative predictive value, and F1 score. A model agnostic instance level variable attributions technique (iBreakdown) was used to illustrate the black-box nature of our ensemble model, and to identify contributing risk factors.&lt;/p&gt;&lt;p&gt;&lt;bold&gt;Results:&lt;/bold&gt; Fifteen important features were screened out of 23 clinical variables. Our stacking ensemble model with an AUC of 0.854, outperformed the other three models, support vector machine, decision tree C5.0, and eXtreme gradient boosting with AUCs of 0.848, 0.851 and 0.849 respectively. Calibration accuracy as well as other metrics including accuracy, specificity, negative predictive value, and F1 score were also proved our ensemble model’s superiority. The contributing risk factors were estimated using six randomly selected subjects, which showed that being female and relatively younger, together with having higher baseline uric acid, body mass index, γ-glutamyl transpeptidase, total protein, triglycerides, creatinine, and fasting blood glucose can increase the risk of HUA. To further validate our model’s applicability in the health checkup population, we used another cohort of 8559 subjects that also showed our ensemble prediction model had favorable performances with an AUC of 0.846.&lt;/p&gt;&lt;p&gt;&lt;bold&gt;Conclusion:&lt;/bold&gt; In this study, the stacking ensemble prediction model for HUA was developed, and it outperformed three individual models that compose it (support vector machine, decision tree C5.0, and eXtreme gradient boosting). The contributing risk factors were identified with insightful ideas.&lt;/p&gt;","container-title":"Frontiers in Physiology","DOI":"10.3389/fphys.2024.1357404","ISSN":"1664-042X","journalAbbreviation":"Front. Physiol.","language":"English","note":"publisher: Frontiers","source":"Frontiers","title":"Ensemble machine learning prediction of hyperuricemia based on a prospective health checkup population","URL":"https://www.frontiersin.org/journals/physiology/articles/10.3389/fphys.2024.1357404/full","volume":"15","author":[{"family":"Zhang","given":"Yongsheng"},{"family":"Zhang","given":"Li"},{"family":"Lv","given":"Haoyue"},{"family":"Zhang","given":"Guang"}],"accessed":{"date-parts":[["2024",10,27]]},"issued":{"date-parts":[["2024",4,11]]}}},{"id":1018,"uris":["http://zotero.org/users/7469534/items/9AJTUR7Y"],"itemData":{"id":1018,"type":"article-journal","abstract":"Corporate social responsibility (CSR) is found to impact firms' performance, for instance, enhancing reputation, increasing innovation capabilities, customer loyalty, and customer satisfaction help improve financial performance. However, the literature provides limited evidence of the relationship between CSR indicators, such as the ESG score, and the firm's profitability, which is often measured by the earnings before interest and taxes (EBIT). We investigate this issue by analyzing a sample of about 400 companies constituting the EuroStoxx-600 index, from 2011 to 2020, using different machine learning models. The novelty of our contribution lies in assessing whether the ESG score has a significant influence on the firms' profitability. Specifically, we investigate the relationship between ESG score and EBIT using machine learning interpretability toolboxes such as partial dependence plots and individual conditional expectation. Tools which help to measure the functional relationship between the predicted response and one or more features, while the Shapley value allows to examine the contribution of the feature to the prediction. Our findings show that the model can reach high levels of accuracy in detecting EBIT and that the ESG score is a promising predictor, compared to other traditional accounting variables.","container-title":"Applied Stochastic Models in Business and Industry","DOI":"10.1002/asmb.2758","ISSN":"1526-4025","issue":"2","language":"en","license":"© 2023 The Authors. Applied Stochastic Models in Business and Industry published by John Wiley &amp; Sons Ltd.","note":"_eprint: https://onlinelibrary.wiley.com/doi/pdf/10.1002/asmb.2758","page":"243-261","source":"Wiley Online Library","title":"Firms' profitability and ESG score: A machine learning approach","title-short":"Firms' profitability and ESG score","volume":"40","author":[{"family":"D'Amato","given":"Valeria"},{"family":"D'Ecclesia","given":"Rita"},{"family":"Levantesi","given":"Susanna"}],"issued":{"date-parts":[["2024"]]}}}],"schema":"https://github.com/citation-style-language/schema/raw/master/csl-citation.json"} </w:instrText>
      </w:r>
      <w:r w:rsidR="009B5EA5">
        <w:fldChar w:fldCharType="separate"/>
      </w:r>
      <w:r w:rsidR="00792360" w:rsidRPr="00792360">
        <w:rPr>
          <w:rFonts w:cs="Tahoma"/>
        </w:rPr>
        <w:t>[19], [20], [21]</w:t>
      </w:r>
      <w:r w:rsidR="009B5EA5">
        <w:fldChar w:fldCharType="end"/>
      </w:r>
      <w:r w:rsidR="00B73880">
        <w:t xml:space="preserve"> that show that this algorithm is effective at improving the interpretability of so-called black box</w:t>
      </w:r>
      <w:r w:rsidR="001762AE">
        <w:t xml:space="preserve"> machine learning models</w:t>
      </w:r>
      <w:r w:rsidR="00DD6B2E">
        <w:t xml:space="preserve"> in applications both within and outside of finance</w:t>
      </w:r>
      <w:r w:rsidR="00BC5CB6">
        <w:t xml:space="preserve">. </w:t>
      </w:r>
      <w:r w:rsidR="009732C1">
        <w:t>I believe that the TAX4CS framework in conjunction with model-agnostic tools like iBreakDown</w:t>
      </w:r>
      <w:r w:rsidR="000F4429">
        <w:t xml:space="preserve"> will prove to be effective</w:t>
      </w:r>
      <w:r w:rsidR="003C1056">
        <w:t>. The creators of iBreakDown, however, have their own framework similar to TAX4CS named DALEX</w:t>
      </w:r>
      <w:r w:rsidR="005E1FEB">
        <w:t xml:space="preserve"> </w:t>
      </w:r>
      <w:r w:rsidR="005E1FEB">
        <w:fldChar w:fldCharType="begin"/>
      </w:r>
      <w:r w:rsidR="00792360">
        <w:instrText xml:space="preserve"> ADDIN ZOTERO_ITEM CSL_CITATION {"citationID":"YQ8cFQe1","properties":{"formattedCitation":"[22]","plainCitation":"[22]","noteIndex":0},"citationItems":[{"id":1021,"uris":["http://zotero.org/users/7469534/items/E99IJGLZ"],"itemData":{"id":1021,"type":"article-journal","abstract":"In modern machine learning, we observe the phenomenon of opaqueness debt, which manifests itself by an increased risk of discrimination, lack of reproducibility, and deflated performance due to data drift. An increasing amount of available data and computing power results in the growing complexity of black-box predictive models. To manage these issues, good MLOps practice asks for better validation of model performance and fairness, higher explainability, and continuous monitoring. The necessity for deeper model transparency comes from both scientific and social domains and is also caused by emerging laws and regulations on artificial intelligence. To facilitate the responsible development of machine learning models, we introduce dalex, a Python package which implements a model-agnostic interface for interactive explainability and fairness. It adopts the design crafted through the development of various tools for explainable machine learning; thus, it aims at the unification of existing solutions. This library's source code and documentation are available under open license at https://python.drwhy.ai.","container-title":"Journal of Machine Learning Research","ISSN":"1533-7928","issue":"214","page":"1-7","source":"www.jmlr.org","title":"dalex: Responsible Machine Learning with Interactive Explainability and Fairness in Python","title-short":"dalex","volume":"22","author":[{"family":"Baniecki","given":"Hubert"},{"family":"Kretowicz","given":"Wojciech"},{"family":"Piątyszek","given":"Piotr"},{"family":"Wiśniewski","given":"Jakub"},{"family":"Biecek","given":"Przemysław"}],"issued":{"date-parts":[["2021"]]}}}],"schema":"https://github.com/citation-style-language/schema/raw/master/csl-citation.json"} </w:instrText>
      </w:r>
      <w:r w:rsidR="005E1FEB">
        <w:fldChar w:fldCharType="separate"/>
      </w:r>
      <w:r w:rsidR="00792360" w:rsidRPr="00792360">
        <w:rPr>
          <w:rFonts w:cs="Tahoma"/>
        </w:rPr>
        <w:t>[22]</w:t>
      </w:r>
      <w:r w:rsidR="005E1FEB">
        <w:fldChar w:fldCharType="end"/>
      </w:r>
      <w:r w:rsidR="00AB0F6C">
        <w:t xml:space="preserve">. This also acts as a </w:t>
      </w:r>
      <w:r w:rsidR="00C95C05">
        <w:t xml:space="preserve">Python </w:t>
      </w:r>
      <w:r w:rsidR="00AB0F6C">
        <w:t xml:space="preserve">software suite that unifies </w:t>
      </w:r>
      <w:r w:rsidR="00415C24">
        <w:t>popular machine learning suites (like sklearn and tensorflow) and integrates</w:t>
      </w:r>
      <w:r w:rsidR="00F86B7E">
        <w:t xml:space="preserve"> iBreakDown, as well as SHAP and other explainer methods</w:t>
      </w:r>
      <w:r w:rsidR="005E1FEB">
        <w:t xml:space="preserve"> for use alongside them</w:t>
      </w:r>
      <w:r w:rsidR="00C95C05">
        <w:t>. There is also an R port for this</w:t>
      </w:r>
      <w:r w:rsidR="00546825">
        <w:t xml:space="preserve"> that provides similar capabilities.</w:t>
      </w:r>
    </w:p>
    <w:p w14:paraId="7716ED3A" w14:textId="48C8B066" w:rsidR="00546825" w:rsidRDefault="00546825" w:rsidP="00C012D3">
      <w:pPr>
        <w:pStyle w:val="CVParaFont"/>
      </w:pPr>
      <w:r>
        <w:lastRenderedPageBreak/>
        <w:t>With respect to this frontier, I believe that use of a</w:t>
      </w:r>
      <w:r w:rsidR="00EF0794">
        <w:t xml:space="preserve"> framework promoting machine learning transparency like TAX4CS or DALEX</w:t>
      </w:r>
      <w:r w:rsidR="00046559">
        <w:t xml:space="preserve"> provides a working solution to the problem posed by regulations such as EU GDPR and Basel II</w:t>
      </w:r>
      <w:r w:rsidR="00AC6B30">
        <w:t>.</w:t>
      </w:r>
    </w:p>
    <w:p w14:paraId="154F375E" w14:textId="1B674369" w:rsidR="00BF0C66" w:rsidRDefault="00BF0C66" w:rsidP="00C012D3">
      <w:pPr>
        <w:pStyle w:val="CVParaFont"/>
      </w:pPr>
      <w:r>
        <w:br w:type="page"/>
      </w:r>
    </w:p>
    <w:p w14:paraId="70EA97CA" w14:textId="78A54302" w:rsidR="00AB56DB" w:rsidRDefault="009235D8" w:rsidP="00BF0C66">
      <w:pPr>
        <w:pStyle w:val="CVH1Font"/>
      </w:pPr>
      <w:r>
        <w:rPr>
          <w:noProof/>
        </w:rPr>
        <w:lastRenderedPageBreak/>
        <w:drawing>
          <wp:anchor distT="0" distB="0" distL="114300" distR="114300" simplePos="0" relativeHeight="251657728" behindDoc="0" locked="0" layoutInCell="1" allowOverlap="1" wp14:anchorId="0C9D29AB" wp14:editId="43BD589B">
            <wp:simplePos x="0" y="0"/>
            <wp:positionH relativeFrom="column">
              <wp:posOffset>1143000</wp:posOffset>
            </wp:positionH>
            <wp:positionV relativeFrom="paragraph">
              <wp:posOffset>510540</wp:posOffset>
            </wp:positionV>
            <wp:extent cx="3436620" cy="2931160"/>
            <wp:effectExtent l="0" t="0" r="0" b="0"/>
            <wp:wrapTopAndBottom/>
            <wp:docPr id="1816797396" name="Picture 1" descr="A graph of a graph of a credit c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97396" name="Picture 1" descr="A graph of a graph of a credit card&#10;&#10;Description automatically generated with medium confidence"/>
                    <pic:cNvPicPr/>
                  </pic:nvPicPr>
                  <pic:blipFill rotWithShape="1">
                    <a:blip r:embed="rId5">
                      <a:extLst>
                        <a:ext uri="{28A0092B-C50C-407E-A947-70E740481C1C}">
                          <a14:useLocalDpi xmlns:a14="http://schemas.microsoft.com/office/drawing/2010/main" val="0"/>
                        </a:ext>
                      </a:extLst>
                    </a:blip>
                    <a:srcRect l="6514" r="10259" b="5347"/>
                    <a:stretch/>
                  </pic:blipFill>
                  <pic:spPr bwMode="auto">
                    <a:xfrm>
                      <a:off x="0" y="0"/>
                      <a:ext cx="3436620" cy="2931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F0C66">
        <w:t>Appendices</w:t>
      </w:r>
    </w:p>
    <w:p w14:paraId="7B36CFED" w14:textId="2FDA4E94" w:rsidR="009804C9" w:rsidRDefault="009235D8">
      <w:pPr>
        <w:rPr>
          <w:noProof/>
        </w:rPr>
      </w:pPr>
      <w:r>
        <w:rPr>
          <w:noProof/>
        </w:rPr>
        <w:drawing>
          <wp:anchor distT="0" distB="0" distL="114300" distR="114300" simplePos="0" relativeHeight="251678208" behindDoc="1" locked="0" layoutInCell="1" allowOverlap="1" wp14:anchorId="54D84E05" wp14:editId="7919BEB4">
            <wp:simplePos x="0" y="0"/>
            <wp:positionH relativeFrom="column">
              <wp:posOffset>716280</wp:posOffset>
            </wp:positionH>
            <wp:positionV relativeFrom="paragraph">
              <wp:posOffset>3326130</wp:posOffset>
            </wp:positionV>
            <wp:extent cx="4298950" cy="4298950"/>
            <wp:effectExtent l="0" t="0" r="0" b="0"/>
            <wp:wrapTight wrapText="bothSides">
              <wp:wrapPolygon edited="0">
                <wp:start x="0" y="0"/>
                <wp:lineTo x="0" y="21536"/>
                <wp:lineTo x="21536" y="21536"/>
                <wp:lineTo x="21536" y="0"/>
                <wp:lineTo x="0" y="0"/>
              </wp:wrapPolygon>
            </wp:wrapTight>
            <wp:docPr id="139304594" name="Picture 2" descr="A group of graphs and diagr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04594" name="Picture 2" descr="A group of graphs and diagram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98950" cy="429895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612A9DF8">
          <v:shapetype id="_x0000_t202" coordsize="21600,21600" o:spt="202" path="m,l,21600r21600,l21600,xe">
            <v:stroke joinstyle="miter"/>
            <v:path gradientshapeok="t" o:connecttype="rect"/>
          </v:shapetype>
          <v:shape id="_x0000_s1026" type="#_x0000_t202" style="position:absolute;margin-left:37.8pt;margin-top:236.2pt;width:375.6pt;height:25.35pt;z-index:251660288;mso-position-horizontal-relative:text;mso-position-vertical-relative:text" stroked="f">
            <v:textbox inset="0,0,0,0">
              <w:txbxContent>
                <w:p w14:paraId="3AFB28BB" w14:textId="646EF301" w:rsidR="009804C9" w:rsidRPr="0095723D" w:rsidRDefault="009804C9" w:rsidP="009804C9">
                  <w:pPr>
                    <w:pStyle w:val="Caption"/>
                    <w:rPr>
                      <w:noProof/>
                      <w:sz w:val="22"/>
                      <w:szCs w:val="22"/>
                    </w:rPr>
                  </w:pPr>
                  <w:r>
                    <w:t xml:space="preserve">Figure </w:t>
                  </w:r>
                  <w:r w:rsidR="00857156">
                    <w:t>1</w:t>
                  </w:r>
                  <w:r>
                    <w:t xml:space="preserve"> – Confusion matrix</w:t>
                  </w:r>
                  <w:r w:rsidR="007E5DAF">
                    <w:t xml:space="preserve"> for evaluating the effectiveness of logistic regression using age as a predictor of credit card ownership.</w:t>
                  </w:r>
                </w:p>
              </w:txbxContent>
            </v:textbox>
            <w10:wrap type="square"/>
          </v:shape>
        </w:pict>
      </w:r>
    </w:p>
    <w:p w14:paraId="6CF15A5A" w14:textId="65054A59" w:rsidR="00BF0C66" w:rsidRDefault="00FD4F98">
      <w:r>
        <w:rPr>
          <w:noProof/>
        </w:rPr>
        <w:pict w14:anchorId="3F63BC51">
          <v:shape id="_x0000_s1027" type="#_x0000_t202" style="position:absolute;margin-left:56.4pt;margin-top:320.85pt;width:338.5pt;height:24.75pt;z-index:251663360;mso-position-horizontal-relative:text;mso-position-vertical-relative:text" wrapcoords="-48 0 -48 20880 21600 20880 21600 0 -48 0" stroked="f">
            <v:textbox inset="0,0,0,0">
              <w:txbxContent>
                <w:p w14:paraId="703C51BB" w14:textId="75943F19" w:rsidR="009235D8" w:rsidRPr="005C6A8B" w:rsidRDefault="009235D8" w:rsidP="009235D8">
                  <w:pPr>
                    <w:pStyle w:val="Caption"/>
                    <w:rPr>
                      <w:noProof/>
                      <w:sz w:val="22"/>
                      <w:szCs w:val="22"/>
                    </w:rPr>
                  </w:pPr>
                  <w:r>
                    <w:t>Figure 2 – Associations between balance and four other features</w:t>
                  </w:r>
                  <w:r w:rsidR="00FD4F98">
                    <w:t xml:space="preserve"> – Age, Gender, Geography and Housing Type</w:t>
                  </w:r>
                </w:p>
              </w:txbxContent>
            </v:textbox>
            <w10:wrap type="tight"/>
          </v:shape>
        </w:pict>
      </w:r>
      <w:r w:rsidR="00BF0C66">
        <w:br w:type="page"/>
      </w:r>
    </w:p>
    <w:p w14:paraId="69D3FB10" w14:textId="5F5B1D40" w:rsidR="00145F57" w:rsidRDefault="00E16666">
      <w:pPr>
        <w:rPr>
          <w:rFonts w:ascii="Tahoma" w:hAnsi="Tahoma"/>
          <w:sz w:val="20"/>
        </w:rPr>
      </w:pPr>
      <w:r>
        <w:rPr>
          <w:noProof/>
        </w:rPr>
        <w:lastRenderedPageBreak/>
        <w:pict w14:anchorId="662107E8">
          <v:shape id="_x0000_s1030" type="#_x0000_t202" style="position:absolute;margin-left:0;margin-top:450.25pt;width:451.3pt;height:.05pt;z-index:251675648;mso-position-horizontal-relative:text;mso-position-vertical-relative:text" stroked="f">
            <v:textbox style="mso-fit-shape-to-text:t" inset="0,0,0,0">
              <w:txbxContent>
                <w:p w14:paraId="1C393410" w14:textId="1C66FEAF" w:rsidR="00E16666" w:rsidRPr="00F06298" w:rsidRDefault="00E16666" w:rsidP="00E16666">
                  <w:pPr>
                    <w:pStyle w:val="Caption"/>
                    <w:rPr>
                      <w:rFonts w:ascii="Tahoma" w:hAnsi="Tahoma"/>
                      <w:sz w:val="20"/>
                      <w:szCs w:val="22"/>
                    </w:rPr>
                  </w:pPr>
                  <w:r>
                    <w:t xml:space="preserve">Figure 4 </w:t>
                  </w:r>
                  <w:r w:rsidR="00D85B93">
                    <w:t>–</w:t>
                  </w:r>
                  <w:r>
                    <w:t xml:space="preserve"> </w:t>
                  </w:r>
                  <w:r w:rsidR="00D85B93">
                    <w:t>from [1</w:t>
                  </w:r>
                  <w:r w:rsidR="0032110C">
                    <w:t>6</w:t>
                  </w:r>
                  <w:r w:rsidR="00D85B93">
                    <w:t>], iBreakDown profile for a Gradient Boosting classification model</w:t>
                  </w:r>
                  <w:r w:rsidR="00141B42">
                    <w:t xml:space="preserve"> indicating which attributes have the most influence on the final prediction</w:t>
                  </w:r>
                  <w:r w:rsidR="00DA0869">
                    <w:t xml:space="preserve"> value. We can see that MSinceMostRecentInqexcl</w:t>
                  </w:r>
                  <w:r w:rsidR="00825156">
                    <w:t>7days has the most influence on the final outcome, which can be reported by credit scorers.</w:t>
                  </w:r>
                </w:p>
              </w:txbxContent>
            </v:textbox>
            <w10:wrap type="topAndBottom"/>
          </v:shape>
        </w:pict>
      </w:r>
      <w:r w:rsidRPr="00E16666">
        <w:rPr>
          <w:rFonts w:ascii="Tahoma" w:hAnsi="Tahoma"/>
          <w:sz w:val="20"/>
        </w:rPr>
        <w:drawing>
          <wp:anchor distT="0" distB="0" distL="114300" distR="114300" simplePos="0" relativeHeight="251688448" behindDoc="0" locked="0" layoutInCell="1" allowOverlap="1" wp14:anchorId="635CA9DC" wp14:editId="281F3166">
            <wp:simplePos x="0" y="0"/>
            <wp:positionH relativeFrom="column">
              <wp:posOffset>0</wp:posOffset>
            </wp:positionH>
            <wp:positionV relativeFrom="paragraph">
              <wp:posOffset>2948354</wp:posOffset>
            </wp:positionV>
            <wp:extent cx="5731510" cy="2712720"/>
            <wp:effectExtent l="0" t="0" r="0" b="0"/>
            <wp:wrapTopAndBottom/>
            <wp:docPr id="966739480" name="Picture 1" descr="A graph with numbers and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39480" name="Picture 1" descr="A graph with numbers and a number of number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731510" cy="2712720"/>
                    </a:xfrm>
                    <a:prstGeom prst="rect">
                      <a:avLst/>
                    </a:prstGeom>
                  </pic:spPr>
                </pic:pic>
              </a:graphicData>
            </a:graphic>
          </wp:anchor>
        </w:drawing>
      </w:r>
      <w:r w:rsidR="00E96DE2">
        <w:rPr>
          <w:noProof/>
        </w:rPr>
        <w:pict w14:anchorId="38A65943">
          <v:shape id="_x0000_s1029" type="#_x0000_t202" style="position:absolute;margin-left:80.25pt;margin-top:200.25pt;width:290.3pt;height:.05pt;z-index:251672576;mso-position-horizontal-relative:text;mso-position-vertical-relative:text" wrapcoords="-56 0 -56 20829 21600 20829 21600 0 -56 0" stroked="f">
            <v:textbox style="mso-fit-shape-to-text:t" inset="0,0,0,0">
              <w:txbxContent>
                <w:p w14:paraId="60BB33C8" w14:textId="5AE86DEA" w:rsidR="00E96DE2" w:rsidRPr="004C2C4A" w:rsidRDefault="00E96DE2" w:rsidP="00E96DE2">
                  <w:pPr>
                    <w:pStyle w:val="Caption"/>
                    <w:rPr>
                      <w:noProof/>
                      <w:sz w:val="22"/>
                      <w:szCs w:val="22"/>
                    </w:rPr>
                  </w:pPr>
                  <w:r>
                    <w:t>Figure 3 – TAX4CS framework laid out by Bücker et al. (2022)</w:t>
                  </w:r>
                  <w:r w:rsidR="00EE2F7B">
                    <w:t xml:space="preserve"> aims to introduce transparency throughout the discriminative modelling process</w:t>
                  </w:r>
                </w:p>
              </w:txbxContent>
            </v:textbox>
            <w10:wrap type="tight"/>
          </v:shape>
        </w:pict>
      </w:r>
      <w:r w:rsidR="00145F57">
        <w:rPr>
          <w:noProof/>
        </w:rPr>
        <w:drawing>
          <wp:anchor distT="0" distB="0" distL="114300" distR="114300" simplePos="0" relativeHeight="251685376" behindDoc="1" locked="0" layoutInCell="1" allowOverlap="1" wp14:anchorId="21892BB1" wp14:editId="154407AA">
            <wp:simplePos x="0" y="0"/>
            <wp:positionH relativeFrom="column">
              <wp:posOffset>1019810</wp:posOffset>
            </wp:positionH>
            <wp:positionV relativeFrom="paragraph">
              <wp:posOffset>5715</wp:posOffset>
            </wp:positionV>
            <wp:extent cx="3686810" cy="2480310"/>
            <wp:effectExtent l="0" t="0" r="0" b="0"/>
            <wp:wrapTopAndBottom/>
            <wp:docPr id="1880674323" name="Picture 3" descr="A diagram of graphs and diagr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674323" name="Picture 3" descr="A diagram of graphs and diagram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6810" cy="2480310"/>
                    </a:xfrm>
                    <a:prstGeom prst="rect">
                      <a:avLst/>
                    </a:prstGeom>
                    <a:noFill/>
                  </pic:spPr>
                </pic:pic>
              </a:graphicData>
            </a:graphic>
            <wp14:sizeRelH relativeFrom="margin">
              <wp14:pctWidth>0</wp14:pctWidth>
            </wp14:sizeRelH>
            <wp14:sizeRelV relativeFrom="margin">
              <wp14:pctHeight>0</wp14:pctHeight>
            </wp14:sizeRelV>
          </wp:anchor>
        </w:drawing>
      </w:r>
      <w:r w:rsidR="00145F57">
        <w:rPr>
          <w:rFonts w:ascii="Tahoma" w:hAnsi="Tahoma"/>
          <w:sz w:val="20"/>
        </w:rPr>
        <w:br w:type="page"/>
      </w:r>
    </w:p>
    <w:p w14:paraId="3D22ED9A" w14:textId="280299AD" w:rsidR="00BF0C66" w:rsidRDefault="00BF0C66" w:rsidP="00BF0C66">
      <w:pPr>
        <w:pStyle w:val="CVH1Font"/>
      </w:pPr>
      <w:r>
        <w:lastRenderedPageBreak/>
        <w:t>References</w:t>
      </w:r>
    </w:p>
    <w:p w14:paraId="20F21A98" w14:textId="77777777" w:rsidR="00792360" w:rsidRPr="00792360" w:rsidRDefault="007E5DAF" w:rsidP="00792360">
      <w:pPr>
        <w:pStyle w:val="Bibliography"/>
        <w:rPr>
          <w:rFonts w:ascii="Tahoma" w:hAnsi="Tahoma" w:cs="Tahoma"/>
          <w:sz w:val="20"/>
        </w:rPr>
      </w:pPr>
      <w:r>
        <w:fldChar w:fldCharType="begin"/>
      </w:r>
      <w:r w:rsidR="00792360">
        <w:instrText xml:space="preserve"> ADDIN ZOTERO_BIBL {"uncited":[],"omitted":[],"custom":[]} CSL_BIBLIOGRAPHY </w:instrText>
      </w:r>
      <w:r>
        <w:fldChar w:fldCharType="separate"/>
      </w:r>
      <w:r w:rsidR="00792360" w:rsidRPr="00792360">
        <w:rPr>
          <w:rFonts w:ascii="Tahoma" w:hAnsi="Tahoma" w:cs="Tahoma"/>
          <w:sz w:val="20"/>
        </w:rPr>
        <w:t>[1]</w:t>
      </w:r>
      <w:r w:rsidR="00792360" w:rsidRPr="00792360">
        <w:rPr>
          <w:rFonts w:ascii="Tahoma" w:hAnsi="Tahoma" w:cs="Tahoma"/>
          <w:sz w:val="20"/>
        </w:rPr>
        <w:tab/>
        <w:t xml:space="preserve">B. G. Tabachnick, L. S. Fidell, and J. B. Ullman, </w:t>
      </w:r>
      <w:r w:rsidR="00792360" w:rsidRPr="00792360">
        <w:rPr>
          <w:rFonts w:ascii="Tahoma" w:hAnsi="Tahoma" w:cs="Tahoma"/>
          <w:i/>
          <w:iCs/>
          <w:sz w:val="20"/>
        </w:rPr>
        <w:t>Using multivariate statistics</w:t>
      </w:r>
      <w:r w:rsidR="00792360" w:rsidRPr="00792360">
        <w:rPr>
          <w:rFonts w:ascii="Tahoma" w:hAnsi="Tahoma" w:cs="Tahoma"/>
          <w:sz w:val="20"/>
        </w:rPr>
        <w:t>, vol. 6. pearson Boston, MA, 2013.</w:t>
      </w:r>
    </w:p>
    <w:p w14:paraId="02F2F22B" w14:textId="77777777" w:rsidR="00792360" w:rsidRPr="00792360" w:rsidRDefault="00792360" w:rsidP="00792360">
      <w:pPr>
        <w:pStyle w:val="Bibliography"/>
        <w:rPr>
          <w:rFonts w:ascii="Tahoma" w:hAnsi="Tahoma" w:cs="Tahoma"/>
          <w:sz w:val="20"/>
        </w:rPr>
      </w:pPr>
      <w:r w:rsidRPr="00792360">
        <w:rPr>
          <w:rFonts w:ascii="Tahoma" w:hAnsi="Tahoma" w:cs="Tahoma"/>
          <w:sz w:val="20"/>
        </w:rPr>
        <w:t>[2]</w:t>
      </w:r>
      <w:r w:rsidRPr="00792360">
        <w:rPr>
          <w:rFonts w:ascii="Tahoma" w:hAnsi="Tahoma" w:cs="Tahoma"/>
          <w:sz w:val="20"/>
        </w:rPr>
        <w:tab/>
        <w:t xml:space="preserve">G. E. P. Box and P. W. Tidwell, ‘Transformation of the Independent Variables’, </w:t>
      </w:r>
      <w:r w:rsidRPr="00792360">
        <w:rPr>
          <w:rFonts w:ascii="Tahoma" w:hAnsi="Tahoma" w:cs="Tahoma"/>
          <w:i/>
          <w:iCs/>
          <w:sz w:val="20"/>
        </w:rPr>
        <w:t>Technometrics</w:t>
      </w:r>
      <w:r w:rsidRPr="00792360">
        <w:rPr>
          <w:rFonts w:ascii="Tahoma" w:hAnsi="Tahoma" w:cs="Tahoma"/>
          <w:sz w:val="20"/>
        </w:rPr>
        <w:t>, vol. 4, no. 4, pp. 531–550, Nov. 1962, doi: 10.1080/00401706.1962.10490038.</w:t>
      </w:r>
    </w:p>
    <w:p w14:paraId="3D4110E5" w14:textId="77777777" w:rsidR="00792360" w:rsidRPr="00792360" w:rsidRDefault="00792360" w:rsidP="00792360">
      <w:pPr>
        <w:pStyle w:val="Bibliography"/>
        <w:rPr>
          <w:rFonts w:ascii="Tahoma" w:hAnsi="Tahoma" w:cs="Tahoma"/>
          <w:sz w:val="20"/>
        </w:rPr>
      </w:pPr>
      <w:r w:rsidRPr="00792360">
        <w:rPr>
          <w:rFonts w:ascii="Tahoma" w:hAnsi="Tahoma" w:cs="Tahoma"/>
          <w:sz w:val="20"/>
        </w:rPr>
        <w:t>[3]</w:t>
      </w:r>
      <w:r w:rsidRPr="00792360">
        <w:rPr>
          <w:rFonts w:ascii="Tahoma" w:hAnsi="Tahoma" w:cs="Tahoma"/>
          <w:sz w:val="20"/>
        </w:rPr>
        <w:tab/>
        <w:t xml:space="preserve">M. A. Bujang, N. Sa’at, T. M. I. Tg Abu Bakar Sidik, and L. Chien Joo, ‘Sample Size Guidelines for Logistic Regression from Observational Studies with Large Population: Emphasis on the Accuracy Between Statistics and Parameters Based on Real Life Clinical Data’, </w:t>
      </w:r>
      <w:r w:rsidRPr="00792360">
        <w:rPr>
          <w:rFonts w:ascii="Tahoma" w:hAnsi="Tahoma" w:cs="Tahoma"/>
          <w:i/>
          <w:iCs/>
          <w:sz w:val="20"/>
        </w:rPr>
        <w:t>Malays. J. Med. Sci.</w:t>
      </w:r>
      <w:r w:rsidRPr="00792360">
        <w:rPr>
          <w:rFonts w:ascii="Tahoma" w:hAnsi="Tahoma" w:cs="Tahoma"/>
          <w:sz w:val="20"/>
        </w:rPr>
        <w:t>, vol. 25, no. 4, pp. 122–130, 2018, doi: 10.21315/mjms2018.25.4.12.</w:t>
      </w:r>
    </w:p>
    <w:p w14:paraId="043200A8" w14:textId="77777777" w:rsidR="00792360" w:rsidRPr="00792360" w:rsidRDefault="00792360" w:rsidP="00792360">
      <w:pPr>
        <w:pStyle w:val="Bibliography"/>
        <w:rPr>
          <w:rFonts w:ascii="Tahoma" w:hAnsi="Tahoma" w:cs="Tahoma"/>
          <w:sz w:val="20"/>
        </w:rPr>
      </w:pPr>
      <w:r w:rsidRPr="00792360">
        <w:rPr>
          <w:rFonts w:ascii="Tahoma" w:hAnsi="Tahoma" w:cs="Tahoma"/>
          <w:sz w:val="20"/>
        </w:rPr>
        <w:t>[4]</w:t>
      </w:r>
      <w:r w:rsidRPr="00792360">
        <w:rPr>
          <w:rFonts w:ascii="Tahoma" w:hAnsi="Tahoma" w:cs="Tahoma"/>
          <w:sz w:val="20"/>
        </w:rPr>
        <w:tab/>
        <w:t xml:space="preserve">C. C. Serdar, M. Cihan, D. Yücel, and M. A. Serdar, ‘Sample size, power and effect size revisited: simplified and practical approaches in pre-clinical, clinical and laboratory studies’, </w:t>
      </w:r>
      <w:r w:rsidRPr="00792360">
        <w:rPr>
          <w:rFonts w:ascii="Tahoma" w:hAnsi="Tahoma" w:cs="Tahoma"/>
          <w:i/>
          <w:iCs/>
          <w:sz w:val="20"/>
        </w:rPr>
        <w:t>Biochem. Medica</w:t>
      </w:r>
      <w:r w:rsidRPr="00792360">
        <w:rPr>
          <w:rFonts w:ascii="Tahoma" w:hAnsi="Tahoma" w:cs="Tahoma"/>
          <w:sz w:val="20"/>
        </w:rPr>
        <w:t>, vol. 31, no. 1, p. 010502, Feb. 2021, doi: 10.11613/BM.2021.010502.</w:t>
      </w:r>
    </w:p>
    <w:p w14:paraId="0D4FE0E3" w14:textId="77777777" w:rsidR="00792360" w:rsidRPr="00792360" w:rsidRDefault="00792360" w:rsidP="00792360">
      <w:pPr>
        <w:pStyle w:val="Bibliography"/>
        <w:rPr>
          <w:rFonts w:ascii="Tahoma" w:hAnsi="Tahoma" w:cs="Tahoma"/>
          <w:sz w:val="20"/>
        </w:rPr>
      </w:pPr>
      <w:r w:rsidRPr="00792360">
        <w:rPr>
          <w:rFonts w:ascii="Tahoma" w:hAnsi="Tahoma" w:cs="Tahoma"/>
          <w:sz w:val="20"/>
        </w:rPr>
        <w:t>[5]</w:t>
      </w:r>
      <w:r w:rsidRPr="00792360">
        <w:rPr>
          <w:rFonts w:ascii="Tahoma" w:hAnsi="Tahoma" w:cs="Tahoma"/>
          <w:sz w:val="20"/>
        </w:rPr>
        <w:tab/>
        <w:t xml:space="preserve">C. Spearman, </w:t>
      </w:r>
      <w:r w:rsidRPr="00792360">
        <w:rPr>
          <w:rFonts w:ascii="Tahoma" w:hAnsi="Tahoma" w:cs="Tahoma"/>
          <w:i/>
          <w:iCs/>
          <w:sz w:val="20"/>
        </w:rPr>
        <w:t>The Proof and Measurement of Association Between Two Things</w:t>
      </w:r>
      <w:r w:rsidRPr="00792360">
        <w:rPr>
          <w:rFonts w:ascii="Tahoma" w:hAnsi="Tahoma" w:cs="Tahoma"/>
          <w:sz w:val="20"/>
        </w:rPr>
        <w:t>. in Studies in individual differences: The search for intelligence. East Norwalk, CT, US: Appleton-Century-Crofts, 1961, p. 58. doi: 10.1037/11491-005.</w:t>
      </w:r>
    </w:p>
    <w:p w14:paraId="4C730C40" w14:textId="77777777" w:rsidR="00792360" w:rsidRPr="00792360" w:rsidRDefault="00792360" w:rsidP="00792360">
      <w:pPr>
        <w:pStyle w:val="Bibliography"/>
        <w:rPr>
          <w:rFonts w:ascii="Tahoma" w:hAnsi="Tahoma" w:cs="Tahoma"/>
          <w:sz w:val="20"/>
        </w:rPr>
      </w:pPr>
      <w:r w:rsidRPr="00792360">
        <w:rPr>
          <w:rFonts w:ascii="Tahoma" w:hAnsi="Tahoma" w:cs="Tahoma"/>
          <w:sz w:val="20"/>
        </w:rPr>
        <w:t>[6]</w:t>
      </w:r>
      <w:r w:rsidRPr="00792360">
        <w:rPr>
          <w:rFonts w:ascii="Tahoma" w:hAnsi="Tahoma" w:cs="Tahoma"/>
          <w:sz w:val="20"/>
        </w:rPr>
        <w:tab/>
        <w:t xml:space="preserve">R. D’AGOSTINO and E. S. PEARSON, ‘Tests for departure from normality. Empirical results for the distributions of b2 and √b1’, </w:t>
      </w:r>
      <w:r w:rsidRPr="00792360">
        <w:rPr>
          <w:rFonts w:ascii="Tahoma" w:hAnsi="Tahoma" w:cs="Tahoma"/>
          <w:i/>
          <w:iCs/>
          <w:sz w:val="20"/>
        </w:rPr>
        <w:t>Biometrika</w:t>
      </w:r>
      <w:r w:rsidRPr="00792360">
        <w:rPr>
          <w:rFonts w:ascii="Tahoma" w:hAnsi="Tahoma" w:cs="Tahoma"/>
          <w:sz w:val="20"/>
        </w:rPr>
        <w:t>, vol. 60, no. 3, pp. 613–622, Dec. 1973, doi: 10.1093/biomet/60.3.613.</w:t>
      </w:r>
    </w:p>
    <w:p w14:paraId="74A9DE65" w14:textId="77777777" w:rsidR="00792360" w:rsidRPr="00792360" w:rsidRDefault="00792360" w:rsidP="00792360">
      <w:pPr>
        <w:pStyle w:val="Bibliography"/>
        <w:rPr>
          <w:rFonts w:ascii="Tahoma" w:hAnsi="Tahoma" w:cs="Tahoma"/>
          <w:sz w:val="20"/>
        </w:rPr>
      </w:pPr>
      <w:r w:rsidRPr="00792360">
        <w:rPr>
          <w:rFonts w:ascii="Tahoma" w:hAnsi="Tahoma" w:cs="Tahoma"/>
          <w:sz w:val="20"/>
        </w:rPr>
        <w:t>[7]</w:t>
      </w:r>
      <w:r w:rsidRPr="00792360">
        <w:rPr>
          <w:rFonts w:ascii="Tahoma" w:hAnsi="Tahoma" w:cs="Tahoma"/>
          <w:sz w:val="20"/>
        </w:rPr>
        <w:tab/>
        <w:t xml:space="preserve">G. Van Rossum and F. L. Drake, </w:t>
      </w:r>
      <w:r w:rsidRPr="00792360">
        <w:rPr>
          <w:rFonts w:ascii="Tahoma" w:hAnsi="Tahoma" w:cs="Tahoma"/>
          <w:i/>
          <w:iCs/>
          <w:sz w:val="20"/>
        </w:rPr>
        <w:t>Python 3 Reference Manual</w:t>
      </w:r>
      <w:r w:rsidRPr="00792360">
        <w:rPr>
          <w:rFonts w:ascii="Tahoma" w:hAnsi="Tahoma" w:cs="Tahoma"/>
          <w:sz w:val="20"/>
        </w:rPr>
        <w:t>. Scotts Valley, CA: CreateSpace, 2009.</w:t>
      </w:r>
    </w:p>
    <w:p w14:paraId="33C5BF27" w14:textId="77777777" w:rsidR="00792360" w:rsidRPr="00792360" w:rsidRDefault="00792360" w:rsidP="00792360">
      <w:pPr>
        <w:pStyle w:val="Bibliography"/>
        <w:rPr>
          <w:rFonts w:ascii="Tahoma" w:hAnsi="Tahoma" w:cs="Tahoma"/>
          <w:sz w:val="20"/>
        </w:rPr>
      </w:pPr>
      <w:r w:rsidRPr="00792360">
        <w:rPr>
          <w:rFonts w:ascii="Tahoma" w:hAnsi="Tahoma" w:cs="Tahoma"/>
          <w:sz w:val="20"/>
        </w:rPr>
        <w:t>[8]</w:t>
      </w:r>
      <w:r w:rsidRPr="00792360">
        <w:rPr>
          <w:rFonts w:ascii="Tahoma" w:hAnsi="Tahoma" w:cs="Tahoma"/>
          <w:sz w:val="20"/>
        </w:rPr>
        <w:tab/>
        <w:t xml:space="preserve">‘Anaconda Software Distribution’, </w:t>
      </w:r>
      <w:r w:rsidRPr="00792360">
        <w:rPr>
          <w:rFonts w:ascii="Tahoma" w:hAnsi="Tahoma" w:cs="Tahoma"/>
          <w:i/>
          <w:iCs/>
          <w:sz w:val="20"/>
        </w:rPr>
        <w:t>Anaconda Documentation</w:t>
      </w:r>
      <w:r w:rsidRPr="00792360">
        <w:rPr>
          <w:rFonts w:ascii="Tahoma" w:hAnsi="Tahoma" w:cs="Tahoma"/>
          <w:sz w:val="20"/>
        </w:rPr>
        <w:t>. Anaconda Inc., 2020. [Online]. Available: https://docs.anaconda.com/</w:t>
      </w:r>
    </w:p>
    <w:p w14:paraId="44431BC0" w14:textId="77777777" w:rsidR="00792360" w:rsidRPr="00792360" w:rsidRDefault="00792360" w:rsidP="00792360">
      <w:pPr>
        <w:pStyle w:val="Bibliography"/>
        <w:rPr>
          <w:rFonts w:ascii="Tahoma" w:hAnsi="Tahoma" w:cs="Tahoma"/>
          <w:sz w:val="20"/>
        </w:rPr>
      </w:pPr>
      <w:r w:rsidRPr="00792360">
        <w:rPr>
          <w:rFonts w:ascii="Tahoma" w:hAnsi="Tahoma" w:cs="Tahoma"/>
          <w:sz w:val="20"/>
        </w:rPr>
        <w:t>[9]</w:t>
      </w:r>
      <w:r w:rsidRPr="00792360">
        <w:rPr>
          <w:rFonts w:ascii="Tahoma" w:hAnsi="Tahoma" w:cs="Tahoma"/>
          <w:sz w:val="20"/>
        </w:rPr>
        <w:tab/>
        <w:t xml:space="preserve">T. Kluyver </w:t>
      </w:r>
      <w:r w:rsidRPr="00792360">
        <w:rPr>
          <w:rFonts w:ascii="Tahoma" w:hAnsi="Tahoma" w:cs="Tahoma"/>
          <w:i/>
          <w:iCs/>
          <w:sz w:val="20"/>
        </w:rPr>
        <w:t>et al.</w:t>
      </w:r>
      <w:r w:rsidRPr="00792360">
        <w:rPr>
          <w:rFonts w:ascii="Tahoma" w:hAnsi="Tahoma" w:cs="Tahoma"/>
          <w:sz w:val="20"/>
        </w:rPr>
        <w:t xml:space="preserve">, ‘Jupyter Notebooks – a publishing format for reproducible computational workflows’, in </w:t>
      </w:r>
      <w:r w:rsidRPr="00792360">
        <w:rPr>
          <w:rFonts w:ascii="Tahoma" w:hAnsi="Tahoma" w:cs="Tahoma"/>
          <w:i/>
          <w:iCs/>
          <w:sz w:val="20"/>
        </w:rPr>
        <w:t>Positioning and Power in Academic Publishing: Players, Agents and Agendas</w:t>
      </w:r>
      <w:r w:rsidRPr="00792360">
        <w:rPr>
          <w:rFonts w:ascii="Tahoma" w:hAnsi="Tahoma" w:cs="Tahoma"/>
          <w:sz w:val="20"/>
        </w:rPr>
        <w:t>, F. Loizides and B. Schmidt, Eds., IOS Press, 2016, pp. 87–90.</w:t>
      </w:r>
    </w:p>
    <w:p w14:paraId="5D8C73C2" w14:textId="77777777" w:rsidR="00792360" w:rsidRPr="00792360" w:rsidRDefault="00792360" w:rsidP="00792360">
      <w:pPr>
        <w:pStyle w:val="Bibliography"/>
        <w:rPr>
          <w:rFonts w:ascii="Tahoma" w:hAnsi="Tahoma" w:cs="Tahoma"/>
          <w:sz w:val="20"/>
        </w:rPr>
      </w:pPr>
      <w:r w:rsidRPr="00792360">
        <w:rPr>
          <w:rFonts w:ascii="Tahoma" w:hAnsi="Tahoma" w:cs="Tahoma"/>
          <w:sz w:val="20"/>
        </w:rPr>
        <w:t>[10]</w:t>
      </w:r>
      <w:r w:rsidRPr="00792360">
        <w:rPr>
          <w:rFonts w:ascii="Tahoma" w:hAnsi="Tahoma" w:cs="Tahoma"/>
          <w:sz w:val="20"/>
        </w:rPr>
        <w:tab/>
        <w:t xml:space="preserve">C. Ozgur, T. Colliau, G. Rogers, and Z. Hughes, ‘MatLab vs. Python vs. R’, </w:t>
      </w:r>
      <w:r w:rsidRPr="00792360">
        <w:rPr>
          <w:rFonts w:ascii="Tahoma" w:hAnsi="Tahoma" w:cs="Tahoma"/>
          <w:i/>
          <w:iCs/>
          <w:sz w:val="20"/>
        </w:rPr>
        <w:t>J. Data Sci.</w:t>
      </w:r>
      <w:r w:rsidRPr="00792360">
        <w:rPr>
          <w:rFonts w:ascii="Tahoma" w:hAnsi="Tahoma" w:cs="Tahoma"/>
          <w:sz w:val="20"/>
        </w:rPr>
        <w:t>, vol. 15, no. 3, pp. 355–372, Mar. 2021, doi: 10.6339/JDS.201707_15(3).0001.</w:t>
      </w:r>
    </w:p>
    <w:p w14:paraId="7041BF9A" w14:textId="77777777" w:rsidR="00792360" w:rsidRPr="00792360" w:rsidRDefault="00792360" w:rsidP="00792360">
      <w:pPr>
        <w:pStyle w:val="Bibliography"/>
        <w:rPr>
          <w:rFonts w:ascii="Tahoma" w:hAnsi="Tahoma" w:cs="Tahoma"/>
          <w:sz w:val="20"/>
        </w:rPr>
      </w:pPr>
      <w:r w:rsidRPr="00792360">
        <w:rPr>
          <w:rFonts w:ascii="Tahoma" w:hAnsi="Tahoma" w:cs="Tahoma"/>
          <w:sz w:val="20"/>
        </w:rPr>
        <w:t>[11]</w:t>
      </w:r>
      <w:r w:rsidRPr="00792360">
        <w:rPr>
          <w:rFonts w:ascii="Tahoma" w:hAnsi="Tahoma" w:cs="Tahoma"/>
          <w:sz w:val="20"/>
        </w:rPr>
        <w:tab/>
        <w:t>‘Python commands 3.21% market share in Programming Languages’. Accessed: Oct. 27, 2024. [Online]. Available: https://enlyft.com/tech/products/python</w:t>
      </w:r>
    </w:p>
    <w:p w14:paraId="256066E4" w14:textId="77777777" w:rsidR="00792360" w:rsidRPr="00792360" w:rsidRDefault="00792360" w:rsidP="00792360">
      <w:pPr>
        <w:pStyle w:val="Bibliography"/>
        <w:rPr>
          <w:rFonts w:ascii="Tahoma" w:hAnsi="Tahoma" w:cs="Tahoma"/>
          <w:sz w:val="20"/>
        </w:rPr>
      </w:pPr>
      <w:r w:rsidRPr="00792360">
        <w:rPr>
          <w:rFonts w:ascii="Tahoma" w:hAnsi="Tahoma" w:cs="Tahoma"/>
          <w:sz w:val="20"/>
        </w:rPr>
        <w:t>[12]</w:t>
      </w:r>
      <w:r w:rsidRPr="00792360">
        <w:rPr>
          <w:rFonts w:ascii="Tahoma" w:hAnsi="Tahoma" w:cs="Tahoma"/>
          <w:sz w:val="20"/>
        </w:rPr>
        <w:tab/>
        <w:t xml:space="preserve">X. Zhang and L. Yu, ‘Consumer credit risk assessment: A review from the state-of-the-art classification algorithms, data traits, and learning methods’, </w:t>
      </w:r>
      <w:r w:rsidRPr="00792360">
        <w:rPr>
          <w:rFonts w:ascii="Tahoma" w:hAnsi="Tahoma" w:cs="Tahoma"/>
          <w:i/>
          <w:iCs/>
          <w:sz w:val="20"/>
        </w:rPr>
        <w:t>Expert Syst. Appl.</w:t>
      </w:r>
      <w:r w:rsidRPr="00792360">
        <w:rPr>
          <w:rFonts w:ascii="Tahoma" w:hAnsi="Tahoma" w:cs="Tahoma"/>
          <w:sz w:val="20"/>
        </w:rPr>
        <w:t>, vol. 237, p. 121484, Mar. 2024, doi: 10.1016/j.eswa.2023.121484.</w:t>
      </w:r>
    </w:p>
    <w:p w14:paraId="7E57FAB0" w14:textId="77777777" w:rsidR="00792360" w:rsidRPr="00792360" w:rsidRDefault="00792360" w:rsidP="00792360">
      <w:pPr>
        <w:pStyle w:val="Bibliography"/>
        <w:rPr>
          <w:rFonts w:ascii="Tahoma" w:hAnsi="Tahoma" w:cs="Tahoma"/>
          <w:sz w:val="20"/>
        </w:rPr>
      </w:pPr>
      <w:r w:rsidRPr="00792360">
        <w:rPr>
          <w:rFonts w:ascii="Tahoma" w:hAnsi="Tahoma" w:cs="Tahoma"/>
          <w:sz w:val="20"/>
        </w:rPr>
        <w:t>[13]</w:t>
      </w:r>
      <w:r w:rsidRPr="00792360">
        <w:rPr>
          <w:rFonts w:ascii="Tahoma" w:hAnsi="Tahoma" w:cs="Tahoma"/>
          <w:sz w:val="20"/>
        </w:rPr>
        <w:tab/>
        <w:t xml:space="preserve">B. R. Gunnarsson, S. vanden Broucke, B. Baesens, M. Óskarsdóttir, and W. Lemahieu, ‘Deep learning for credit scoring: Do or don’t?’, </w:t>
      </w:r>
      <w:r w:rsidRPr="00792360">
        <w:rPr>
          <w:rFonts w:ascii="Tahoma" w:hAnsi="Tahoma" w:cs="Tahoma"/>
          <w:i/>
          <w:iCs/>
          <w:sz w:val="20"/>
        </w:rPr>
        <w:t>Eur. J. Oper. Res.</w:t>
      </w:r>
      <w:r w:rsidRPr="00792360">
        <w:rPr>
          <w:rFonts w:ascii="Tahoma" w:hAnsi="Tahoma" w:cs="Tahoma"/>
          <w:sz w:val="20"/>
        </w:rPr>
        <w:t>, vol. 295, no. 1, pp. 292–305, Nov. 2021, doi: 10.1016/j.ejor.2021.03.006.</w:t>
      </w:r>
    </w:p>
    <w:p w14:paraId="1039252E" w14:textId="77777777" w:rsidR="00792360" w:rsidRPr="00792360" w:rsidRDefault="00792360" w:rsidP="00792360">
      <w:pPr>
        <w:pStyle w:val="Bibliography"/>
        <w:rPr>
          <w:rFonts w:ascii="Tahoma" w:hAnsi="Tahoma" w:cs="Tahoma"/>
          <w:sz w:val="20"/>
        </w:rPr>
      </w:pPr>
      <w:r w:rsidRPr="00792360">
        <w:rPr>
          <w:rFonts w:ascii="Tahoma" w:hAnsi="Tahoma" w:cs="Tahoma"/>
          <w:sz w:val="20"/>
        </w:rPr>
        <w:t>[14]</w:t>
      </w:r>
      <w:r w:rsidRPr="00792360">
        <w:rPr>
          <w:rFonts w:ascii="Tahoma" w:hAnsi="Tahoma" w:cs="Tahoma"/>
          <w:sz w:val="20"/>
        </w:rPr>
        <w:tab/>
        <w:t>‘Basel II: International Convergence of Capital Measurement and Capital Standards: a Revised Framework’, Jun. 2004, Accessed: Oct. 27, 2024. [Online]. Available: https://www.bis.org/publ/bcbs107.htm</w:t>
      </w:r>
    </w:p>
    <w:p w14:paraId="7B541745" w14:textId="77777777" w:rsidR="00792360" w:rsidRPr="00792360" w:rsidRDefault="00792360" w:rsidP="00792360">
      <w:pPr>
        <w:pStyle w:val="Bibliography"/>
        <w:rPr>
          <w:rFonts w:ascii="Tahoma" w:hAnsi="Tahoma" w:cs="Tahoma"/>
          <w:sz w:val="20"/>
        </w:rPr>
      </w:pPr>
      <w:r w:rsidRPr="00792360">
        <w:rPr>
          <w:rFonts w:ascii="Tahoma" w:hAnsi="Tahoma" w:cs="Tahoma"/>
          <w:sz w:val="20"/>
        </w:rPr>
        <w:t>[15]</w:t>
      </w:r>
      <w:r w:rsidRPr="00792360">
        <w:rPr>
          <w:rFonts w:ascii="Tahoma" w:hAnsi="Tahoma" w:cs="Tahoma"/>
          <w:sz w:val="20"/>
        </w:rPr>
        <w:tab/>
        <w:t>‘General Data Protection Regulation (GDPR) – Legal Text’, General Data Protection Regulation (GDPR). Accessed: Jun. 24, 2024. [Online]. Available: https://gdpr-info.eu/</w:t>
      </w:r>
    </w:p>
    <w:p w14:paraId="640DAFCB" w14:textId="77777777" w:rsidR="00792360" w:rsidRPr="00792360" w:rsidRDefault="00792360" w:rsidP="00792360">
      <w:pPr>
        <w:pStyle w:val="Bibliography"/>
        <w:rPr>
          <w:rFonts w:ascii="Tahoma" w:hAnsi="Tahoma" w:cs="Tahoma"/>
          <w:sz w:val="20"/>
        </w:rPr>
      </w:pPr>
      <w:r w:rsidRPr="00792360">
        <w:rPr>
          <w:rFonts w:ascii="Tahoma" w:hAnsi="Tahoma" w:cs="Tahoma"/>
          <w:sz w:val="20"/>
        </w:rPr>
        <w:t>[16]</w:t>
      </w:r>
      <w:r w:rsidRPr="00792360">
        <w:rPr>
          <w:rFonts w:ascii="Tahoma" w:hAnsi="Tahoma" w:cs="Tahoma"/>
          <w:sz w:val="20"/>
        </w:rPr>
        <w:tab/>
        <w:t xml:space="preserve">M. Bücker, G. Szepannek, A. Gosiewska, and P. Biecek, ‘Transparency, auditability, and explainability of machine learning models in credit scoring’, </w:t>
      </w:r>
      <w:r w:rsidRPr="00792360">
        <w:rPr>
          <w:rFonts w:ascii="Tahoma" w:hAnsi="Tahoma" w:cs="Tahoma"/>
          <w:i/>
          <w:iCs/>
          <w:sz w:val="20"/>
        </w:rPr>
        <w:t>J. Oper. Res. Soc.</w:t>
      </w:r>
      <w:r w:rsidRPr="00792360">
        <w:rPr>
          <w:rFonts w:ascii="Tahoma" w:hAnsi="Tahoma" w:cs="Tahoma"/>
          <w:sz w:val="20"/>
        </w:rPr>
        <w:t>, vol. 73, no. 1, pp. 70–90, Jan. 2022, doi: 10.1080/01605682.2021.1922098.</w:t>
      </w:r>
    </w:p>
    <w:p w14:paraId="7C1DF727" w14:textId="77777777" w:rsidR="00792360" w:rsidRPr="00792360" w:rsidRDefault="00792360" w:rsidP="00792360">
      <w:pPr>
        <w:pStyle w:val="Bibliography"/>
        <w:rPr>
          <w:rFonts w:ascii="Tahoma" w:hAnsi="Tahoma" w:cs="Tahoma"/>
          <w:sz w:val="20"/>
        </w:rPr>
      </w:pPr>
      <w:r w:rsidRPr="00792360">
        <w:rPr>
          <w:rFonts w:ascii="Tahoma" w:hAnsi="Tahoma" w:cs="Tahoma"/>
          <w:sz w:val="20"/>
        </w:rPr>
        <w:t>[17]</w:t>
      </w:r>
      <w:r w:rsidRPr="00792360">
        <w:rPr>
          <w:rFonts w:ascii="Tahoma" w:hAnsi="Tahoma" w:cs="Tahoma"/>
          <w:sz w:val="20"/>
        </w:rPr>
        <w:tab/>
        <w:t xml:space="preserve">S. Lundberg and S.-I. Lee, ‘A Unified Approach to Interpreting Model Predictions’, Nov. 25, 2017, </w:t>
      </w:r>
      <w:r w:rsidRPr="00792360">
        <w:rPr>
          <w:rFonts w:ascii="Tahoma" w:hAnsi="Tahoma" w:cs="Tahoma"/>
          <w:i/>
          <w:iCs/>
          <w:sz w:val="20"/>
        </w:rPr>
        <w:t>arXiv</w:t>
      </w:r>
      <w:r w:rsidRPr="00792360">
        <w:rPr>
          <w:rFonts w:ascii="Tahoma" w:hAnsi="Tahoma" w:cs="Tahoma"/>
          <w:sz w:val="20"/>
        </w:rPr>
        <w:t>: arXiv:1705.07874. doi: 10.48550/arXiv.1705.07874.</w:t>
      </w:r>
    </w:p>
    <w:p w14:paraId="249F8F67" w14:textId="77777777" w:rsidR="00792360" w:rsidRPr="00792360" w:rsidRDefault="00792360" w:rsidP="00792360">
      <w:pPr>
        <w:pStyle w:val="Bibliography"/>
        <w:rPr>
          <w:rFonts w:ascii="Tahoma" w:hAnsi="Tahoma" w:cs="Tahoma"/>
          <w:sz w:val="20"/>
        </w:rPr>
      </w:pPr>
      <w:r w:rsidRPr="00792360">
        <w:rPr>
          <w:rFonts w:ascii="Tahoma" w:hAnsi="Tahoma" w:cs="Tahoma"/>
          <w:sz w:val="20"/>
        </w:rPr>
        <w:t>[18]</w:t>
      </w:r>
      <w:r w:rsidRPr="00792360">
        <w:rPr>
          <w:rFonts w:ascii="Tahoma" w:hAnsi="Tahoma" w:cs="Tahoma"/>
          <w:sz w:val="20"/>
        </w:rPr>
        <w:tab/>
        <w:t xml:space="preserve">A. Gosiewska and P. Biecek, ‘Do Not Trust Additive Explanations’, May 08, 2020, </w:t>
      </w:r>
      <w:r w:rsidRPr="00792360">
        <w:rPr>
          <w:rFonts w:ascii="Tahoma" w:hAnsi="Tahoma" w:cs="Tahoma"/>
          <w:i/>
          <w:iCs/>
          <w:sz w:val="20"/>
        </w:rPr>
        <w:t>arXiv</w:t>
      </w:r>
      <w:r w:rsidRPr="00792360">
        <w:rPr>
          <w:rFonts w:ascii="Tahoma" w:hAnsi="Tahoma" w:cs="Tahoma"/>
          <w:sz w:val="20"/>
        </w:rPr>
        <w:t>: arXiv:1903.11420. doi: 10.48550/arXiv.1903.11420.</w:t>
      </w:r>
    </w:p>
    <w:p w14:paraId="184D1C31" w14:textId="77777777" w:rsidR="00792360" w:rsidRPr="00792360" w:rsidRDefault="00792360" w:rsidP="00792360">
      <w:pPr>
        <w:pStyle w:val="Bibliography"/>
        <w:rPr>
          <w:rFonts w:ascii="Tahoma" w:hAnsi="Tahoma" w:cs="Tahoma"/>
          <w:sz w:val="20"/>
        </w:rPr>
      </w:pPr>
      <w:r w:rsidRPr="00792360">
        <w:rPr>
          <w:rFonts w:ascii="Tahoma" w:hAnsi="Tahoma" w:cs="Tahoma"/>
          <w:sz w:val="20"/>
        </w:rPr>
        <w:t>[19]</w:t>
      </w:r>
      <w:r w:rsidRPr="00792360">
        <w:rPr>
          <w:rFonts w:ascii="Tahoma" w:hAnsi="Tahoma" w:cs="Tahoma"/>
          <w:sz w:val="20"/>
        </w:rPr>
        <w:tab/>
        <w:t xml:space="preserve">Y. Xu, W. Zhang, X. Ma, M. Wu, and X. Jiang, ‘Retrospective analysis of interpretable machine learning in predicting ICU thrombocytopenia in geriatric ICU patients’, </w:t>
      </w:r>
      <w:r w:rsidRPr="00792360">
        <w:rPr>
          <w:rFonts w:ascii="Tahoma" w:hAnsi="Tahoma" w:cs="Tahoma"/>
          <w:i/>
          <w:iCs/>
          <w:sz w:val="20"/>
        </w:rPr>
        <w:t>Sci. Rep.</w:t>
      </w:r>
      <w:r w:rsidRPr="00792360">
        <w:rPr>
          <w:rFonts w:ascii="Tahoma" w:hAnsi="Tahoma" w:cs="Tahoma"/>
          <w:sz w:val="20"/>
        </w:rPr>
        <w:t>, vol. 14, no. 1, p. 16738, Jul. 2024, doi: 10.1038/s41598-024-67785-1.</w:t>
      </w:r>
    </w:p>
    <w:p w14:paraId="613F3900" w14:textId="77777777" w:rsidR="00792360" w:rsidRPr="00792360" w:rsidRDefault="00792360" w:rsidP="00792360">
      <w:pPr>
        <w:pStyle w:val="Bibliography"/>
        <w:rPr>
          <w:rFonts w:ascii="Tahoma" w:hAnsi="Tahoma" w:cs="Tahoma"/>
          <w:sz w:val="20"/>
        </w:rPr>
      </w:pPr>
      <w:r w:rsidRPr="00792360">
        <w:rPr>
          <w:rFonts w:ascii="Tahoma" w:hAnsi="Tahoma" w:cs="Tahoma"/>
          <w:sz w:val="20"/>
        </w:rPr>
        <w:t>[20]</w:t>
      </w:r>
      <w:r w:rsidRPr="00792360">
        <w:rPr>
          <w:rFonts w:ascii="Tahoma" w:hAnsi="Tahoma" w:cs="Tahoma"/>
          <w:sz w:val="20"/>
        </w:rPr>
        <w:tab/>
        <w:t xml:space="preserve">Y. Zhang, L. Zhang, H. Lv, and G. Zhang, ‘Ensemble machine learning prediction of hyperuricemia based on a prospective health checkup population’, </w:t>
      </w:r>
      <w:r w:rsidRPr="00792360">
        <w:rPr>
          <w:rFonts w:ascii="Tahoma" w:hAnsi="Tahoma" w:cs="Tahoma"/>
          <w:i/>
          <w:iCs/>
          <w:sz w:val="20"/>
        </w:rPr>
        <w:t>Front. Physiol.</w:t>
      </w:r>
      <w:r w:rsidRPr="00792360">
        <w:rPr>
          <w:rFonts w:ascii="Tahoma" w:hAnsi="Tahoma" w:cs="Tahoma"/>
          <w:sz w:val="20"/>
        </w:rPr>
        <w:t>, vol. 15, Apr. 2024, doi: 10.3389/fphys.2024.1357404.</w:t>
      </w:r>
    </w:p>
    <w:p w14:paraId="517A8D7D" w14:textId="77777777" w:rsidR="00792360" w:rsidRPr="00792360" w:rsidRDefault="00792360" w:rsidP="00792360">
      <w:pPr>
        <w:pStyle w:val="Bibliography"/>
        <w:rPr>
          <w:rFonts w:ascii="Tahoma" w:hAnsi="Tahoma" w:cs="Tahoma"/>
          <w:sz w:val="20"/>
        </w:rPr>
      </w:pPr>
      <w:r w:rsidRPr="00792360">
        <w:rPr>
          <w:rFonts w:ascii="Tahoma" w:hAnsi="Tahoma" w:cs="Tahoma"/>
          <w:sz w:val="20"/>
        </w:rPr>
        <w:t>[21]</w:t>
      </w:r>
      <w:r w:rsidRPr="00792360">
        <w:rPr>
          <w:rFonts w:ascii="Tahoma" w:hAnsi="Tahoma" w:cs="Tahoma"/>
          <w:sz w:val="20"/>
        </w:rPr>
        <w:tab/>
        <w:t xml:space="preserve">V. D’Amato, R. D’Ecclesia, and S. Levantesi, ‘Firms’ profitability and ESG score: A machine learning approach’, </w:t>
      </w:r>
      <w:r w:rsidRPr="00792360">
        <w:rPr>
          <w:rFonts w:ascii="Tahoma" w:hAnsi="Tahoma" w:cs="Tahoma"/>
          <w:i/>
          <w:iCs/>
          <w:sz w:val="20"/>
        </w:rPr>
        <w:t>Appl. Stoch. Models Bus. Ind.</w:t>
      </w:r>
      <w:r w:rsidRPr="00792360">
        <w:rPr>
          <w:rFonts w:ascii="Tahoma" w:hAnsi="Tahoma" w:cs="Tahoma"/>
          <w:sz w:val="20"/>
        </w:rPr>
        <w:t>, vol. 40, no. 2, pp. 243–261, 2024, doi: 10.1002/asmb.2758.</w:t>
      </w:r>
    </w:p>
    <w:p w14:paraId="6592E21A" w14:textId="77777777" w:rsidR="00792360" w:rsidRPr="00792360" w:rsidRDefault="00792360" w:rsidP="00792360">
      <w:pPr>
        <w:pStyle w:val="Bibliography"/>
        <w:rPr>
          <w:rFonts w:ascii="Tahoma" w:hAnsi="Tahoma" w:cs="Tahoma"/>
          <w:sz w:val="20"/>
        </w:rPr>
      </w:pPr>
      <w:r w:rsidRPr="00792360">
        <w:rPr>
          <w:rFonts w:ascii="Tahoma" w:hAnsi="Tahoma" w:cs="Tahoma"/>
          <w:sz w:val="20"/>
        </w:rPr>
        <w:t>[22]</w:t>
      </w:r>
      <w:r w:rsidRPr="00792360">
        <w:rPr>
          <w:rFonts w:ascii="Tahoma" w:hAnsi="Tahoma" w:cs="Tahoma"/>
          <w:sz w:val="20"/>
        </w:rPr>
        <w:tab/>
        <w:t xml:space="preserve">H. Baniecki, W. Kretowicz, P. Piątyszek, J. Wiśniewski, and P. Biecek, ‘dalex: Responsible Machine Learning with Interactive Explainability and Fairness in Python’, </w:t>
      </w:r>
      <w:r w:rsidRPr="00792360">
        <w:rPr>
          <w:rFonts w:ascii="Tahoma" w:hAnsi="Tahoma" w:cs="Tahoma"/>
          <w:i/>
          <w:iCs/>
          <w:sz w:val="20"/>
        </w:rPr>
        <w:t>J. Mach. Learn. Res.</w:t>
      </w:r>
      <w:r w:rsidRPr="00792360">
        <w:rPr>
          <w:rFonts w:ascii="Tahoma" w:hAnsi="Tahoma" w:cs="Tahoma"/>
          <w:sz w:val="20"/>
        </w:rPr>
        <w:t>, vol. 22, no. 214, pp. 1–7, 2021.</w:t>
      </w:r>
    </w:p>
    <w:p w14:paraId="31E02BCE" w14:textId="41015A26" w:rsidR="00BF0C66" w:rsidRPr="00BF0C66" w:rsidRDefault="007E5DAF" w:rsidP="00BF0C66">
      <w:pPr>
        <w:pStyle w:val="CVParaFont"/>
      </w:pPr>
      <w:r>
        <w:fldChar w:fldCharType="end"/>
      </w:r>
    </w:p>
    <w:sectPr w:rsidR="00BF0C66" w:rsidRPr="00BF0C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panose1 w:val="020B0604030504040204"/>
    <w:charset w:val="00"/>
    <w:family w:val="swiss"/>
    <w:pitch w:val="variable"/>
    <w:sig w:usb0="E1002EFF" w:usb1="C000605B" w:usb2="00000029" w:usb3="00000000" w:csb0="0001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A3739"/>
    <w:multiLevelType w:val="hybridMultilevel"/>
    <w:tmpl w:val="42D070C0"/>
    <w:lvl w:ilvl="0" w:tplc="14EE4F44">
      <w:numFmt w:val="bullet"/>
      <w:lvlText w:val="-"/>
      <w:lvlJc w:val="left"/>
      <w:pPr>
        <w:ind w:left="720" w:hanging="360"/>
      </w:pPr>
      <w:rPr>
        <w:rFonts w:ascii="Tahoma" w:eastAsiaTheme="minorEastAsia"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4296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stylePaneSortMethod w:val="00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E1255"/>
    <w:rsid w:val="000022D7"/>
    <w:rsid w:val="000051C9"/>
    <w:rsid w:val="00011418"/>
    <w:rsid w:val="00017F19"/>
    <w:rsid w:val="000229AE"/>
    <w:rsid w:val="00025D60"/>
    <w:rsid w:val="00030F65"/>
    <w:rsid w:val="000338AA"/>
    <w:rsid w:val="0003409A"/>
    <w:rsid w:val="00034423"/>
    <w:rsid w:val="00036FB0"/>
    <w:rsid w:val="0004411E"/>
    <w:rsid w:val="000443CB"/>
    <w:rsid w:val="00046559"/>
    <w:rsid w:val="000568DB"/>
    <w:rsid w:val="000601E7"/>
    <w:rsid w:val="000615D5"/>
    <w:rsid w:val="000628AC"/>
    <w:rsid w:val="00066160"/>
    <w:rsid w:val="000708B9"/>
    <w:rsid w:val="00070DB2"/>
    <w:rsid w:val="0007143D"/>
    <w:rsid w:val="000724ED"/>
    <w:rsid w:val="0008035A"/>
    <w:rsid w:val="000840E3"/>
    <w:rsid w:val="00091007"/>
    <w:rsid w:val="00097A33"/>
    <w:rsid w:val="000A7758"/>
    <w:rsid w:val="000B276D"/>
    <w:rsid w:val="000B59AA"/>
    <w:rsid w:val="000B6B8D"/>
    <w:rsid w:val="000B75E0"/>
    <w:rsid w:val="000B7B63"/>
    <w:rsid w:val="000C1AC7"/>
    <w:rsid w:val="000C2D31"/>
    <w:rsid w:val="000C5C9D"/>
    <w:rsid w:val="000C74F4"/>
    <w:rsid w:val="000D0DE5"/>
    <w:rsid w:val="000D4734"/>
    <w:rsid w:val="000D48EC"/>
    <w:rsid w:val="000D5C06"/>
    <w:rsid w:val="000D641F"/>
    <w:rsid w:val="000D65A7"/>
    <w:rsid w:val="000E1883"/>
    <w:rsid w:val="000E21AA"/>
    <w:rsid w:val="000E2565"/>
    <w:rsid w:val="000F0C62"/>
    <w:rsid w:val="000F4429"/>
    <w:rsid w:val="000F54A6"/>
    <w:rsid w:val="000F61CE"/>
    <w:rsid w:val="00115642"/>
    <w:rsid w:val="001177A2"/>
    <w:rsid w:val="0012420F"/>
    <w:rsid w:val="00126225"/>
    <w:rsid w:val="001267C8"/>
    <w:rsid w:val="001355CE"/>
    <w:rsid w:val="00136FD9"/>
    <w:rsid w:val="001377B4"/>
    <w:rsid w:val="001415B9"/>
    <w:rsid w:val="00141B42"/>
    <w:rsid w:val="00143636"/>
    <w:rsid w:val="00144BD8"/>
    <w:rsid w:val="00145F57"/>
    <w:rsid w:val="001535AD"/>
    <w:rsid w:val="00155E25"/>
    <w:rsid w:val="00157548"/>
    <w:rsid w:val="00157588"/>
    <w:rsid w:val="00157823"/>
    <w:rsid w:val="00161112"/>
    <w:rsid w:val="001762AE"/>
    <w:rsid w:val="00184802"/>
    <w:rsid w:val="00187CAA"/>
    <w:rsid w:val="00194F9C"/>
    <w:rsid w:val="00196355"/>
    <w:rsid w:val="001A2C4B"/>
    <w:rsid w:val="001A6920"/>
    <w:rsid w:val="001A7E70"/>
    <w:rsid w:val="001B4043"/>
    <w:rsid w:val="001B44EA"/>
    <w:rsid w:val="001C1A22"/>
    <w:rsid w:val="001D2C72"/>
    <w:rsid w:val="001D2F93"/>
    <w:rsid w:val="001D6FD4"/>
    <w:rsid w:val="001E6694"/>
    <w:rsid w:val="001F0F5B"/>
    <w:rsid w:val="001F1285"/>
    <w:rsid w:val="001F1A23"/>
    <w:rsid w:val="001F5D6A"/>
    <w:rsid w:val="001F6F32"/>
    <w:rsid w:val="00200005"/>
    <w:rsid w:val="00226134"/>
    <w:rsid w:val="002277D6"/>
    <w:rsid w:val="00236A36"/>
    <w:rsid w:val="002376E6"/>
    <w:rsid w:val="00240FF1"/>
    <w:rsid w:val="00250C34"/>
    <w:rsid w:val="00251C75"/>
    <w:rsid w:val="00255646"/>
    <w:rsid w:val="00262678"/>
    <w:rsid w:val="00270C93"/>
    <w:rsid w:val="002719AB"/>
    <w:rsid w:val="00273FAE"/>
    <w:rsid w:val="00274CB0"/>
    <w:rsid w:val="00296AB4"/>
    <w:rsid w:val="002A1304"/>
    <w:rsid w:val="002A228A"/>
    <w:rsid w:val="002A49CB"/>
    <w:rsid w:val="002A69AF"/>
    <w:rsid w:val="002A7153"/>
    <w:rsid w:val="002A71E6"/>
    <w:rsid w:val="002B21CB"/>
    <w:rsid w:val="002B2B6A"/>
    <w:rsid w:val="002B73DD"/>
    <w:rsid w:val="002C29BD"/>
    <w:rsid w:val="002C3249"/>
    <w:rsid w:val="002D1123"/>
    <w:rsid w:val="002D36CE"/>
    <w:rsid w:val="002D7212"/>
    <w:rsid w:val="002D7BDA"/>
    <w:rsid w:val="002E1FC2"/>
    <w:rsid w:val="002F080C"/>
    <w:rsid w:val="002F2CAE"/>
    <w:rsid w:val="002F76F2"/>
    <w:rsid w:val="002F7E4E"/>
    <w:rsid w:val="003007DF"/>
    <w:rsid w:val="00303D1D"/>
    <w:rsid w:val="00305BB1"/>
    <w:rsid w:val="00315FEE"/>
    <w:rsid w:val="00320B1C"/>
    <w:rsid w:val="0032110C"/>
    <w:rsid w:val="003222A3"/>
    <w:rsid w:val="003243E3"/>
    <w:rsid w:val="0033147E"/>
    <w:rsid w:val="00333F45"/>
    <w:rsid w:val="00334E1E"/>
    <w:rsid w:val="003443D5"/>
    <w:rsid w:val="00350F4E"/>
    <w:rsid w:val="0035129B"/>
    <w:rsid w:val="00352736"/>
    <w:rsid w:val="00356998"/>
    <w:rsid w:val="00360C9A"/>
    <w:rsid w:val="003629A8"/>
    <w:rsid w:val="0036379B"/>
    <w:rsid w:val="00381733"/>
    <w:rsid w:val="003817F3"/>
    <w:rsid w:val="00383439"/>
    <w:rsid w:val="003837D5"/>
    <w:rsid w:val="003A6913"/>
    <w:rsid w:val="003B7E22"/>
    <w:rsid w:val="003C05CC"/>
    <w:rsid w:val="003C0F5B"/>
    <w:rsid w:val="003C1056"/>
    <w:rsid w:val="003C2471"/>
    <w:rsid w:val="003C2DBA"/>
    <w:rsid w:val="003D4B5F"/>
    <w:rsid w:val="003D5E09"/>
    <w:rsid w:val="003E6A31"/>
    <w:rsid w:val="003F0718"/>
    <w:rsid w:val="003F32A6"/>
    <w:rsid w:val="003F7050"/>
    <w:rsid w:val="00400681"/>
    <w:rsid w:val="00402573"/>
    <w:rsid w:val="004055D3"/>
    <w:rsid w:val="0041072E"/>
    <w:rsid w:val="00414980"/>
    <w:rsid w:val="00415906"/>
    <w:rsid w:val="00415C24"/>
    <w:rsid w:val="004171BD"/>
    <w:rsid w:val="00420477"/>
    <w:rsid w:val="00425056"/>
    <w:rsid w:val="004326B6"/>
    <w:rsid w:val="004340F4"/>
    <w:rsid w:val="00434400"/>
    <w:rsid w:val="004361BD"/>
    <w:rsid w:val="00437F63"/>
    <w:rsid w:val="004442C1"/>
    <w:rsid w:val="00446541"/>
    <w:rsid w:val="004477C7"/>
    <w:rsid w:val="004537F6"/>
    <w:rsid w:val="00453C40"/>
    <w:rsid w:val="00455262"/>
    <w:rsid w:val="004609E3"/>
    <w:rsid w:val="0046208D"/>
    <w:rsid w:val="00463260"/>
    <w:rsid w:val="00473CBC"/>
    <w:rsid w:val="004802CE"/>
    <w:rsid w:val="00480ACA"/>
    <w:rsid w:val="00481853"/>
    <w:rsid w:val="004854F8"/>
    <w:rsid w:val="0048688A"/>
    <w:rsid w:val="00486C0C"/>
    <w:rsid w:val="00490CAD"/>
    <w:rsid w:val="004966A8"/>
    <w:rsid w:val="004A00B6"/>
    <w:rsid w:val="004A05AC"/>
    <w:rsid w:val="004A0738"/>
    <w:rsid w:val="004A1B1D"/>
    <w:rsid w:val="004A44EE"/>
    <w:rsid w:val="004B0FE3"/>
    <w:rsid w:val="004B1372"/>
    <w:rsid w:val="004B1846"/>
    <w:rsid w:val="004B29DF"/>
    <w:rsid w:val="004B4AE4"/>
    <w:rsid w:val="004B73D9"/>
    <w:rsid w:val="004C2867"/>
    <w:rsid w:val="004C54B2"/>
    <w:rsid w:val="004D1812"/>
    <w:rsid w:val="004D1B48"/>
    <w:rsid w:val="004D52BB"/>
    <w:rsid w:val="004D6252"/>
    <w:rsid w:val="004E048C"/>
    <w:rsid w:val="004E1602"/>
    <w:rsid w:val="004E3DEE"/>
    <w:rsid w:val="004F038C"/>
    <w:rsid w:val="004F2284"/>
    <w:rsid w:val="004F69FF"/>
    <w:rsid w:val="0050006C"/>
    <w:rsid w:val="005019AB"/>
    <w:rsid w:val="005047E7"/>
    <w:rsid w:val="00504C03"/>
    <w:rsid w:val="00514A7C"/>
    <w:rsid w:val="00517193"/>
    <w:rsid w:val="0052422E"/>
    <w:rsid w:val="00524B72"/>
    <w:rsid w:val="005326C3"/>
    <w:rsid w:val="005366DC"/>
    <w:rsid w:val="00540421"/>
    <w:rsid w:val="00546825"/>
    <w:rsid w:val="0055177B"/>
    <w:rsid w:val="00551CC8"/>
    <w:rsid w:val="0055202E"/>
    <w:rsid w:val="00552556"/>
    <w:rsid w:val="00563561"/>
    <w:rsid w:val="00565072"/>
    <w:rsid w:val="0056541C"/>
    <w:rsid w:val="00580383"/>
    <w:rsid w:val="00587AA5"/>
    <w:rsid w:val="00587F1A"/>
    <w:rsid w:val="005905A3"/>
    <w:rsid w:val="0059205F"/>
    <w:rsid w:val="00592225"/>
    <w:rsid w:val="005A0569"/>
    <w:rsid w:val="005B2143"/>
    <w:rsid w:val="005C1586"/>
    <w:rsid w:val="005C7574"/>
    <w:rsid w:val="005D0107"/>
    <w:rsid w:val="005D0149"/>
    <w:rsid w:val="005D25B5"/>
    <w:rsid w:val="005D352C"/>
    <w:rsid w:val="005D5B75"/>
    <w:rsid w:val="005E0539"/>
    <w:rsid w:val="005E0612"/>
    <w:rsid w:val="005E07B1"/>
    <w:rsid w:val="005E1FEB"/>
    <w:rsid w:val="005E2BEE"/>
    <w:rsid w:val="005E71A4"/>
    <w:rsid w:val="005E7717"/>
    <w:rsid w:val="005E7BA6"/>
    <w:rsid w:val="005F079B"/>
    <w:rsid w:val="005F3D90"/>
    <w:rsid w:val="005F5A5B"/>
    <w:rsid w:val="006007E6"/>
    <w:rsid w:val="006015B9"/>
    <w:rsid w:val="006058F9"/>
    <w:rsid w:val="00605FB6"/>
    <w:rsid w:val="00606FBC"/>
    <w:rsid w:val="0060780D"/>
    <w:rsid w:val="00607C8C"/>
    <w:rsid w:val="006145E9"/>
    <w:rsid w:val="00615EA6"/>
    <w:rsid w:val="006164AD"/>
    <w:rsid w:val="00616F8D"/>
    <w:rsid w:val="0062063C"/>
    <w:rsid w:val="00631904"/>
    <w:rsid w:val="00631DB7"/>
    <w:rsid w:val="00633261"/>
    <w:rsid w:val="00636DCA"/>
    <w:rsid w:val="00640A95"/>
    <w:rsid w:val="00647B4C"/>
    <w:rsid w:val="0065307B"/>
    <w:rsid w:val="00657EB8"/>
    <w:rsid w:val="00664BB0"/>
    <w:rsid w:val="00664CCA"/>
    <w:rsid w:val="006655D9"/>
    <w:rsid w:val="00665B3E"/>
    <w:rsid w:val="0068361D"/>
    <w:rsid w:val="006838A8"/>
    <w:rsid w:val="00683CB4"/>
    <w:rsid w:val="0068478F"/>
    <w:rsid w:val="00685E15"/>
    <w:rsid w:val="0069067B"/>
    <w:rsid w:val="00690FF9"/>
    <w:rsid w:val="006A1D8A"/>
    <w:rsid w:val="006A3BE2"/>
    <w:rsid w:val="006A44BC"/>
    <w:rsid w:val="006A5B70"/>
    <w:rsid w:val="006B660A"/>
    <w:rsid w:val="006C1108"/>
    <w:rsid w:val="006C22CA"/>
    <w:rsid w:val="006C46F7"/>
    <w:rsid w:val="006C6E78"/>
    <w:rsid w:val="007009DF"/>
    <w:rsid w:val="0070337B"/>
    <w:rsid w:val="00704295"/>
    <w:rsid w:val="00704DD9"/>
    <w:rsid w:val="00706DBF"/>
    <w:rsid w:val="00706F05"/>
    <w:rsid w:val="00707C35"/>
    <w:rsid w:val="00721A85"/>
    <w:rsid w:val="00724485"/>
    <w:rsid w:val="007309FD"/>
    <w:rsid w:val="0073689D"/>
    <w:rsid w:val="00756B73"/>
    <w:rsid w:val="00763658"/>
    <w:rsid w:val="00782BFD"/>
    <w:rsid w:val="00786AD6"/>
    <w:rsid w:val="00792360"/>
    <w:rsid w:val="00792C79"/>
    <w:rsid w:val="007A1F59"/>
    <w:rsid w:val="007A75CB"/>
    <w:rsid w:val="007B21B1"/>
    <w:rsid w:val="007B240F"/>
    <w:rsid w:val="007B3E51"/>
    <w:rsid w:val="007B58AC"/>
    <w:rsid w:val="007B7638"/>
    <w:rsid w:val="007C4B4A"/>
    <w:rsid w:val="007D454A"/>
    <w:rsid w:val="007E022F"/>
    <w:rsid w:val="007E1255"/>
    <w:rsid w:val="007E3D61"/>
    <w:rsid w:val="007E5DAF"/>
    <w:rsid w:val="007E6F5F"/>
    <w:rsid w:val="00801CD5"/>
    <w:rsid w:val="00804053"/>
    <w:rsid w:val="00804E94"/>
    <w:rsid w:val="008063A8"/>
    <w:rsid w:val="00810E66"/>
    <w:rsid w:val="00825156"/>
    <w:rsid w:val="00825A8E"/>
    <w:rsid w:val="0083010B"/>
    <w:rsid w:val="008334E3"/>
    <w:rsid w:val="008366D7"/>
    <w:rsid w:val="00836B6B"/>
    <w:rsid w:val="00836F0E"/>
    <w:rsid w:val="00841214"/>
    <w:rsid w:val="00841B93"/>
    <w:rsid w:val="00847DF1"/>
    <w:rsid w:val="00850EA3"/>
    <w:rsid w:val="00857156"/>
    <w:rsid w:val="008608EF"/>
    <w:rsid w:val="00860C04"/>
    <w:rsid w:val="00863EC1"/>
    <w:rsid w:val="00866EF7"/>
    <w:rsid w:val="00871556"/>
    <w:rsid w:val="00874770"/>
    <w:rsid w:val="00881D8E"/>
    <w:rsid w:val="00882664"/>
    <w:rsid w:val="00890005"/>
    <w:rsid w:val="008926D9"/>
    <w:rsid w:val="00893FAD"/>
    <w:rsid w:val="008A1C95"/>
    <w:rsid w:val="008A3542"/>
    <w:rsid w:val="008A3B26"/>
    <w:rsid w:val="008A7EB0"/>
    <w:rsid w:val="008B421F"/>
    <w:rsid w:val="008B5734"/>
    <w:rsid w:val="008B75EA"/>
    <w:rsid w:val="008D2A19"/>
    <w:rsid w:val="008D3B5E"/>
    <w:rsid w:val="008D4E1E"/>
    <w:rsid w:val="008D7891"/>
    <w:rsid w:val="008E3969"/>
    <w:rsid w:val="008E5293"/>
    <w:rsid w:val="008F673D"/>
    <w:rsid w:val="00901D27"/>
    <w:rsid w:val="00902A22"/>
    <w:rsid w:val="00906EFA"/>
    <w:rsid w:val="0091122D"/>
    <w:rsid w:val="00913169"/>
    <w:rsid w:val="009170E9"/>
    <w:rsid w:val="00917DD1"/>
    <w:rsid w:val="00917E58"/>
    <w:rsid w:val="00921EF4"/>
    <w:rsid w:val="009235D8"/>
    <w:rsid w:val="00923AA1"/>
    <w:rsid w:val="009270C4"/>
    <w:rsid w:val="009308AD"/>
    <w:rsid w:val="0093135B"/>
    <w:rsid w:val="009358F9"/>
    <w:rsid w:val="00941838"/>
    <w:rsid w:val="0094690F"/>
    <w:rsid w:val="00950612"/>
    <w:rsid w:val="00951BA9"/>
    <w:rsid w:val="0095347D"/>
    <w:rsid w:val="00961420"/>
    <w:rsid w:val="009625F0"/>
    <w:rsid w:val="00963193"/>
    <w:rsid w:val="00963263"/>
    <w:rsid w:val="00970C0A"/>
    <w:rsid w:val="00971C7E"/>
    <w:rsid w:val="009732C1"/>
    <w:rsid w:val="00973D0A"/>
    <w:rsid w:val="009749AD"/>
    <w:rsid w:val="00976542"/>
    <w:rsid w:val="00976D5F"/>
    <w:rsid w:val="009804C9"/>
    <w:rsid w:val="0098712F"/>
    <w:rsid w:val="0099231A"/>
    <w:rsid w:val="009A0E68"/>
    <w:rsid w:val="009A2860"/>
    <w:rsid w:val="009B41D6"/>
    <w:rsid w:val="009B5EA5"/>
    <w:rsid w:val="009C755A"/>
    <w:rsid w:val="009D2FDC"/>
    <w:rsid w:val="009D4534"/>
    <w:rsid w:val="009D46DB"/>
    <w:rsid w:val="009D7742"/>
    <w:rsid w:val="009E08BF"/>
    <w:rsid w:val="009E6597"/>
    <w:rsid w:val="009E7BA3"/>
    <w:rsid w:val="009E7BC2"/>
    <w:rsid w:val="009F38AD"/>
    <w:rsid w:val="009F6577"/>
    <w:rsid w:val="009F7038"/>
    <w:rsid w:val="00A011D8"/>
    <w:rsid w:val="00A0493E"/>
    <w:rsid w:val="00A05CC3"/>
    <w:rsid w:val="00A0604C"/>
    <w:rsid w:val="00A07F75"/>
    <w:rsid w:val="00A11D76"/>
    <w:rsid w:val="00A147DB"/>
    <w:rsid w:val="00A22421"/>
    <w:rsid w:val="00A22DA4"/>
    <w:rsid w:val="00A31D6D"/>
    <w:rsid w:val="00A41769"/>
    <w:rsid w:val="00A507D2"/>
    <w:rsid w:val="00A51E75"/>
    <w:rsid w:val="00A54692"/>
    <w:rsid w:val="00A5615E"/>
    <w:rsid w:val="00A56BA1"/>
    <w:rsid w:val="00A577C4"/>
    <w:rsid w:val="00A71080"/>
    <w:rsid w:val="00A72C30"/>
    <w:rsid w:val="00A759DA"/>
    <w:rsid w:val="00A80700"/>
    <w:rsid w:val="00A84953"/>
    <w:rsid w:val="00A92029"/>
    <w:rsid w:val="00A93928"/>
    <w:rsid w:val="00A9652D"/>
    <w:rsid w:val="00A97EA4"/>
    <w:rsid w:val="00AA29EB"/>
    <w:rsid w:val="00AB0F6C"/>
    <w:rsid w:val="00AB1B5A"/>
    <w:rsid w:val="00AB56DB"/>
    <w:rsid w:val="00AC6B30"/>
    <w:rsid w:val="00AC7BD6"/>
    <w:rsid w:val="00AD3CE6"/>
    <w:rsid w:val="00AD55DF"/>
    <w:rsid w:val="00AD662D"/>
    <w:rsid w:val="00AD6A05"/>
    <w:rsid w:val="00AE0399"/>
    <w:rsid w:val="00AE081C"/>
    <w:rsid w:val="00AE2B33"/>
    <w:rsid w:val="00B043FB"/>
    <w:rsid w:val="00B04AD8"/>
    <w:rsid w:val="00B14A12"/>
    <w:rsid w:val="00B1614D"/>
    <w:rsid w:val="00B22592"/>
    <w:rsid w:val="00B31625"/>
    <w:rsid w:val="00B3266D"/>
    <w:rsid w:val="00B33989"/>
    <w:rsid w:val="00B34759"/>
    <w:rsid w:val="00B351B4"/>
    <w:rsid w:val="00B37A8F"/>
    <w:rsid w:val="00B4171B"/>
    <w:rsid w:val="00B474DA"/>
    <w:rsid w:val="00B476F7"/>
    <w:rsid w:val="00B47C36"/>
    <w:rsid w:val="00B50983"/>
    <w:rsid w:val="00B73880"/>
    <w:rsid w:val="00B86BC9"/>
    <w:rsid w:val="00B914B0"/>
    <w:rsid w:val="00B927B3"/>
    <w:rsid w:val="00B939D2"/>
    <w:rsid w:val="00B94548"/>
    <w:rsid w:val="00B953A5"/>
    <w:rsid w:val="00B96DDA"/>
    <w:rsid w:val="00BA0684"/>
    <w:rsid w:val="00BB0B79"/>
    <w:rsid w:val="00BB3583"/>
    <w:rsid w:val="00BB3D17"/>
    <w:rsid w:val="00BC0A07"/>
    <w:rsid w:val="00BC3131"/>
    <w:rsid w:val="00BC4CAC"/>
    <w:rsid w:val="00BC5CB6"/>
    <w:rsid w:val="00BD0179"/>
    <w:rsid w:val="00BD30AE"/>
    <w:rsid w:val="00BD74B3"/>
    <w:rsid w:val="00BE23AA"/>
    <w:rsid w:val="00BE70A6"/>
    <w:rsid w:val="00BE716D"/>
    <w:rsid w:val="00BF0C66"/>
    <w:rsid w:val="00BF0E15"/>
    <w:rsid w:val="00BF12A4"/>
    <w:rsid w:val="00C012D3"/>
    <w:rsid w:val="00C03B5E"/>
    <w:rsid w:val="00C04947"/>
    <w:rsid w:val="00C06435"/>
    <w:rsid w:val="00C07740"/>
    <w:rsid w:val="00C134D7"/>
    <w:rsid w:val="00C1497C"/>
    <w:rsid w:val="00C20620"/>
    <w:rsid w:val="00C20D31"/>
    <w:rsid w:val="00C2124C"/>
    <w:rsid w:val="00C42CFD"/>
    <w:rsid w:val="00C46670"/>
    <w:rsid w:val="00C513FA"/>
    <w:rsid w:val="00C60090"/>
    <w:rsid w:val="00C605A8"/>
    <w:rsid w:val="00C62011"/>
    <w:rsid w:val="00C63EDE"/>
    <w:rsid w:val="00C66B14"/>
    <w:rsid w:val="00C73C21"/>
    <w:rsid w:val="00C744CE"/>
    <w:rsid w:val="00C80386"/>
    <w:rsid w:val="00C84ECA"/>
    <w:rsid w:val="00C95C05"/>
    <w:rsid w:val="00CA62A0"/>
    <w:rsid w:val="00CA6352"/>
    <w:rsid w:val="00CA7740"/>
    <w:rsid w:val="00CC40D5"/>
    <w:rsid w:val="00CC77DC"/>
    <w:rsid w:val="00CD4124"/>
    <w:rsid w:val="00CE1EC6"/>
    <w:rsid w:val="00CE1FA7"/>
    <w:rsid w:val="00CE7399"/>
    <w:rsid w:val="00CF4048"/>
    <w:rsid w:val="00D01563"/>
    <w:rsid w:val="00D01612"/>
    <w:rsid w:val="00D03F99"/>
    <w:rsid w:val="00D0436F"/>
    <w:rsid w:val="00D1371E"/>
    <w:rsid w:val="00D1491E"/>
    <w:rsid w:val="00D20A2E"/>
    <w:rsid w:val="00D23790"/>
    <w:rsid w:val="00D34CFE"/>
    <w:rsid w:val="00D357EA"/>
    <w:rsid w:val="00D35DD7"/>
    <w:rsid w:val="00D36668"/>
    <w:rsid w:val="00D40F81"/>
    <w:rsid w:val="00D42A25"/>
    <w:rsid w:val="00D463E3"/>
    <w:rsid w:val="00D50772"/>
    <w:rsid w:val="00D52971"/>
    <w:rsid w:val="00D55707"/>
    <w:rsid w:val="00D55800"/>
    <w:rsid w:val="00D569EF"/>
    <w:rsid w:val="00D67A75"/>
    <w:rsid w:val="00D72414"/>
    <w:rsid w:val="00D738A1"/>
    <w:rsid w:val="00D7565D"/>
    <w:rsid w:val="00D75BC8"/>
    <w:rsid w:val="00D76C89"/>
    <w:rsid w:val="00D801A1"/>
    <w:rsid w:val="00D85B93"/>
    <w:rsid w:val="00D94AAD"/>
    <w:rsid w:val="00DA0869"/>
    <w:rsid w:val="00DA2183"/>
    <w:rsid w:val="00DA5740"/>
    <w:rsid w:val="00DB2DD5"/>
    <w:rsid w:val="00DC3F78"/>
    <w:rsid w:val="00DC7D0C"/>
    <w:rsid w:val="00DD6B2E"/>
    <w:rsid w:val="00DE1286"/>
    <w:rsid w:val="00DE1D7F"/>
    <w:rsid w:val="00DE71E5"/>
    <w:rsid w:val="00DF0528"/>
    <w:rsid w:val="00DF1765"/>
    <w:rsid w:val="00DF4383"/>
    <w:rsid w:val="00DF4395"/>
    <w:rsid w:val="00DF50C6"/>
    <w:rsid w:val="00E0036E"/>
    <w:rsid w:val="00E006C3"/>
    <w:rsid w:val="00E01BDB"/>
    <w:rsid w:val="00E07A84"/>
    <w:rsid w:val="00E126DC"/>
    <w:rsid w:val="00E16666"/>
    <w:rsid w:val="00E206C7"/>
    <w:rsid w:val="00E20B17"/>
    <w:rsid w:val="00E23848"/>
    <w:rsid w:val="00E407FE"/>
    <w:rsid w:val="00E40D14"/>
    <w:rsid w:val="00E44497"/>
    <w:rsid w:val="00E44C44"/>
    <w:rsid w:val="00E44C6E"/>
    <w:rsid w:val="00E50A6F"/>
    <w:rsid w:val="00E546F1"/>
    <w:rsid w:val="00E5740D"/>
    <w:rsid w:val="00E633B6"/>
    <w:rsid w:val="00E6685F"/>
    <w:rsid w:val="00E672D2"/>
    <w:rsid w:val="00E7204D"/>
    <w:rsid w:val="00E72EFE"/>
    <w:rsid w:val="00E80C5C"/>
    <w:rsid w:val="00E929AC"/>
    <w:rsid w:val="00E96449"/>
    <w:rsid w:val="00E96748"/>
    <w:rsid w:val="00E96DE2"/>
    <w:rsid w:val="00EB7133"/>
    <w:rsid w:val="00EB7549"/>
    <w:rsid w:val="00EC050E"/>
    <w:rsid w:val="00ED04CC"/>
    <w:rsid w:val="00ED1988"/>
    <w:rsid w:val="00ED4A46"/>
    <w:rsid w:val="00EE267C"/>
    <w:rsid w:val="00EE2F7B"/>
    <w:rsid w:val="00EE4E6D"/>
    <w:rsid w:val="00EE7BC0"/>
    <w:rsid w:val="00EF0794"/>
    <w:rsid w:val="00EF1E58"/>
    <w:rsid w:val="00EF5E1F"/>
    <w:rsid w:val="00F00841"/>
    <w:rsid w:val="00F16AD8"/>
    <w:rsid w:val="00F226FE"/>
    <w:rsid w:val="00F24BD1"/>
    <w:rsid w:val="00F32CA9"/>
    <w:rsid w:val="00F3344E"/>
    <w:rsid w:val="00F34D3D"/>
    <w:rsid w:val="00F45F50"/>
    <w:rsid w:val="00F46028"/>
    <w:rsid w:val="00F46ACC"/>
    <w:rsid w:val="00F62A62"/>
    <w:rsid w:val="00F708D9"/>
    <w:rsid w:val="00F70CDD"/>
    <w:rsid w:val="00F711D8"/>
    <w:rsid w:val="00F716B2"/>
    <w:rsid w:val="00F71898"/>
    <w:rsid w:val="00F72ECE"/>
    <w:rsid w:val="00F77DC4"/>
    <w:rsid w:val="00F86B7E"/>
    <w:rsid w:val="00F97F9A"/>
    <w:rsid w:val="00FA0E9C"/>
    <w:rsid w:val="00FB63F3"/>
    <w:rsid w:val="00FC6FF5"/>
    <w:rsid w:val="00FC7F29"/>
    <w:rsid w:val="00FD0D31"/>
    <w:rsid w:val="00FD10AE"/>
    <w:rsid w:val="00FD291A"/>
    <w:rsid w:val="00FD4F98"/>
    <w:rsid w:val="00FD6DC2"/>
    <w:rsid w:val="00FD71E0"/>
    <w:rsid w:val="00FF39DF"/>
    <w:rsid w:val="00FF6F9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14:docId w14:val="4024F914"/>
  <w15:chartTrackingRefBased/>
  <w15:docId w15:val="{6628D31B-B9C8-4C8F-82B6-7B3C091DC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CB0"/>
  </w:style>
  <w:style w:type="paragraph" w:styleId="Heading1">
    <w:name w:val="heading 1"/>
    <w:basedOn w:val="Normal"/>
    <w:next w:val="Normal"/>
    <w:link w:val="Heading1Char"/>
    <w:uiPriority w:val="9"/>
    <w:qFormat/>
    <w:rsid w:val="007E12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12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12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12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12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12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12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12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12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ParaFont">
    <w:name w:val="CV Para Font"/>
    <w:qFormat/>
    <w:rsid w:val="004F69FF"/>
    <w:pPr>
      <w:spacing w:after="120"/>
    </w:pPr>
    <w:rPr>
      <w:rFonts w:ascii="Tahoma" w:hAnsi="Tahoma"/>
      <w:sz w:val="20"/>
    </w:rPr>
  </w:style>
  <w:style w:type="paragraph" w:customStyle="1" w:styleId="CVH1Font">
    <w:name w:val="CV H1 Font"/>
    <w:basedOn w:val="CVParaFont"/>
    <w:next w:val="CVParaFont"/>
    <w:qFormat/>
    <w:rsid w:val="004F69FF"/>
    <w:pPr>
      <w:spacing w:after="240"/>
    </w:pPr>
    <w:rPr>
      <w:b/>
      <w:sz w:val="40"/>
    </w:rPr>
  </w:style>
  <w:style w:type="paragraph" w:customStyle="1" w:styleId="CVH2Font">
    <w:name w:val="CV H2 Font"/>
    <w:basedOn w:val="CVH1Font"/>
    <w:next w:val="CVParaFont"/>
    <w:qFormat/>
    <w:rsid w:val="00274CB0"/>
    <w:rPr>
      <w:sz w:val="32"/>
    </w:rPr>
  </w:style>
  <w:style w:type="paragraph" w:customStyle="1" w:styleId="CVH3Font">
    <w:name w:val="CV H3 Font"/>
    <w:basedOn w:val="CVH2Font"/>
    <w:next w:val="CVParaFont"/>
    <w:qFormat/>
    <w:rsid w:val="00274CB0"/>
    <w:rPr>
      <w:b w:val="0"/>
      <w:sz w:val="28"/>
    </w:rPr>
  </w:style>
  <w:style w:type="paragraph" w:customStyle="1" w:styleId="CVH4Font">
    <w:name w:val="CV H4 Font"/>
    <w:basedOn w:val="CVH3Font"/>
    <w:next w:val="CVParaFont"/>
    <w:qFormat/>
    <w:rsid w:val="00274CB0"/>
    <w:rPr>
      <w:i/>
      <w:sz w:val="24"/>
    </w:rPr>
  </w:style>
  <w:style w:type="character" w:customStyle="1" w:styleId="Heading1Char">
    <w:name w:val="Heading 1 Char"/>
    <w:basedOn w:val="DefaultParagraphFont"/>
    <w:link w:val="Heading1"/>
    <w:uiPriority w:val="9"/>
    <w:rsid w:val="007E12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12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12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12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12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12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12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12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1255"/>
    <w:rPr>
      <w:rFonts w:eastAsiaTheme="majorEastAsia" w:cstheme="majorBidi"/>
      <w:color w:val="272727" w:themeColor="text1" w:themeTint="D8"/>
    </w:rPr>
  </w:style>
  <w:style w:type="paragraph" w:styleId="Title">
    <w:name w:val="Title"/>
    <w:basedOn w:val="Normal"/>
    <w:next w:val="Normal"/>
    <w:link w:val="TitleChar"/>
    <w:uiPriority w:val="10"/>
    <w:qFormat/>
    <w:rsid w:val="007E12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2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2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12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1255"/>
    <w:pPr>
      <w:spacing w:before="160"/>
      <w:jc w:val="center"/>
    </w:pPr>
    <w:rPr>
      <w:i/>
      <w:iCs/>
      <w:color w:val="404040" w:themeColor="text1" w:themeTint="BF"/>
    </w:rPr>
  </w:style>
  <w:style w:type="character" w:customStyle="1" w:styleId="QuoteChar">
    <w:name w:val="Quote Char"/>
    <w:basedOn w:val="DefaultParagraphFont"/>
    <w:link w:val="Quote"/>
    <w:uiPriority w:val="29"/>
    <w:rsid w:val="007E1255"/>
    <w:rPr>
      <w:i/>
      <w:iCs/>
      <w:color w:val="404040" w:themeColor="text1" w:themeTint="BF"/>
    </w:rPr>
  </w:style>
  <w:style w:type="paragraph" w:styleId="ListParagraph">
    <w:name w:val="List Paragraph"/>
    <w:basedOn w:val="Normal"/>
    <w:uiPriority w:val="34"/>
    <w:qFormat/>
    <w:rsid w:val="007E1255"/>
    <w:pPr>
      <w:ind w:left="720"/>
      <w:contextualSpacing/>
    </w:pPr>
  </w:style>
  <w:style w:type="character" w:styleId="IntenseEmphasis">
    <w:name w:val="Intense Emphasis"/>
    <w:basedOn w:val="DefaultParagraphFont"/>
    <w:uiPriority w:val="21"/>
    <w:qFormat/>
    <w:rsid w:val="007E1255"/>
    <w:rPr>
      <w:i/>
      <w:iCs/>
      <w:color w:val="0F4761" w:themeColor="accent1" w:themeShade="BF"/>
    </w:rPr>
  </w:style>
  <w:style w:type="paragraph" w:styleId="IntenseQuote">
    <w:name w:val="Intense Quote"/>
    <w:basedOn w:val="Normal"/>
    <w:next w:val="Normal"/>
    <w:link w:val="IntenseQuoteChar"/>
    <w:uiPriority w:val="30"/>
    <w:qFormat/>
    <w:rsid w:val="007E12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1255"/>
    <w:rPr>
      <w:i/>
      <w:iCs/>
      <w:color w:val="0F4761" w:themeColor="accent1" w:themeShade="BF"/>
    </w:rPr>
  </w:style>
  <w:style w:type="character" w:styleId="IntenseReference">
    <w:name w:val="Intense Reference"/>
    <w:basedOn w:val="DefaultParagraphFont"/>
    <w:uiPriority w:val="32"/>
    <w:qFormat/>
    <w:rsid w:val="007E1255"/>
    <w:rPr>
      <w:b/>
      <w:bCs/>
      <w:smallCaps/>
      <w:color w:val="0F4761" w:themeColor="accent1" w:themeShade="BF"/>
      <w:spacing w:val="5"/>
    </w:rPr>
  </w:style>
  <w:style w:type="character" w:styleId="PlaceholderText">
    <w:name w:val="Placeholder Text"/>
    <w:basedOn w:val="DefaultParagraphFont"/>
    <w:uiPriority w:val="99"/>
    <w:semiHidden/>
    <w:rsid w:val="00126225"/>
    <w:rPr>
      <w:color w:val="666666"/>
    </w:rPr>
  </w:style>
  <w:style w:type="paragraph" w:styleId="Caption">
    <w:name w:val="caption"/>
    <w:basedOn w:val="Normal"/>
    <w:next w:val="Normal"/>
    <w:uiPriority w:val="35"/>
    <w:unhideWhenUsed/>
    <w:qFormat/>
    <w:rsid w:val="009804C9"/>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7E5DAF"/>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1485</TotalTime>
  <Pages>11</Pages>
  <Words>9818</Words>
  <Characters>54888</Characters>
  <Application>Microsoft Office Word</Application>
  <DocSecurity>0</DocSecurity>
  <Lines>795</Lines>
  <Paragraphs>247</Paragraphs>
  <ScaleCrop>false</ScaleCrop>
  <Company/>
  <LinksUpToDate>false</LinksUpToDate>
  <CharactersWithSpaces>64459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Spencer</dc:creator>
  <cp:keywords/>
  <dc:description/>
  <cp:lastModifiedBy>Will Spencer</cp:lastModifiedBy>
  <cp:revision>647</cp:revision>
  <dcterms:created xsi:type="dcterms:W3CDTF">2024-10-13T12:23:00Z</dcterms:created>
  <dcterms:modified xsi:type="dcterms:W3CDTF">2024-10-28T00:57:00Z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id="PFklJaxM"/&gt;&lt;style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