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55.png" ContentType="image/png"/>
  <Override PartName="/word/media/rId58.png" ContentType="image/png"/>
  <Override PartName="/word/media/rId6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Paying</w:t>
      </w:r>
      <w:r>
        <w:t xml:space="preserve"> </w:t>
      </w:r>
      <w:r>
        <w:t xml:space="preserve">colonization</w:t>
      </w:r>
      <w:r>
        <w:t xml:space="preserve"> </w:t>
      </w:r>
      <w:r>
        <w:t xml:space="preserve">credit</w:t>
      </w:r>
      <w:r>
        <w:t xml:space="preserve"> </w:t>
      </w:r>
      <w:r>
        <w:t xml:space="preserve">with</w:t>
      </w:r>
      <w:r>
        <w:t xml:space="preserve"> </w:t>
      </w:r>
      <w:r>
        <w:t xml:space="preserve">forest</w:t>
      </w:r>
      <w:r>
        <w:t xml:space="preserve"> </w:t>
      </w:r>
      <w:r>
        <w:t xml:space="preserve">management</w:t>
      </w:r>
      <w:r>
        <w:t xml:space="preserve"> </w:t>
      </w:r>
      <w:r>
        <w:t xml:space="preserve">could</w:t>
      </w:r>
      <w:r>
        <w:t xml:space="preserve"> </w:t>
      </w:r>
      <w:r>
        <w:t xml:space="preserve">accelerate</w:t>
      </w:r>
      <w:r>
        <w:t xml:space="preserve"> </w:t>
      </w:r>
      <w:r>
        <w:t xml:space="preserve">northward</w:t>
      </w:r>
      <w:r>
        <w:t xml:space="preserve"> </w:t>
      </w:r>
      <w:r>
        <w:t xml:space="preserve">range</w:t>
      </w:r>
      <w:r>
        <w:t xml:space="preserve"> </w:t>
      </w:r>
      <w:r>
        <w:t xml:space="preserve">shift</w:t>
      </w:r>
      <w:r>
        <w:t xml:space="preserve"> </w:t>
      </w:r>
      <w:r>
        <w:t xml:space="preserve">of</w:t>
      </w:r>
      <w:r>
        <w:t xml:space="preserve"> </w:t>
      </w:r>
      <w:r>
        <w:t xml:space="preserve">temperate</w:t>
      </w:r>
      <w:r>
        <w:t xml:space="preserve"> </w:t>
      </w:r>
      <w:r>
        <w:t xml:space="preserve">trees</w:t>
      </w:r>
    </w:p>
    <w:p>
      <w:pPr>
        <w:pStyle w:val="Author"/>
      </w:pPr>
      <w:r>
        <w:t xml:space="preserve">Willian Vieira</w:t>
      </w:r>
      <w:r>
        <w:rPr>
          <w:vertAlign w:val="superscript"/>
        </w:rPr>
        <w:t xml:space="preserve">1,2,*</w:t>
      </w:r>
      <w:r>
        <w:t xml:space="preserve">,</w:t>
      </w:r>
      <w:r>
        <w:t xml:space="preserve"> </w:t>
      </w:r>
      <w:r>
        <w:t xml:space="preserve">Isabelle Boulangeat</w:t>
      </w:r>
      <w:r>
        <w:rPr>
          <w:vertAlign w:val="superscript"/>
        </w:rPr>
        <w:t xml:space="preserve">3</w:t>
      </w:r>
      <w:r>
        <w:t xml:space="preserve">,</w:t>
      </w:r>
      <w:r>
        <w:t xml:space="preserve"> </w:t>
      </w:r>
      <w:r>
        <w:t xml:space="preserve">Marie-Hélène Brice</w:t>
      </w:r>
      <w:r>
        <w:rPr>
          <w:vertAlign w:val="superscript"/>
        </w:rPr>
        <w:t xml:space="preserve">4,2</w:t>
      </w:r>
      <w:r>
        <w:t xml:space="preserve">,</w:t>
      </w:r>
      <w:r>
        <w:t xml:space="preserve"> </w:t>
      </w:r>
      <w:r>
        <w:t xml:space="preserve">Robert</w:t>
      </w:r>
      <w:r>
        <w:t xml:space="preserve"> </w:t>
      </w:r>
      <w:r>
        <w:t xml:space="preserve">L. Bradley</w:t>
      </w:r>
      <w:r>
        <w:rPr>
          <w:vertAlign w:val="superscript"/>
        </w:rPr>
        <w:t xml:space="preserve">1,5</w:t>
      </w:r>
      <w:r>
        <w:t xml:space="preserve">,</w:t>
      </w:r>
      <w:r>
        <w:t xml:space="preserve"> </w:t>
      </w:r>
      <w:r>
        <w:t xml:space="preserve">Dominique Gravel</w:t>
      </w:r>
      <w:r>
        <w:rPr>
          <w:vertAlign w:val="superscript"/>
        </w:rPr>
        <w:t xml:space="preserve">1,2</w:t>
      </w:r>
      <w:r>
        <w:br/>
      </w:r>
      <w:r>
        <w:br/>
      </w:r>
      <w:r>
        <w:rPr>
          <w:vertAlign w:val="superscript"/>
        </w:rPr>
        <w:t xml:space="preserve">1</w:t>
      </w:r>
      <w:r>
        <w:t xml:space="preserve"> </w:t>
      </w:r>
      <w:r>
        <w:rPr>
          <w:i/>
        </w:rPr>
        <w:t xml:space="preserve">Département</w:t>
      </w:r>
      <w:r>
        <w:rPr>
          <w:i/>
        </w:rPr>
        <w:t xml:space="preserve"> </w:t>
      </w:r>
      <w:r>
        <w:rPr>
          <w:i/>
        </w:rPr>
        <w:t xml:space="preserve">de</w:t>
      </w:r>
      <w:r>
        <w:rPr>
          <w:i/>
        </w:rPr>
        <w:t xml:space="preserve"> </w:t>
      </w:r>
      <w:r>
        <w:rPr>
          <w:i/>
        </w:rPr>
        <w:t xml:space="preserve">biologie,</w:t>
      </w:r>
      <w:r>
        <w:rPr>
          <w:i/>
        </w:rPr>
        <w:t xml:space="preserve"> </w:t>
      </w:r>
      <w:r>
        <w:rPr>
          <w:i/>
        </w:rPr>
        <w:t xml:space="preserve">Université</w:t>
      </w:r>
      <w:r>
        <w:rPr>
          <w:i/>
        </w:rPr>
        <w:t xml:space="preserve"> </w:t>
      </w:r>
      <w:r>
        <w:rPr>
          <w:i/>
        </w:rPr>
        <w:t xml:space="preserve">de</w:t>
      </w:r>
      <w:r>
        <w:rPr>
          <w:i/>
        </w:rPr>
        <w:t xml:space="preserve"> </w:t>
      </w:r>
      <w:r>
        <w:rPr>
          <w:i/>
        </w:rPr>
        <w:t xml:space="preserve">Sherbrooke,</w:t>
      </w:r>
      <w:r>
        <w:rPr>
          <w:i/>
        </w:rPr>
        <w:t xml:space="preserve"> </w:t>
      </w:r>
      <w:r>
        <w:rPr>
          <w:i/>
        </w:rPr>
        <w:t xml:space="preserve">Sherbrooke,</w:t>
      </w:r>
      <w:r>
        <w:rPr>
          <w:i/>
        </w:rPr>
        <w:t xml:space="preserve"> </w:t>
      </w:r>
      <w:r>
        <w:rPr>
          <w:i/>
        </w:rPr>
        <w:t xml:space="preserve">Québec,</w:t>
      </w:r>
      <w:r>
        <w:rPr>
          <w:i/>
        </w:rPr>
        <w:t xml:space="preserve"> </w:t>
      </w:r>
      <w:r>
        <w:rPr>
          <w:i/>
        </w:rPr>
        <w:t xml:space="preserve">Canada</w:t>
      </w:r>
      <w:r>
        <w:br/>
      </w:r>
      <w:r>
        <w:rPr>
          <w:vertAlign w:val="superscript"/>
        </w:rPr>
        <w:t xml:space="preserve">2</w:t>
      </w:r>
      <w:r>
        <w:t xml:space="preserve"> </w:t>
      </w:r>
      <w:r>
        <w:rPr>
          <w:i/>
        </w:rPr>
        <w:t xml:space="preserve">Québec</w:t>
      </w:r>
      <w:r>
        <w:rPr>
          <w:i/>
        </w:rPr>
        <w:t xml:space="preserve"> </w:t>
      </w:r>
      <w:r>
        <w:rPr>
          <w:i/>
        </w:rPr>
        <w:t xml:space="preserve">Centre</w:t>
      </w:r>
      <w:r>
        <w:rPr>
          <w:i/>
        </w:rPr>
        <w:t xml:space="preserve"> </w:t>
      </w:r>
      <w:r>
        <w:rPr>
          <w:i/>
        </w:rPr>
        <w:t xml:space="preserve">for</w:t>
      </w:r>
      <w:r>
        <w:rPr>
          <w:i/>
        </w:rPr>
        <w:t xml:space="preserve"> </w:t>
      </w:r>
      <w:r>
        <w:rPr>
          <w:i/>
        </w:rPr>
        <w:t xml:space="preserve">Biodiversity</w:t>
      </w:r>
      <w:r>
        <w:rPr>
          <w:i/>
        </w:rPr>
        <w:t xml:space="preserve"> </w:t>
      </w:r>
      <w:r>
        <w:rPr>
          <w:i/>
        </w:rPr>
        <w:t xml:space="preserve">Sciences,</w:t>
      </w:r>
      <w:r>
        <w:rPr>
          <w:i/>
        </w:rPr>
        <w:t xml:space="preserve"> </w:t>
      </w:r>
      <w:r>
        <w:rPr>
          <w:i/>
        </w:rPr>
        <w:t xml:space="preserve">McGill</w:t>
      </w:r>
      <w:r>
        <w:rPr>
          <w:i/>
        </w:rPr>
        <w:t xml:space="preserve"> </w:t>
      </w:r>
      <w:r>
        <w:rPr>
          <w:i/>
        </w:rPr>
        <w:t xml:space="preserve">University,</w:t>
      </w:r>
      <w:r>
        <w:rPr>
          <w:i/>
        </w:rPr>
        <w:t xml:space="preserve"> </w:t>
      </w:r>
      <w:r>
        <w:rPr>
          <w:i/>
        </w:rPr>
        <w:t xml:space="preserve">Montréal,</w:t>
      </w:r>
      <w:r>
        <w:rPr>
          <w:i/>
        </w:rPr>
        <w:t xml:space="preserve"> </w:t>
      </w:r>
      <w:r>
        <w:rPr>
          <w:i/>
        </w:rPr>
        <w:t xml:space="preserve">Québec,</w:t>
      </w:r>
      <w:r>
        <w:rPr>
          <w:i/>
        </w:rPr>
        <w:t xml:space="preserve"> </w:t>
      </w:r>
      <w:r>
        <w:rPr>
          <w:i/>
        </w:rPr>
        <w:t xml:space="preserve">Canada</w:t>
      </w:r>
      <w:r>
        <w:br/>
      </w:r>
      <w:r>
        <w:rPr>
          <w:vertAlign w:val="superscript"/>
        </w:rPr>
        <w:t xml:space="preserve">3</w:t>
      </w:r>
      <w:r>
        <w:t xml:space="preserve"> </w:t>
      </w:r>
      <w:r>
        <w:rPr>
          <w:i/>
        </w:rPr>
        <w:t xml:space="preserve">Université</w:t>
      </w:r>
      <w:r>
        <w:rPr>
          <w:i/>
        </w:rPr>
        <w:t xml:space="preserve"> </w:t>
      </w:r>
      <w:r>
        <w:rPr>
          <w:i/>
        </w:rPr>
        <w:t xml:space="preserve">Grenoble</w:t>
      </w:r>
      <w:r>
        <w:rPr>
          <w:i/>
        </w:rPr>
        <w:t xml:space="preserve"> </w:t>
      </w:r>
      <w:r>
        <w:rPr>
          <w:i/>
        </w:rPr>
        <w:t xml:space="preserve">Alpes,</w:t>
      </w:r>
      <w:r>
        <w:rPr>
          <w:i/>
        </w:rPr>
        <w:t xml:space="preserve"> </w:t>
      </w:r>
      <w:r>
        <w:rPr>
          <w:i/>
        </w:rPr>
        <w:t xml:space="preserve">INRAE,</w:t>
      </w:r>
      <w:r>
        <w:rPr>
          <w:i/>
        </w:rPr>
        <w:t xml:space="preserve"> </w:t>
      </w:r>
      <w:r>
        <w:rPr>
          <w:i/>
        </w:rPr>
        <w:t xml:space="preserve">LESSEM,</w:t>
      </w:r>
      <w:r>
        <w:rPr>
          <w:i/>
        </w:rPr>
        <w:t xml:space="preserve"> </w:t>
      </w:r>
      <w:r>
        <w:rPr>
          <w:i/>
        </w:rPr>
        <w:t xml:space="preserve">St-Martin-d’Hères,</w:t>
      </w:r>
      <w:r>
        <w:rPr>
          <w:i/>
        </w:rPr>
        <w:t xml:space="preserve"> </w:t>
      </w:r>
      <w:r>
        <w:rPr>
          <w:i/>
        </w:rPr>
        <w:t xml:space="preserve">France</w:t>
      </w:r>
      <w:r>
        <w:br/>
      </w:r>
      <w:r>
        <w:rPr>
          <w:vertAlign w:val="superscript"/>
        </w:rPr>
        <w:t xml:space="preserve">4</w:t>
      </w:r>
      <w:r>
        <w:t xml:space="preserve"> </w:t>
      </w:r>
      <w:r>
        <w:rPr>
          <w:i/>
        </w:rPr>
        <w:t xml:space="preserve">Département</w:t>
      </w:r>
      <w:r>
        <w:rPr>
          <w:i/>
        </w:rPr>
        <w:t xml:space="preserve"> </w:t>
      </w:r>
      <w:r>
        <w:rPr>
          <w:i/>
        </w:rPr>
        <w:t xml:space="preserve">de</w:t>
      </w:r>
      <w:r>
        <w:rPr>
          <w:i/>
        </w:rPr>
        <w:t xml:space="preserve"> </w:t>
      </w:r>
      <w:r>
        <w:rPr>
          <w:i/>
        </w:rPr>
        <w:t xml:space="preserve">Sciences</w:t>
      </w:r>
      <w:r>
        <w:rPr>
          <w:i/>
        </w:rPr>
        <w:t xml:space="preserve"> </w:t>
      </w:r>
      <w:r>
        <w:rPr>
          <w:i/>
        </w:rPr>
        <w:t xml:space="preserve">Biologiques,</w:t>
      </w:r>
      <w:r>
        <w:rPr>
          <w:i/>
        </w:rPr>
        <w:t xml:space="preserve"> </w:t>
      </w:r>
      <w:r>
        <w:rPr>
          <w:i/>
        </w:rPr>
        <w:t xml:space="preserve">Université</w:t>
      </w:r>
      <w:r>
        <w:rPr>
          <w:i/>
        </w:rPr>
        <w:t xml:space="preserve"> </w:t>
      </w:r>
      <w:r>
        <w:rPr>
          <w:i/>
        </w:rPr>
        <w:t xml:space="preserve">de</w:t>
      </w:r>
      <w:r>
        <w:rPr>
          <w:i/>
        </w:rPr>
        <w:t xml:space="preserve"> </w:t>
      </w:r>
      <w:r>
        <w:rPr>
          <w:i/>
        </w:rPr>
        <w:t xml:space="preserve">Montréal,</w:t>
      </w:r>
      <w:r>
        <w:rPr>
          <w:i/>
        </w:rPr>
        <w:t xml:space="preserve"> </w:t>
      </w:r>
      <w:r>
        <w:rPr>
          <w:i/>
        </w:rPr>
        <w:t xml:space="preserve">Montréal,</w:t>
      </w:r>
      <w:r>
        <w:rPr>
          <w:i/>
        </w:rPr>
        <w:t xml:space="preserve"> </w:t>
      </w:r>
      <w:r>
        <w:rPr>
          <w:i/>
        </w:rPr>
        <w:t xml:space="preserve">Québec,</w:t>
      </w:r>
      <w:r>
        <w:rPr>
          <w:i/>
        </w:rPr>
        <w:t xml:space="preserve"> </w:t>
      </w:r>
      <w:r>
        <w:rPr>
          <w:i/>
        </w:rPr>
        <w:t xml:space="preserve">Canada</w:t>
      </w:r>
      <w:r>
        <w:br/>
      </w:r>
      <w:r>
        <w:rPr>
          <w:vertAlign w:val="superscript"/>
        </w:rPr>
        <w:t xml:space="preserve">5</w:t>
      </w:r>
      <w:r>
        <w:t xml:space="preserve"> </w:t>
      </w:r>
      <w:r>
        <w:rPr>
          <w:i/>
        </w:rPr>
        <w:t xml:space="preserve">Centre</w:t>
      </w:r>
      <w:r>
        <w:rPr>
          <w:i/>
        </w:rPr>
        <w:t xml:space="preserve"> </w:t>
      </w:r>
      <w:r>
        <w:rPr>
          <w:i/>
        </w:rPr>
        <w:t xml:space="preserve">d’étude</w:t>
      </w:r>
      <w:r>
        <w:rPr>
          <w:i/>
        </w:rPr>
        <w:t xml:space="preserve"> </w:t>
      </w:r>
      <w:r>
        <w:rPr>
          <w:i/>
        </w:rPr>
        <w:t xml:space="preserve">de</w:t>
      </w:r>
      <w:r>
        <w:rPr>
          <w:i/>
        </w:rPr>
        <w:t xml:space="preserve"> </w:t>
      </w:r>
      <w:r>
        <w:rPr>
          <w:i/>
        </w:rPr>
        <w:t xml:space="preserve">la</w:t>
      </w:r>
      <w:r>
        <w:rPr>
          <w:i/>
        </w:rPr>
        <w:t xml:space="preserve"> </w:t>
      </w:r>
      <w:r>
        <w:rPr>
          <w:i/>
        </w:rPr>
        <w:t xml:space="preserve">forêt,</w:t>
      </w:r>
      <w:r>
        <w:rPr>
          <w:i/>
        </w:rPr>
        <w:t xml:space="preserve"> </w:t>
      </w:r>
      <w:r>
        <w:rPr>
          <w:i/>
        </w:rPr>
        <w:t xml:space="preserve">Université</w:t>
      </w:r>
      <w:r>
        <w:rPr>
          <w:i/>
        </w:rPr>
        <w:t xml:space="preserve"> </w:t>
      </w:r>
      <w:r>
        <w:rPr>
          <w:i/>
        </w:rPr>
        <w:t xml:space="preserve">du</w:t>
      </w:r>
      <w:r>
        <w:rPr>
          <w:i/>
        </w:rPr>
        <w:t xml:space="preserve"> </w:t>
      </w:r>
      <w:r>
        <w:rPr>
          <w:i/>
        </w:rPr>
        <w:t xml:space="preserve">Québec</w:t>
      </w:r>
      <w:r>
        <w:rPr>
          <w:i/>
        </w:rPr>
        <w:t xml:space="preserve"> </w:t>
      </w:r>
      <w:r>
        <w:rPr>
          <w:i/>
        </w:rPr>
        <w:t xml:space="preserve">à</w:t>
      </w:r>
      <w:r>
        <w:rPr>
          <w:i/>
        </w:rPr>
        <w:t xml:space="preserve"> </w:t>
      </w:r>
      <w:r>
        <w:rPr>
          <w:i/>
        </w:rPr>
        <w:t xml:space="preserve">Montréal,</w:t>
      </w:r>
      <w:r>
        <w:rPr>
          <w:i/>
        </w:rPr>
        <w:t xml:space="preserve"> </w:t>
      </w:r>
      <w:r>
        <w:rPr>
          <w:i/>
        </w:rPr>
        <w:t xml:space="preserve">Montréal,</w:t>
      </w:r>
      <w:r>
        <w:rPr>
          <w:i/>
        </w:rPr>
        <w:t xml:space="preserve"> </w:t>
      </w:r>
      <w:r>
        <w:rPr>
          <w:i/>
        </w:rPr>
        <w:t xml:space="preserve">Québec,</w:t>
      </w:r>
      <w:r>
        <w:rPr>
          <w:i/>
        </w:rPr>
        <w:t xml:space="preserve"> </w:t>
      </w:r>
      <w:r>
        <w:rPr>
          <w:i/>
        </w:rPr>
        <w:t xml:space="preserve">Canada</w:t>
      </w:r>
      <w:r>
        <w:br/>
      </w:r>
      <w:r>
        <w:rPr>
          <w:vertAlign w:val="superscript"/>
        </w:rPr>
        <w:t xml:space="preserve">*</w:t>
      </w:r>
      <w:r>
        <w:t xml:space="preserve"> </w:t>
      </w:r>
      <w:r>
        <w:rPr>
          <w:i/>
        </w:rPr>
        <w:t xml:space="preserve">corresponding</w:t>
      </w:r>
      <w:r>
        <w:rPr>
          <w:i/>
        </w:rPr>
        <w:t xml:space="preserve"> </w:t>
      </w:r>
      <w:r>
        <w:rPr>
          <w:i/>
        </w:rPr>
        <w:t xml:space="preserve">author:</w:t>
      </w:r>
      <w:r>
        <w:rPr>
          <w:i/>
        </w:rPr>
        <w:t xml:space="preserve"> </w:t>
      </w:r>
      <w:r>
        <w:rPr>
          <w:i/>
        </w:rPr>
        <w:t xml:space="preserve">willian.vieira@usherbrooke.ca</w:t>
      </w:r>
    </w:p>
    <w:p>
      <w:pPr>
        <w:pStyle w:val="Abstract"/>
      </w:pPr>
      <w:r>
        <w:t xml:space="preserve">The</w:t>
      </w:r>
      <w:r>
        <w:t xml:space="preserve"> </w:t>
      </w:r>
      <w:r>
        <w:t xml:space="preserve">northward</w:t>
      </w:r>
      <w:r>
        <w:t xml:space="preserve"> </w:t>
      </w:r>
      <w:r>
        <w:t xml:space="preserve">migration</w:t>
      </w:r>
      <w:r>
        <w:t xml:space="preserve"> </w:t>
      </w:r>
      <w:r>
        <w:t xml:space="preserve">of</w:t>
      </w:r>
      <w:r>
        <w:t xml:space="preserve"> </w:t>
      </w:r>
      <w:r>
        <w:t xml:space="preserve">several</w:t>
      </w:r>
      <w:r>
        <w:t xml:space="preserve"> </w:t>
      </w:r>
      <w:r>
        <w:t xml:space="preserve">tree</w:t>
      </w:r>
      <w:r>
        <w:t xml:space="preserve"> </w:t>
      </w:r>
      <w:r>
        <w:t xml:space="preserve">species</w:t>
      </w:r>
      <w:r>
        <w:t xml:space="preserve"> </w:t>
      </w:r>
      <w:r>
        <w:t xml:space="preserve">ranges</w:t>
      </w:r>
      <w:r>
        <w:t xml:space="preserve"> </w:t>
      </w:r>
      <w:r>
        <w:t xml:space="preserve">is</w:t>
      </w:r>
      <w:r>
        <w:t xml:space="preserve"> </w:t>
      </w:r>
      <w:r>
        <w:t xml:space="preserve">likely</w:t>
      </w:r>
      <w:r>
        <w:t xml:space="preserve"> </w:t>
      </w:r>
      <w:r>
        <w:t xml:space="preserve">to</w:t>
      </w:r>
      <w:r>
        <w:t xml:space="preserve"> </w:t>
      </w:r>
      <w:r>
        <w:t xml:space="preserve">lag</w:t>
      </w:r>
      <w:r>
        <w:t xml:space="preserve"> </w:t>
      </w:r>
      <w:r>
        <w:t xml:space="preserve">behind</w:t>
      </w:r>
      <w:r>
        <w:t xml:space="preserve"> </w:t>
      </w:r>
      <w:r>
        <w:t xml:space="preserve">climate</w:t>
      </w:r>
      <w:r>
        <w:t xml:space="preserve"> </w:t>
      </w:r>
      <w:r>
        <w:t xml:space="preserve">change</w:t>
      </w:r>
      <w:r>
        <w:t xml:space="preserve"> </w:t>
      </w:r>
      <w:r>
        <w:t xml:space="preserve">due</w:t>
      </w:r>
      <w:r>
        <w:t xml:space="preserve"> </w:t>
      </w:r>
      <w:r>
        <w:t xml:space="preserve">to</w:t>
      </w:r>
      <w:r>
        <w:t xml:space="preserve"> </w:t>
      </w:r>
      <w:r>
        <w:t xml:space="preserve">slow</w:t>
      </w:r>
      <w:r>
        <w:t xml:space="preserve"> </w:t>
      </w:r>
      <w:r>
        <w:t xml:space="preserve">demography,</w:t>
      </w:r>
      <w:r>
        <w:t xml:space="preserve"> </w:t>
      </w:r>
      <w:r>
        <w:t xml:space="preserve">competitive</w:t>
      </w:r>
      <w:r>
        <w:t xml:space="preserve"> </w:t>
      </w:r>
      <w:r>
        <w:t xml:space="preserve">interactions</w:t>
      </w:r>
      <w:r>
        <w:t xml:space="preserve"> </w:t>
      </w:r>
      <w:r>
        <w:t xml:space="preserve">and</w:t>
      </w:r>
      <w:r>
        <w:t xml:space="preserve"> </w:t>
      </w:r>
      <w:r>
        <w:t xml:space="preserve">dispersal</w:t>
      </w:r>
      <w:r>
        <w:t xml:space="preserve"> </w:t>
      </w:r>
      <w:r>
        <w:t xml:space="preserve">limitations.</w:t>
      </w:r>
      <w:r>
        <w:t xml:space="preserve"> </w:t>
      </w:r>
      <w:r>
        <w:t xml:space="preserve">These</w:t>
      </w:r>
      <w:r>
        <w:t xml:space="preserve"> </w:t>
      </w:r>
      <w:r>
        <w:t xml:space="preserve">will</w:t>
      </w:r>
      <w:r>
        <w:t xml:space="preserve"> </w:t>
      </w:r>
      <w:r>
        <w:t xml:space="preserve">result</w:t>
      </w:r>
      <w:r>
        <w:t xml:space="preserve"> </w:t>
      </w:r>
      <w:r>
        <w:t xml:space="preserve">in</w:t>
      </w:r>
      <w:r>
        <w:t xml:space="preserve"> </w:t>
      </w:r>
      <w:r>
        <w:t xml:space="preserve">a</w:t>
      </w:r>
      <w:r>
        <w:t xml:space="preserve"> </w:t>
      </w:r>
      <w:r>
        <w:t xml:space="preserve">colonization</w:t>
      </w:r>
      <w:r>
        <w:t xml:space="preserve"> </w:t>
      </w:r>
      <w:r>
        <w:t xml:space="preserve">credit,</w:t>
      </w:r>
      <w:r>
        <w:t xml:space="preserve"> </w:t>
      </w:r>
      <w:r>
        <w:t xml:space="preserve">where</w:t>
      </w:r>
      <w:r>
        <w:t xml:space="preserve"> </w:t>
      </w:r>
      <w:r>
        <w:t xml:space="preserve">suitable</w:t>
      </w:r>
      <w:r>
        <w:t xml:space="preserve"> </w:t>
      </w:r>
      <w:r>
        <w:t xml:space="preserve">climate</w:t>
      </w:r>
      <w:r>
        <w:t xml:space="preserve"> </w:t>
      </w:r>
      <w:r>
        <w:t xml:space="preserve">envelopes</w:t>
      </w:r>
      <w:r>
        <w:t xml:space="preserve"> </w:t>
      </w:r>
      <w:r>
        <w:t xml:space="preserve">are</w:t>
      </w:r>
      <w:r>
        <w:t xml:space="preserve"> </w:t>
      </w:r>
      <w:r>
        <w:t xml:space="preserve">left</w:t>
      </w:r>
      <w:r>
        <w:t xml:space="preserve"> </w:t>
      </w:r>
      <w:r>
        <w:t xml:space="preserve">unoccupied,</w:t>
      </w:r>
      <w:r>
        <w:t xml:space="preserve"> </w:t>
      </w:r>
      <w:r>
        <w:t xml:space="preserve">and</w:t>
      </w:r>
      <w:r>
        <w:t xml:space="preserve"> </w:t>
      </w:r>
      <w:r>
        <w:t xml:space="preserve">extinction</w:t>
      </w:r>
      <w:r>
        <w:t xml:space="preserve"> </w:t>
      </w:r>
      <w:r>
        <w:t xml:space="preserve">debt,</w:t>
      </w:r>
      <w:r>
        <w:t xml:space="preserve"> </w:t>
      </w:r>
      <w:r>
        <w:t xml:space="preserve">where</w:t>
      </w:r>
      <w:r>
        <w:t xml:space="preserve"> </w:t>
      </w:r>
      <w:r>
        <w:t xml:space="preserve">tree</w:t>
      </w:r>
      <w:r>
        <w:t xml:space="preserve"> </w:t>
      </w:r>
      <w:r>
        <w:t xml:space="preserve">stands</w:t>
      </w:r>
      <w:r>
        <w:t xml:space="preserve"> </w:t>
      </w:r>
      <w:r>
        <w:t xml:space="preserve">persist</w:t>
      </w:r>
      <w:r>
        <w:t xml:space="preserve"> </w:t>
      </w:r>
      <w:r>
        <w:t xml:space="preserve">at</w:t>
      </w:r>
      <w:r>
        <w:t xml:space="preserve"> </w:t>
      </w:r>
      <w:r>
        <w:t xml:space="preserve">unsuitable</w:t>
      </w:r>
      <w:r>
        <w:t xml:space="preserve"> </w:t>
      </w:r>
      <w:r>
        <w:t xml:space="preserve">climatic</w:t>
      </w:r>
      <w:r>
        <w:t xml:space="preserve"> </w:t>
      </w:r>
      <w:r>
        <w:t xml:space="preserve">locations.</w:t>
      </w:r>
      <w:r>
        <w:t xml:space="preserve"> </w:t>
      </w:r>
      <w:r>
        <w:t xml:space="preserve">While</w:t>
      </w:r>
      <w:r>
        <w:t xml:space="preserve"> </w:t>
      </w:r>
      <w:r>
        <w:t xml:space="preserve">the</w:t>
      </w:r>
      <w:r>
        <w:t xml:space="preserve"> </w:t>
      </w:r>
      <w:r>
        <w:t xml:space="preserve">underlying</w:t>
      </w:r>
      <w:r>
        <w:t xml:space="preserve"> </w:t>
      </w:r>
      <w:r>
        <w:t xml:space="preserve">mechanisms</w:t>
      </w:r>
      <w:r>
        <w:t xml:space="preserve"> </w:t>
      </w:r>
      <w:r>
        <w:t xml:space="preserve">explaining</w:t>
      </w:r>
      <w:r>
        <w:t xml:space="preserve"> </w:t>
      </w:r>
      <w:r>
        <w:t xml:space="preserve">the</w:t>
      </w:r>
      <w:r>
        <w:t xml:space="preserve"> </w:t>
      </w:r>
      <w:r>
        <w:t xml:space="preserve">delayed</w:t>
      </w:r>
      <w:r>
        <w:t xml:space="preserve"> </w:t>
      </w:r>
      <w:r>
        <w:t xml:space="preserve">range</w:t>
      </w:r>
      <w:r>
        <w:t xml:space="preserve"> </w:t>
      </w:r>
      <w:r>
        <w:t xml:space="preserve">shift</w:t>
      </w:r>
      <w:r>
        <w:t xml:space="preserve"> </w:t>
      </w:r>
      <w:r>
        <w:t xml:space="preserve">of</w:t>
      </w:r>
      <w:r>
        <w:t xml:space="preserve"> </w:t>
      </w:r>
      <w:r>
        <w:t xml:space="preserve">forest</w:t>
      </w:r>
      <w:r>
        <w:t xml:space="preserve"> </w:t>
      </w:r>
      <w:r>
        <w:t xml:space="preserve">trees</w:t>
      </w:r>
      <w:r>
        <w:t xml:space="preserve"> </w:t>
      </w:r>
      <w:r>
        <w:t xml:space="preserve">have</w:t>
      </w:r>
      <w:r>
        <w:t xml:space="preserve"> </w:t>
      </w:r>
      <w:r>
        <w:t xml:space="preserve">been</w:t>
      </w:r>
      <w:r>
        <w:t xml:space="preserve"> </w:t>
      </w:r>
      <w:r>
        <w:t xml:space="preserve">investigated,</w:t>
      </w:r>
      <w:r>
        <w:t xml:space="preserve"> </w:t>
      </w:r>
      <w:r>
        <w:t xml:space="preserve">few</w:t>
      </w:r>
      <w:r>
        <w:t xml:space="preserve"> </w:t>
      </w:r>
      <w:r>
        <w:t xml:space="preserve">studies</w:t>
      </w:r>
      <w:r>
        <w:t xml:space="preserve"> </w:t>
      </w:r>
      <w:r>
        <w:t xml:space="preserve">have</w:t>
      </w:r>
      <w:r>
        <w:t xml:space="preserve"> </w:t>
      </w:r>
      <w:r>
        <w:t xml:space="preserve">focused</w:t>
      </w:r>
      <w:r>
        <w:t xml:space="preserve"> </w:t>
      </w:r>
      <w:r>
        <w:t xml:space="preserve">on</w:t>
      </w:r>
      <w:r>
        <w:t xml:space="preserve"> </w:t>
      </w:r>
      <w:r>
        <w:t xml:space="preserve">how</w:t>
      </w:r>
      <w:r>
        <w:t xml:space="preserve"> </w:t>
      </w:r>
      <w:r>
        <w:t xml:space="preserve">to</w:t>
      </w:r>
      <w:r>
        <w:t xml:space="preserve"> </w:t>
      </w:r>
      <w:r>
        <w:t xml:space="preserve">overcome</w:t>
      </w:r>
      <w:r>
        <w:t xml:space="preserve"> </w:t>
      </w:r>
      <w:r>
        <w:t xml:space="preserve">this</w:t>
      </w:r>
      <w:r>
        <w:t xml:space="preserve"> </w:t>
      </w:r>
      <w:r>
        <w:t xml:space="preserve">lag.</w:t>
      </w:r>
      <w:r>
        <w:t xml:space="preserve"> </w:t>
      </w:r>
      <w:r>
        <w:t xml:space="preserve">Here</w:t>
      </w:r>
      <w:r>
        <w:t xml:space="preserve"> </w:t>
      </w:r>
      <w:r>
        <w:t xml:space="preserve">we</w:t>
      </w:r>
      <w:r>
        <w:t xml:space="preserve"> </w:t>
      </w:r>
      <w:r>
        <w:t xml:space="preserve">extend</w:t>
      </w:r>
      <w:r>
        <w:t xml:space="preserve"> </w:t>
      </w:r>
      <w:r>
        <w:t xml:space="preserve">a</w:t>
      </w:r>
      <w:r>
        <w:t xml:space="preserve"> </w:t>
      </w:r>
      <w:r>
        <w:t xml:space="preserve">forest</w:t>
      </w:r>
      <w:r>
        <w:t xml:space="preserve"> </w:t>
      </w:r>
      <w:r>
        <w:t xml:space="preserve">community</w:t>
      </w:r>
      <w:r>
        <w:t xml:space="preserve"> </w:t>
      </w:r>
      <w:r>
        <w:t xml:space="preserve">state</w:t>
      </w:r>
      <w:r>
        <w:t xml:space="preserve"> </w:t>
      </w:r>
      <w:r>
        <w:t xml:space="preserve">model</w:t>
      </w:r>
      <w:r>
        <w:t xml:space="preserve"> </w:t>
      </w:r>
      <w:r>
        <w:t xml:space="preserve">derived</w:t>
      </w:r>
      <w:r>
        <w:t xml:space="preserve"> </w:t>
      </w:r>
      <w:r>
        <w:t xml:space="preserve">from</w:t>
      </w:r>
      <w:r>
        <w:t xml:space="preserve"> </w:t>
      </w:r>
      <w:r>
        <w:t xml:space="preserve">the</w:t>
      </w:r>
      <w:r>
        <w:t xml:space="preserve"> </w:t>
      </w:r>
      <w:r>
        <w:t xml:space="preserve">metapopulation</w:t>
      </w:r>
      <w:r>
        <w:t xml:space="preserve"> </w:t>
      </w:r>
      <w:r>
        <w:t xml:space="preserve">theory</w:t>
      </w:r>
      <w:r>
        <w:t xml:space="preserve"> </w:t>
      </w:r>
      <w:r>
        <w:t xml:space="preserve">and</w:t>
      </w:r>
      <w:r>
        <w:t xml:space="preserve"> </w:t>
      </w:r>
      <w:r>
        <w:t xml:space="preserve">validated</w:t>
      </w:r>
      <w:r>
        <w:t xml:space="preserve"> </w:t>
      </w:r>
      <w:r>
        <w:t xml:space="preserve">with</w:t>
      </w:r>
      <w:r>
        <w:t xml:space="preserve"> </w:t>
      </w:r>
      <w:r>
        <w:t xml:space="preserve">over</w:t>
      </w:r>
      <w:r>
        <w:t xml:space="preserve"> </w:t>
      </w:r>
      <w:r>
        <w:t xml:space="preserve">40,000</w:t>
      </w:r>
      <w:r>
        <w:t xml:space="preserve"> </w:t>
      </w:r>
      <w:r>
        <w:t xml:space="preserve">forest</w:t>
      </w:r>
      <w:r>
        <w:t xml:space="preserve"> </w:t>
      </w:r>
      <w:r>
        <w:t xml:space="preserve">inventory</w:t>
      </w:r>
      <w:r>
        <w:t xml:space="preserve"> </w:t>
      </w:r>
      <w:r>
        <w:t xml:space="preserve">plots,</w:t>
      </w:r>
      <w:r>
        <w:t xml:space="preserve"> </w:t>
      </w:r>
      <w:r>
        <w:t xml:space="preserve">to</w:t>
      </w:r>
      <w:r>
        <w:t xml:space="preserve"> </w:t>
      </w:r>
      <w:r>
        <w:t xml:space="preserve">formulate</w:t>
      </w:r>
      <w:r>
        <w:t xml:space="preserve"> </w:t>
      </w:r>
      <w:r>
        <w:t xml:space="preserve">how</w:t>
      </w:r>
      <w:r>
        <w:t xml:space="preserve"> </w:t>
      </w:r>
      <w:r>
        <w:t xml:space="preserve">forest</w:t>
      </w:r>
      <w:r>
        <w:t xml:space="preserve"> </w:t>
      </w:r>
      <w:r>
        <w:t xml:space="preserve">management</w:t>
      </w:r>
      <w:r>
        <w:t xml:space="preserve"> </w:t>
      </w:r>
      <w:r>
        <w:t xml:space="preserve">can</w:t>
      </w:r>
      <w:r>
        <w:t xml:space="preserve"> </w:t>
      </w:r>
      <w:r>
        <w:t xml:space="preserve">accelerate</w:t>
      </w:r>
      <w:r>
        <w:t xml:space="preserve"> </w:t>
      </w:r>
      <w:r>
        <w:t xml:space="preserve">the</w:t>
      </w:r>
      <w:r>
        <w:t xml:space="preserve"> </w:t>
      </w:r>
      <w:r>
        <w:t xml:space="preserve">response</w:t>
      </w:r>
      <w:r>
        <w:t xml:space="preserve"> </w:t>
      </w:r>
      <w:r>
        <w:t xml:space="preserve">of</w:t>
      </w:r>
      <w:r>
        <w:t xml:space="preserve"> </w:t>
      </w:r>
      <w:r>
        <w:t xml:space="preserve">the</w:t>
      </w:r>
      <w:r>
        <w:t xml:space="preserve"> </w:t>
      </w:r>
      <w:r>
        <w:t xml:space="preserve">boreal-temperate</w:t>
      </w:r>
      <w:r>
        <w:t xml:space="preserve"> </w:t>
      </w:r>
      <w:r>
        <w:t xml:space="preserve">ecotone</w:t>
      </w:r>
      <w:r>
        <w:t xml:space="preserve"> </w:t>
      </w:r>
      <w:r>
        <w:t xml:space="preserve">following</w:t>
      </w:r>
      <w:r>
        <w:t xml:space="preserve"> </w:t>
      </w:r>
      <w:r>
        <w:t xml:space="preserve">warming</w:t>
      </w:r>
      <w:r>
        <w:t xml:space="preserve"> </w:t>
      </w:r>
      <w:r>
        <w:t xml:space="preserve">temperature.</w:t>
      </w:r>
      <w:r>
        <w:t xml:space="preserve"> </w:t>
      </w:r>
      <w:r>
        <w:t xml:space="preserve">We</w:t>
      </w:r>
      <w:r>
        <w:t xml:space="preserve"> </w:t>
      </w:r>
      <w:r>
        <w:t xml:space="preserve">first</w:t>
      </w:r>
      <w:r>
        <w:t xml:space="preserve"> </w:t>
      </w:r>
      <w:r>
        <w:t xml:space="preserve">established</w:t>
      </w:r>
      <w:r>
        <w:t xml:space="preserve"> </w:t>
      </w:r>
      <w:r>
        <w:t xml:space="preserve">a</w:t>
      </w:r>
      <w:r>
        <w:t xml:space="preserve"> </w:t>
      </w:r>
      <w:r>
        <w:t xml:space="preserve">general</w:t>
      </w:r>
      <w:r>
        <w:t xml:space="preserve"> </w:t>
      </w:r>
      <w:r>
        <w:t xml:space="preserve">framework</w:t>
      </w:r>
      <w:r>
        <w:t xml:space="preserve"> </w:t>
      </w:r>
      <w:r>
        <w:t xml:space="preserve">to</w:t>
      </w:r>
      <w:r>
        <w:t xml:space="preserve"> </w:t>
      </w:r>
      <w:r>
        <w:t xml:space="preserve">represent</w:t>
      </w:r>
      <w:r>
        <w:t xml:space="preserve"> </w:t>
      </w:r>
      <w:r>
        <w:t xml:space="preserve">how</w:t>
      </w:r>
      <w:r>
        <w:t xml:space="preserve"> </w:t>
      </w:r>
      <w:r>
        <w:t xml:space="preserve">forest</w:t>
      </w:r>
      <w:r>
        <w:t xml:space="preserve"> </w:t>
      </w:r>
      <w:r>
        <w:t xml:space="preserve">management</w:t>
      </w:r>
      <w:r>
        <w:t xml:space="preserve"> </w:t>
      </w:r>
      <w:r>
        <w:t xml:space="preserve">affects</w:t>
      </w:r>
      <w:r>
        <w:t xml:space="preserve"> </w:t>
      </w:r>
      <w:r>
        <w:t xml:space="preserve">the</w:t>
      </w:r>
      <w:r>
        <w:t xml:space="preserve"> </w:t>
      </w:r>
      <w:r>
        <w:t xml:space="preserve">colonization/extinction</w:t>
      </w:r>
      <w:r>
        <w:t xml:space="preserve"> </w:t>
      </w:r>
      <w:r>
        <w:t xml:space="preserve">processes</w:t>
      </w:r>
      <w:r>
        <w:t xml:space="preserve"> </w:t>
      </w:r>
      <w:r>
        <w:t xml:space="preserve">driving</w:t>
      </w:r>
      <w:r>
        <w:t xml:space="preserve"> </w:t>
      </w:r>
      <w:r>
        <w:t xml:space="preserve">four</w:t>
      </w:r>
      <w:r>
        <w:t xml:space="preserve"> </w:t>
      </w:r>
      <w:r>
        <w:t xml:space="preserve">forest</w:t>
      </w:r>
      <w:r>
        <w:t xml:space="preserve"> </w:t>
      </w:r>
      <w:r>
        <w:t xml:space="preserve">states:</w:t>
      </w:r>
      <w:r>
        <w:t xml:space="preserve"> </w:t>
      </w:r>
      <w:r>
        <w:t xml:space="preserve">Boreal,</w:t>
      </w:r>
      <w:r>
        <w:t xml:space="preserve"> </w:t>
      </w:r>
      <w:r>
        <w:t xml:space="preserve">Temperate,</w:t>
      </w:r>
      <w:r>
        <w:t xml:space="preserve"> </w:t>
      </w:r>
      <w:r>
        <w:t xml:space="preserve">Mixed</w:t>
      </w:r>
      <w:r>
        <w:t xml:space="preserve"> </w:t>
      </w:r>
      <w:r>
        <w:t xml:space="preserve">and</w:t>
      </w:r>
      <w:r>
        <w:t xml:space="preserve"> </w:t>
      </w:r>
      <w:r>
        <w:t xml:space="preserve">Regeneration.</w:t>
      </w:r>
      <w:r>
        <w:t xml:space="preserve"> </w:t>
      </w:r>
      <w:r>
        <w:t xml:space="preserve">We</w:t>
      </w:r>
      <w:r>
        <w:t xml:space="preserve"> </w:t>
      </w:r>
      <w:r>
        <w:t xml:space="preserve">then</w:t>
      </w:r>
      <w:r>
        <w:t xml:space="preserve"> </w:t>
      </w:r>
      <w:r>
        <w:t xml:space="preserve">simulated</w:t>
      </w:r>
      <w:r>
        <w:t xml:space="preserve"> </w:t>
      </w:r>
      <w:r>
        <w:t xml:space="preserve">the</w:t>
      </w:r>
      <w:r>
        <w:t xml:space="preserve"> </w:t>
      </w:r>
      <w:r>
        <w:t xml:space="preserve">potential</w:t>
      </w:r>
      <w:r>
        <w:t xml:space="preserve"> </w:t>
      </w:r>
      <w:r>
        <w:t xml:space="preserve">of</w:t>
      </w:r>
      <w:r>
        <w:t xml:space="preserve"> </w:t>
      </w:r>
      <w:r>
        <w:t xml:space="preserve">forest</w:t>
      </w:r>
      <w:r>
        <w:t xml:space="preserve"> </w:t>
      </w:r>
      <w:r>
        <w:t xml:space="preserve">management</w:t>
      </w:r>
      <w:r>
        <w:t xml:space="preserve"> </w:t>
      </w:r>
      <w:r>
        <w:t xml:space="preserve">to</w:t>
      </w:r>
      <w:r>
        <w:t xml:space="preserve"> </w:t>
      </w:r>
      <w:r>
        <w:t xml:space="preserve">reduce</w:t>
      </w:r>
      <w:r>
        <w:t xml:space="preserve"> </w:t>
      </w:r>
      <w:r>
        <w:t xml:space="preserve">colonization</w:t>
      </w:r>
      <w:r>
        <w:t xml:space="preserve"> </w:t>
      </w:r>
      <w:r>
        <w:t xml:space="preserve">credit</w:t>
      </w:r>
      <w:r>
        <w:t xml:space="preserve"> </w:t>
      </w:r>
      <w:r>
        <w:t xml:space="preserve">and</w:t>
      </w:r>
      <w:r>
        <w:t xml:space="preserve"> </w:t>
      </w:r>
      <w:r>
        <w:t xml:space="preserve">extinction</w:t>
      </w:r>
      <w:r>
        <w:t xml:space="preserve"> </w:t>
      </w:r>
      <w:r>
        <w:t xml:space="preserve">debt</w:t>
      </w:r>
      <w:r>
        <w:t xml:space="preserve"> </w:t>
      </w:r>
      <w:r>
        <w:t xml:space="preserve">using</w:t>
      </w:r>
      <w:r>
        <w:t xml:space="preserve"> </w:t>
      </w:r>
      <w:r>
        <w:t xml:space="preserve">two</w:t>
      </w:r>
      <w:r>
        <w:t xml:space="preserve"> </w:t>
      </w:r>
      <w:r>
        <w:t xml:space="preserve">complementary</w:t>
      </w:r>
      <w:r>
        <w:t xml:space="preserve"> </w:t>
      </w:r>
      <w:r>
        <w:t xml:space="preserve">approaches</w:t>
      </w:r>
      <w:r>
        <w:t xml:space="preserve"> </w:t>
      </w:r>
      <w:r>
        <w:t xml:space="preserve">to</w:t>
      </w:r>
      <w:r>
        <w:t xml:space="preserve"> </w:t>
      </w:r>
      <w:r>
        <w:t xml:space="preserve">measure</w:t>
      </w:r>
      <w:r>
        <w:t xml:space="preserve"> </w:t>
      </w:r>
      <w:r>
        <w:t xml:space="preserve">the</w:t>
      </w:r>
      <w:r>
        <w:t xml:space="preserve"> </w:t>
      </w:r>
      <w:r>
        <w:t xml:space="preserve">resilience</w:t>
      </w:r>
      <w:r>
        <w:t xml:space="preserve"> </w:t>
      </w:r>
      <w:r>
        <w:t xml:space="preserve">and</w:t>
      </w:r>
      <w:r>
        <w:t xml:space="preserve"> </w:t>
      </w:r>
      <w:r>
        <w:t xml:space="preserve">range</w:t>
      </w:r>
      <w:r>
        <w:t xml:space="preserve"> </w:t>
      </w:r>
      <w:r>
        <w:t xml:space="preserve">shift</w:t>
      </w:r>
      <w:r>
        <w:t xml:space="preserve"> </w:t>
      </w:r>
      <w:r>
        <w:t xml:space="preserve">of</w:t>
      </w:r>
      <w:r>
        <w:t xml:space="preserve"> </w:t>
      </w:r>
      <w:r>
        <w:t xml:space="preserve">the</w:t>
      </w:r>
      <w:r>
        <w:t xml:space="preserve"> </w:t>
      </w:r>
      <w:r>
        <w:t xml:space="preserve">boreal-temperate</w:t>
      </w:r>
      <w:r>
        <w:t xml:space="preserve"> </w:t>
      </w:r>
      <w:r>
        <w:t xml:space="preserve">ecotone</w:t>
      </w:r>
      <w:r>
        <w:t xml:space="preserve"> </w:t>
      </w:r>
      <w:r>
        <w:t xml:space="preserve">after</w:t>
      </w:r>
      <w:r>
        <w:t xml:space="preserve"> </w:t>
      </w:r>
      <w:r>
        <w:t xml:space="preserve">warming</w:t>
      </w:r>
      <w:r>
        <w:t xml:space="preserve"> </w:t>
      </w:r>
      <w:r>
        <w:t xml:space="preserve">temperature.</w:t>
      </w:r>
      <w:r>
        <w:t xml:space="preserve"> </w:t>
      </w:r>
      <w:r>
        <w:t xml:space="preserve">Our</w:t>
      </w:r>
      <w:r>
        <w:t xml:space="preserve"> </w:t>
      </w:r>
      <w:r>
        <w:t xml:space="preserve">simulations</w:t>
      </w:r>
      <w:r>
        <w:t xml:space="preserve"> </w:t>
      </w:r>
      <w:r>
        <w:t xml:space="preserve">reveal</w:t>
      </w:r>
      <w:r>
        <w:t xml:space="preserve"> </w:t>
      </w:r>
      <w:r>
        <w:t xml:space="preserve">that</w:t>
      </w:r>
      <w:r>
        <w:t xml:space="preserve"> </w:t>
      </w:r>
      <w:r>
        <w:t xml:space="preserve">paying</w:t>
      </w:r>
      <w:r>
        <w:t xml:space="preserve"> </w:t>
      </w:r>
      <w:r>
        <w:t xml:space="preserve">the</w:t>
      </w:r>
      <w:r>
        <w:t xml:space="preserve"> </w:t>
      </w:r>
      <w:r>
        <w:t xml:space="preserve">colonization</w:t>
      </w:r>
      <w:r>
        <w:t xml:space="preserve"> </w:t>
      </w:r>
      <w:r>
        <w:t xml:space="preserve">credit</w:t>
      </w:r>
      <w:r>
        <w:t xml:space="preserve"> </w:t>
      </w:r>
      <w:r>
        <w:t xml:space="preserve">by</w:t>
      </w:r>
      <w:r>
        <w:t xml:space="preserve"> </w:t>
      </w:r>
      <w:r>
        <w:t xml:space="preserve">planting</w:t>
      </w:r>
      <w:r>
        <w:t xml:space="preserve"> </w:t>
      </w:r>
      <w:r>
        <w:t xml:space="preserve">temperate</w:t>
      </w:r>
      <w:r>
        <w:t xml:space="preserve"> </w:t>
      </w:r>
      <w:r>
        <w:t xml:space="preserve">tree</w:t>
      </w:r>
      <w:r>
        <w:t xml:space="preserve"> </w:t>
      </w:r>
      <w:r>
        <w:t xml:space="preserve">in</w:t>
      </w:r>
      <w:r>
        <w:t xml:space="preserve"> </w:t>
      </w:r>
      <w:r>
        <w:t xml:space="preserve">regeneration</w:t>
      </w:r>
      <w:r>
        <w:t xml:space="preserve"> </w:t>
      </w:r>
      <w:r>
        <w:t xml:space="preserve">or</w:t>
      </w:r>
      <w:r>
        <w:t xml:space="preserve"> </w:t>
      </w:r>
      <w:r>
        <w:t xml:space="preserve">in</w:t>
      </w:r>
      <w:r>
        <w:t xml:space="preserve"> </w:t>
      </w:r>
      <w:r>
        <w:t xml:space="preserve">boreal</w:t>
      </w:r>
      <w:r>
        <w:t xml:space="preserve"> </w:t>
      </w:r>
      <w:r>
        <w:t xml:space="preserve">stands</w:t>
      </w:r>
      <w:r>
        <w:t xml:space="preserve"> </w:t>
      </w:r>
      <w:r>
        <w:t xml:space="preserve">are</w:t>
      </w:r>
      <w:r>
        <w:t xml:space="preserve"> </w:t>
      </w:r>
      <w:r>
        <w:t xml:space="preserve">likely</w:t>
      </w:r>
      <w:r>
        <w:t xml:space="preserve"> </w:t>
      </w:r>
      <w:r>
        <w:t xml:space="preserve">to</w:t>
      </w:r>
      <w:r>
        <w:t xml:space="preserve"> </w:t>
      </w:r>
      <w:r>
        <w:t xml:space="preserve">i)</w:t>
      </w:r>
      <w:r>
        <w:t xml:space="preserve"> </w:t>
      </w:r>
      <w:r>
        <w:t xml:space="preserve">reduce</w:t>
      </w:r>
      <w:r>
        <w:t xml:space="preserve"> </w:t>
      </w:r>
      <w:r>
        <w:t xml:space="preserve">the</w:t>
      </w:r>
      <w:r>
        <w:t xml:space="preserve"> </w:t>
      </w:r>
      <w:r>
        <w:t xml:space="preserve">time</w:t>
      </w:r>
      <w:r>
        <w:t xml:space="preserve"> </w:t>
      </w:r>
      <w:r>
        <w:t xml:space="preserve">the</w:t>
      </w:r>
      <w:r>
        <w:t xml:space="preserve"> </w:t>
      </w:r>
      <w:r>
        <w:t xml:space="preserve">forest</w:t>
      </w:r>
      <w:r>
        <w:t xml:space="preserve"> </w:t>
      </w:r>
      <w:r>
        <w:t xml:space="preserve">states</w:t>
      </w:r>
      <w:r>
        <w:t xml:space="preserve"> </w:t>
      </w:r>
      <w:r>
        <w:t xml:space="preserve">takes</w:t>
      </w:r>
      <w:r>
        <w:t xml:space="preserve"> </w:t>
      </w:r>
      <w:r>
        <w:t xml:space="preserve">to</w:t>
      </w:r>
      <w:r>
        <w:t xml:space="preserve"> </w:t>
      </w:r>
      <w:r>
        <w:t xml:space="preserve">return</w:t>
      </w:r>
      <w:r>
        <w:t xml:space="preserve"> </w:t>
      </w:r>
      <w:r>
        <w:t xml:space="preserve">to</w:t>
      </w:r>
      <w:r>
        <w:t xml:space="preserve"> </w:t>
      </w:r>
      <w:r>
        <w:t xml:space="preserve">equilibrium,</w:t>
      </w:r>
      <w:r>
        <w:t xml:space="preserve"> </w:t>
      </w:r>
      <w:r>
        <w:t xml:space="preserve">ii)</w:t>
      </w:r>
      <w:r>
        <w:t xml:space="preserve"> </w:t>
      </w:r>
      <w:r>
        <w:t xml:space="preserve">increase</w:t>
      </w:r>
      <w:r>
        <w:t xml:space="preserve"> </w:t>
      </w:r>
      <w:r>
        <w:t xml:space="preserve">forest</w:t>
      </w:r>
      <w:r>
        <w:t xml:space="preserve"> </w:t>
      </w:r>
      <w:r>
        <w:t xml:space="preserve">resilience,</w:t>
      </w:r>
      <w:r>
        <w:t xml:space="preserve"> </w:t>
      </w:r>
      <w:r>
        <w:t xml:space="preserve">and</w:t>
      </w:r>
      <w:r>
        <w:t xml:space="preserve"> </w:t>
      </w:r>
      <w:r>
        <w:t xml:space="preserve">iii)</w:t>
      </w:r>
      <w:r>
        <w:t xml:space="preserve"> </w:t>
      </w:r>
      <w:r>
        <w:t xml:space="preserve">move</w:t>
      </w:r>
      <w:r>
        <w:t xml:space="preserve"> </w:t>
      </w:r>
      <w:r>
        <w:t xml:space="preserve">the</w:t>
      </w:r>
      <w:r>
        <w:t xml:space="preserve"> </w:t>
      </w:r>
      <w:r>
        <w:t xml:space="preserve">ecotone</w:t>
      </w:r>
      <w:r>
        <w:t xml:space="preserve"> </w:t>
      </w:r>
      <w:r>
        <w:t xml:space="preserve">northward.</w:t>
      </w:r>
      <w:r>
        <w:t xml:space="preserve"> </w:t>
      </w:r>
      <w:r>
        <w:t xml:space="preserve">Surprisingly,</w:t>
      </w:r>
      <w:r>
        <w:t xml:space="preserve"> </w:t>
      </w:r>
      <w:r>
        <w:t xml:space="preserve">harvesting</w:t>
      </w:r>
      <w:r>
        <w:t xml:space="preserve"> </w:t>
      </w:r>
      <w:r>
        <w:t xml:space="preserve">boreal</w:t>
      </w:r>
      <w:r>
        <w:t xml:space="preserve"> </w:t>
      </w:r>
      <w:r>
        <w:t xml:space="preserve">trees</w:t>
      </w:r>
      <w:r>
        <w:t xml:space="preserve"> </w:t>
      </w:r>
      <w:r>
        <w:t xml:space="preserve">in</w:t>
      </w:r>
      <w:r>
        <w:t xml:space="preserve"> </w:t>
      </w:r>
      <w:r>
        <w:t xml:space="preserve">boreal</w:t>
      </w:r>
      <w:r>
        <w:t xml:space="preserve"> </w:t>
      </w:r>
      <w:r>
        <w:t xml:space="preserve">or</w:t>
      </w:r>
      <w:r>
        <w:t xml:space="preserve"> </w:t>
      </w:r>
      <w:r>
        <w:t xml:space="preserve">mixed</w:t>
      </w:r>
      <w:r>
        <w:t xml:space="preserve"> </w:t>
      </w:r>
      <w:r>
        <w:t xml:space="preserve">stands</w:t>
      </w:r>
      <w:r>
        <w:t xml:space="preserve"> </w:t>
      </w:r>
      <w:r>
        <w:t xml:space="preserve">aiming</w:t>
      </w:r>
      <w:r>
        <w:t xml:space="preserve"> </w:t>
      </w:r>
      <w:r>
        <w:t xml:space="preserve">to</w:t>
      </w:r>
      <w:r>
        <w:t xml:space="preserve"> </w:t>
      </w:r>
      <w:r>
        <w:t xml:space="preserve">reduce</w:t>
      </w:r>
      <w:r>
        <w:t xml:space="preserve"> </w:t>
      </w:r>
      <w:r>
        <w:t xml:space="preserve">extinction</w:t>
      </w:r>
      <w:r>
        <w:t xml:space="preserve"> </w:t>
      </w:r>
      <w:r>
        <w:t xml:space="preserve">debt</w:t>
      </w:r>
      <w:r>
        <w:t xml:space="preserve"> </w:t>
      </w:r>
      <w:r>
        <w:t xml:space="preserve">and</w:t>
      </w:r>
      <w:r>
        <w:t xml:space="preserve"> </w:t>
      </w:r>
      <w:r>
        <w:t xml:space="preserve">open</w:t>
      </w:r>
      <w:r>
        <w:t xml:space="preserve"> </w:t>
      </w:r>
      <w:r>
        <w:t xml:space="preserve">place</w:t>
      </w:r>
      <w:r>
        <w:t xml:space="preserve"> </w:t>
      </w:r>
      <w:r>
        <w:t xml:space="preserve">to</w:t>
      </w:r>
      <w:r>
        <w:t xml:space="preserve"> </w:t>
      </w:r>
      <w:r>
        <w:t xml:space="preserve">temperate</w:t>
      </w:r>
      <w:r>
        <w:t xml:space="preserve"> </w:t>
      </w:r>
      <w:r>
        <w:t xml:space="preserve">trees</w:t>
      </w:r>
      <w:r>
        <w:t xml:space="preserve"> </w:t>
      </w:r>
      <w:r>
        <w:t xml:space="preserve">colonize,</w:t>
      </w:r>
      <w:r>
        <w:t xml:space="preserve"> </w:t>
      </w:r>
      <w:r>
        <w:t xml:space="preserve">were</w:t>
      </w:r>
      <w:r>
        <w:t xml:space="preserve"> </w:t>
      </w:r>
      <w:r>
        <w:t xml:space="preserve">not</w:t>
      </w:r>
      <w:r>
        <w:t xml:space="preserve"> </w:t>
      </w:r>
      <w:r>
        <w:t xml:space="preserve">effective.</w:t>
      </w:r>
      <w:r>
        <w:t xml:space="preserve"> </w:t>
      </w:r>
      <w:r>
        <w:t xml:space="preserve">Our</w:t>
      </w:r>
      <w:r>
        <w:t xml:space="preserve"> </w:t>
      </w:r>
      <w:r>
        <w:t xml:space="preserve">results</w:t>
      </w:r>
      <w:r>
        <w:t xml:space="preserve"> </w:t>
      </w:r>
      <w:r>
        <w:t xml:space="preserve">suggest</w:t>
      </w:r>
      <w:r>
        <w:t xml:space="preserve"> </w:t>
      </w:r>
      <w:r>
        <w:t xml:space="preserve">that</w:t>
      </w:r>
      <w:r>
        <w:t xml:space="preserve"> </w:t>
      </w:r>
      <w:r>
        <w:t xml:space="preserve">forest</w:t>
      </w:r>
      <w:r>
        <w:t xml:space="preserve"> </w:t>
      </w:r>
      <w:r>
        <w:t xml:space="preserve">management</w:t>
      </w:r>
      <w:r>
        <w:t xml:space="preserve"> </w:t>
      </w:r>
      <w:r>
        <w:t xml:space="preserve">could</w:t>
      </w:r>
      <w:r>
        <w:t xml:space="preserve"> </w:t>
      </w:r>
      <w:r>
        <w:t xml:space="preserve">help</w:t>
      </w:r>
      <w:r>
        <w:t xml:space="preserve"> </w:t>
      </w:r>
      <w:r>
        <w:t xml:space="preserve">the</w:t>
      </w:r>
      <w:r>
        <w:t xml:space="preserve"> </w:t>
      </w:r>
      <w:r>
        <w:t xml:space="preserve">boreal-temperate</w:t>
      </w:r>
      <w:r>
        <w:t xml:space="preserve"> </w:t>
      </w:r>
      <w:r>
        <w:t xml:space="preserve">ecotone</w:t>
      </w:r>
      <w:r>
        <w:t xml:space="preserve"> </w:t>
      </w:r>
      <w:r>
        <w:t xml:space="preserve">keep</w:t>
      </w:r>
      <w:r>
        <w:t xml:space="preserve"> </w:t>
      </w:r>
      <w:r>
        <w:t xml:space="preserve">pace</w:t>
      </w:r>
      <w:r>
        <w:t xml:space="preserve"> </w:t>
      </w:r>
      <w:r>
        <w:t xml:space="preserve">with</w:t>
      </w:r>
      <w:r>
        <w:t xml:space="preserve"> </w:t>
      </w:r>
      <w:r>
        <w:t xml:space="preserve">climate</w:t>
      </w:r>
      <w:r>
        <w:t xml:space="preserve"> </w:t>
      </w:r>
      <w:r>
        <w:t xml:space="preserve">change.</w:t>
      </w:r>
      <w:r>
        <w:t xml:space="preserve"> </w:t>
      </w:r>
      <w:r>
        <w:t xml:space="preserve">This</w:t>
      </w:r>
      <w:r>
        <w:t xml:space="preserve"> </w:t>
      </w:r>
      <w:r>
        <w:t xml:space="preserve">theoretical</w:t>
      </w:r>
      <w:r>
        <w:t xml:space="preserve"> </w:t>
      </w:r>
      <w:r>
        <w:t xml:space="preserve">investigation</w:t>
      </w:r>
      <w:r>
        <w:t xml:space="preserve"> </w:t>
      </w:r>
      <w:r>
        <w:t xml:space="preserve">supported</w:t>
      </w:r>
      <w:r>
        <w:t xml:space="preserve"> </w:t>
      </w:r>
      <w:r>
        <w:t xml:space="preserve">by</w:t>
      </w:r>
      <w:r>
        <w:t xml:space="preserve"> </w:t>
      </w:r>
      <w:r>
        <w:t xml:space="preserve">long-term</w:t>
      </w:r>
      <w:r>
        <w:t xml:space="preserve"> </w:t>
      </w:r>
      <w:r>
        <w:t xml:space="preserve">data</w:t>
      </w:r>
      <w:r>
        <w:t xml:space="preserve"> </w:t>
      </w:r>
      <w:r>
        <w:t xml:space="preserve">provides</w:t>
      </w:r>
      <w:r>
        <w:t xml:space="preserve"> </w:t>
      </w:r>
      <w:r>
        <w:t xml:space="preserve">new</w:t>
      </w:r>
      <w:r>
        <w:t xml:space="preserve"> </w:t>
      </w:r>
      <w:r>
        <w:t xml:space="preserve">insights</w:t>
      </w:r>
      <w:r>
        <w:t xml:space="preserve"> </w:t>
      </w:r>
      <w:r>
        <w:t xml:space="preserve">to</w:t>
      </w:r>
      <w:r>
        <w:t xml:space="preserve"> </w:t>
      </w:r>
      <w:r>
        <w:t xml:space="preserve">design</w:t>
      </w:r>
      <w:r>
        <w:t xml:space="preserve"> </w:t>
      </w:r>
      <w:r>
        <w:t xml:space="preserve">future</w:t>
      </w:r>
      <w:r>
        <w:t xml:space="preserve"> </w:t>
      </w:r>
      <w:r>
        <w:t xml:space="preserve">experiments</w:t>
      </w:r>
      <w:r>
        <w:t xml:space="preserve"> </w:t>
      </w:r>
      <w:r>
        <w:t xml:space="preserve">testing</w:t>
      </w:r>
      <w:r>
        <w:t xml:space="preserve"> </w:t>
      </w:r>
      <w:r>
        <w:t xml:space="preserve">the</w:t>
      </w:r>
      <w:r>
        <w:t xml:space="preserve"> </w:t>
      </w:r>
      <w:r>
        <w:t xml:space="preserve">potential</w:t>
      </w:r>
      <w:r>
        <w:t xml:space="preserve"> </w:t>
      </w:r>
      <w:r>
        <w:t xml:space="preserve">of</w:t>
      </w:r>
      <w:r>
        <w:t xml:space="preserve"> </w:t>
      </w:r>
      <w:r>
        <w:t xml:space="preserve">forest</w:t>
      </w:r>
      <w:r>
        <w:t xml:space="preserve"> </w:t>
      </w:r>
      <w:r>
        <w:t xml:space="preserve">management</w:t>
      </w:r>
      <w:r>
        <w:t xml:space="preserve"> </w:t>
      </w:r>
      <w:r>
        <w:t xml:space="preserve">to</w:t>
      </w:r>
      <w:r>
        <w:t xml:space="preserve"> </w:t>
      </w:r>
      <w:r>
        <w:t xml:space="preserve">adapt</w:t>
      </w:r>
      <w:r>
        <w:t xml:space="preserve"> </w:t>
      </w:r>
      <w:r>
        <w:t xml:space="preserve">to</w:t>
      </w:r>
      <w:r>
        <w:t xml:space="preserve"> </w:t>
      </w:r>
      <w:r>
        <w:t xml:space="preserve">climate</w:t>
      </w:r>
      <w:r>
        <w:t xml:space="preserve"> </w:t>
      </w:r>
      <w:r>
        <w:t xml:space="preserve">change.</w:t>
      </w:r>
    </w:p>
    <w:p>
      <w:pPr>
        <w:pStyle w:val="FirstParagraph"/>
      </w:pPr>
      <w:r>
        <w:rPr>
          <w:b/>
        </w:rPr>
        <w:t xml:space="preserve">Keywords</w:t>
      </w:r>
      <w:r>
        <w:t xml:space="preserve">: Adaptive management, Assisted migration, Resilience, Range dynamics, Transient dynamics, Metapopulation, Tree species</w:t>
      </w:r>
    </w:p>
    <w:p>
      <w:pPr>
        <w:pStyle w:val="BodyText"/>
      </w:pPr>
      <w:r>
        <w:rPr>
          <w:b/>
        </w:rPr>
        <w:t xml:space="preserve">Highlights</w:t>
      </w:r>
      <w:r>
        <w:t xml:space="preserve">:</w:t>
      </w:r>
    </w:p>
    <w:p>
      <w:pPr>
        <w:numPr>
          <w:numId w:val="1001"/>
          <w:ilvl w:val="0"/>
        </w:numPr>
      </w:pPr>
      <w:r>
        <w:t xml:space="preserve">Planting temperate trees beyond their leading range distribution are</w:t>
      </w:r>
      <w:r>
        <w:t xml:space="preserve"> </w:t>
      </w:r>
      <w:r>
        <w:t xml:space="preserve">likely to increase forest resilience and move their distribution</w:t>
      </w:r>
      <w:r>
        <w:t xml:space="preserve"> </w:t>
      </w:r>
      <w:r>
        <w:t xml:space="preserve">northward</w:t>
      </w:r>
    </w:p>
    <w:p>
      <w:pPr>
        <w:numPr>
          <w:numId w:val="1001"/>
          <w:ilvl w:val="0"/>
        </w:numPr>
      </w:pPr>
      <w:r>
        <w:t xml:space="preserve">Resilience and northward range shift was greater when enrichment</w:t>
      </w:r>
      <w:r>
        <w:t xml:space="preserve"> </w:t>
      </w:r>
      <w:r>
        <w:t xml:space="preserve">planting temperate trees in boreal stands compared to planting in empty</w:t>
      </w:r>
      <w:r>
        <w:t xml:space="preserve"> </w:t>
      </w:r>
      <w:r>
        <w:t xml:space="preserve">stands</w:t>
      </w:r>
    </w:p>
    <w:p>
      <w:pPr>
        <w:numPr>
          <w:numId w:val="1001"/>
          <w:ilvl w:val="0"/>
        </w:numPr>
      </w:pPr>
      <w:r>
        <w:t xml:space="preserve">Thinning or harvesting boreal species to open place to temperate trees</w:t>
      </w:r>
      <w:r>
        <w:t xml:space="preserve"> </w:t>
      </w:r>
      <w:r>
        <w:t xml:space="preserve">colonize did not affect the resilience or northward range shift of</w:t>
      </w:r>
      <w:r>
        <w:t xml:space="preserve"> </w:t>
      </w:r>
      <w:r>
        <w:t xml:space="preserve">temperate trees</w:t>
      </w:r>
    </w:p>
    <w:p>
      <w:pPr>
        <w:pStyle w:val="FirstParagraph"/>
      </w:pPr>
      <w:r>
        <w:rPr>
          <w:b/>
        </w:rPr>
        <w:t xml:space="preserve">Running title</w:t>
      </w:r>
      <w:r>
        <w:t xml:space="preserve">: Management could rise tree range shifts</w:t>
      </w:r>
      <w:r>
        <w:br/>
      </w:r>
      <w:r>
        <w:br/>
      </w:r>
      <w:r>
        <w:rPr>
          <w:b/>
        </w:rPr>
        <w:t xml:space="preserve">Supporting information</w:t>
      </w:r>
      <w:r>
        <w:t xml:space="preserve">: Additional supporting information can be found</w:t>
      </w:r>
      <w:r>
        <w:t xml:space="preserve"> </w:t>
      </w:r>
      <w:hyperlink r:id="rId20">
        <w:r>
          <w:rPr>
            <w:rStyle w:val="Hyperlink"/>
          </w:rPr>
          <w:t xml:space="preserve">here</w:t>
        </w:r>
      </w:hyperlink>
      <w:r>
        <w:t xml:space="preserve">.</w:t>
      </w:r>
      <w:r>
        <w:br/>
      </w:r>
      <w:r>
        <w:br/>
      </w:r>
      <w:r>
        <w:rPr>
          <w:b/>
        </w:rPr>
        <w:t xml:space="preserve">Acknowledgments</w:t>
      </w:r>
      <w:r>
        <w:t xml:space="preserve">: We thank Daniel Houle for insightful discussions on the effect of forest</w:t>
      </w:r>
      <w:r>
        <w:t xml:space="preserve"> </w:t>
      </w:r>
      <w:r>
        <w:t xml:space="preserve">management practices, and his comments on the early version of this</w:t>
      </w:r>
      <w:r>
        <w:t xml:space="preserve"> </w:t>
      </w:r>
      <w:r>
        <w:t xml:space="preserve">manuscript. We are also grateful to Steve Vissault for helping with the</w:t>
      </w:r>
      <w:r>
        <w:t xml:space="preserve"> </w:t>
      </w:r>
      <w:r>
        <w:t xml:space="preserve">implementation of the model, and to Antoine Becker Scarpitta for</w:t>
      </w:r>
      <w:r>
        <w:t xml:space="preserve"> </w:t>
      </w:r>
      <w:r>
        <w:t xml:space="preserve">suggestions for improvement.</w:t>
      </w:r>
      <w:r>
        <w:br/>
      </w:r>
      <w:r>
        <w:br/>
      </w:r>
      <w:r>
        <w:rPr>
          <w:b/>
        </w:rPr>
        <w:t xml:space="preserve">Data availability</w:t>
      </w:r>
      <w:r>
        <w:t xml:space="preserve">: All the code and data used to reproduce the analysis, figure and</w:t>
      </w:r>
      <w:r>
        <w:t xml:space="preserve"> </w:t>
      </w:r>
      <w:r>
        <w:t xml:space="preserve">manuscript are stored as a research compendium at</w:t>
      </w:r>
      <w:r>
        <w:t xml:space="preserve"> </w:t>
      </w:r>
      <w:hyperlink r:id="rId21">
        <w:r>
          <w:rPr>
            <w:rStyle w:val="Hyperlink"/>
          </w:rPr>
          <w:t xml:space="preserve">https://github.com/willvieira/ms_STM-managed</w:t>
        </w:r>
      </w:hyperlink>
      <w:r>
        <w:t xml:space="preserve">.</w:t>
      </w:r>
      <w:r>
        <w:br/>
      </w:r>
      <w:r>
        <w:br/>
      </w:r>
      <w:r>
        <w:rPr>
          <w:b/>
        </w:rPr>
        <w:t xml:space="preserve">Funding</w:t>
      </w:r>
      <w:r>
        <w:t xml:space="preserve">: This research was supported by the BIOS² NSERC CREATE program.</w:t>
      </w:r>
      <w:r>
        <w:br/>
      </w:r>
      <w:r>
        <w:br/>
      </w:r>
      <w:r>
        <w:rPr>
          <w:b/>
        </w:rPr>
        <w:t xml:space="preserve">Authorship</w:t>
      </w:r>
      <w:r>
        <w:t xml:space="preserve">: WV, IB and DG designed the study. WV and IB developed the model. WV</w:t>
      </w:r>
      <w:r>
        <w:t xml:space="preserve"> </w:t>
      </w:r>
      <w:r>
        <w:t xml:space="preserve">analyzed the simulations and wrote the first draft of the manuscript.</w:t>
      </w:r>
      <w:r>
        <w:t xml:space="preserve"> </w:t>
      </w:r>
      <w:r>
        <w:t xml:space="preserve">All authors contributed substantially to revisions.</w:t>
      </w:r>
      <w:r>
        <w:br/>
      </w:r>
      <w:r>
        <w:rPr>
          <w:b/>
        </w:rPr>
        <w:t xml:space="preserve">Conflicts of interest</w:t>
      </w:r>
      <w:r>
        <w:t xml:space="preserve">: The authors declare no conflict of interest.</w:t>
      </w:r>
      <w:r>
        <w:br/>
      </w:r>
      <w:r>
        <w:br/>
      </w:r>
    </w:p>
    <w:p>
      <w:pPr>
        <w:pStyle w:val="Heading1"/>
      </w:pPr>
      <w:bookmarkStart w:id="22" w:name="introduction"/>
      <w:r>
        <w:t xml:space="preserve">Introduction</w:t>
      </w:r>
      <w:bookmarkEnd w:id="22"/>
    </w:p>
    <w:p>
      <w:pPr>
        <w:pStyle w:val="FirstParagraph"/>
      </w:pPr>
      <w:r>
        <w:t xml:space="preserve">There is a growing concern in how tree species will respond to climate</w:t>
      </w:r>
      <w:r>
        <w:t xml:space="preserve"> </w:t>
      </w:r>
      <w:r>
        <w:t xml:space="preserve">change, and how fast they can migrate to keep pace with warming</w:t>
      </w:r>
      <w:r>
        <w:t xml:space="preserve"> </w:t>
      </w:r>
      <w:r>
        <w:t xml:space="preserve">temperature. Correlative statistical models have projected large range</w:t>
      </w:r>
      <w:r>
        <w:t xml:space="preserve"> </w:t>
      </w:r>
      <w:r>
        <w:t xml:space="preserve">shifts following warming temperature, such as the migration of plant</w:t>
      </w:r>
      <w:r>
        <w:t xml:space="preserve"> </w:t>
      </w:r>
      <w:r>
        <w:t xml:space="preserve">species hundreds of kilometers northward by the end of this century</w:t>
      </w:r>
      <w:r>
        <w:t xml:space="preserve"> </w:t>
      </w:r>
      <w:r>
        <w:t xml:space="preserve">(Malcolm et al.</w:t>
      </w:r>
      <w:r>
        <w:t xml:space="preserve"> </w:t>
      </w:r>
      <w:hyperlink w:anchor="ref-Malcolm2002">
        <w:r>
          <w:rPr>
            <w:rStyle w:val="Hyperlink"/>
          </w:rPr>
          <w:t xml:space="preserve">2002</w:t>
        </w:r>
      </w:hyperlink>
      <w:r>
        <w:t xml:space="preserve">; Mckenney et</w:t>
      </w:r>
      <w:r>
        <w:t xml:space="preserve"> </w:t>
      </w:r>
      <w:r>
        <w:t xml:space="preserve">al.</w:t>
      </w:r>
      <w:r>
        <w:t xml:space="preserve"> </w:t>
      </w:r>
      <w:hyperlink w:anchor="ref-Mckenney2007">
        <w:r>
          <w:rPr>
            <w:rStyle w:val="Hyperlink"/>
          </w:rPr>
          <w:t xml:space="preserve">2007</w:t>
        </w:r>
      </w:hyperlink>
      <w:r>
        <w:t xml:space="preserve">). While it is true that</w:t>
      </w:r>
      <w:r>
        <w:t xml:space="preserve"> </w:t>
      </w:r>
      <w:r>
        <w:t xml:space="preserve">the range of short-lived mobile species may keep pace with climate</w:t>
      </w:r>
      <w:r>
        <w:t xml:space="preserve"> </w:t>
      </w:r>
      <w:r>
        <w:t xml:space="preserve">change (Chen et al.</w:t>
      </w:r>
      <w:r>
        <w:t xml:space="preserve"> </w:t>
      </w:r>
      <w:hyperlink w:anchor="ref-Chen2011">
        <w:r>
          <w:rPr>
            <w:rStyle w:val="Hyperlink"/>
          </w:rPr>
          <w:t xml:space="preserve">2011</w:t>
        </w:r>
      </w:hyperlink>
      <w:r>
        <w:t xml:space="preserve">), the range</w:t>
      </w:r>
      <w:r>
        <w:t xml:space="preserve"> </w:t>
      </w:r>
      <w:r>
        <w:t xml:space="preserve">of long-lived tree species generally does not (Harsch et al.</w:t>
      </w:r>
      <w:r>
        <w:t xml:space="preserve"> </w:t>
      </w:r>
      <w:hyperlink w:anchor="ref-Harsch2009">
        <w:r>
          <w:rPr>
            <w:rStyle w:val="Hyperlink"/>
          </w:rPr>
          <w:t xml:space="preserve">2009</w:t>
        </w:r>
      </w:hyperlink>
      <w:r>
        <w:t xml:space="preserve">; Zhu, Woodall, and Clark</w:t>
      </w:r>
      <w:r>
        <w:t xml:space="preserve"> </w:t>
      </w:r>
      <w:hyperlink w:anchor="ref-Zhu2012">
        <w:r>
          <w:rPr>
            <w:rStyle w:val="Hyperlink"/>
          </w:rPr>
          <w:t xml:space="preserve">2012</w:t>
        </w:r>
      </w:hyperlink>
      <w:r>
        <w:t xml:space="preserve">). In fact, trees of eastern North</w:t>
      </w:r>
      <w:r>
        <w:t xml:space="preserve"> </w:t>
      </w:r>
      <w:r>
        <w:t xml:space="preserve">America have shifted their range limits at less than 50% of the pace</w:t>
      </w:r>
      <w:r>
        <w:t xml:space="preserve"> </w:t>
      </w:r>
      <w:r>
        <w:t xml:space="preserve">required to keep up with warming temperature (Sittaro et al.</w:t>
      </w:r>
      <w:r>
        <w:t xml:space="preserve"> </w:t>
      </w:r>
      <w:hyperlink w:anchor="ref-Sittaro2017">
        <w:r>
          <w:rPr>
            <w:rStyle w:val="Hyperlink"/>
          </w:rPr>
          <w:t xml:space="preserve">2017</w:t>
        </w:r>
      </w:hyperlink>
      <w:r>
        <w:t xml:space="preserve">). This mismatch between</w:t>
      </w:r>
      <w:r>
        <w:t xml:space="preserve"> </w:t>
      </w:r>
      <w:r>
        <w:t xml:space="preserve">climate conditions and forest community composition leads us to</w:t>
      </w:r>
      <w:r>
        <w:t xml:space="preserve"> </w:t>
      </w:r>
      <w:r>
        <w:t xml:space="preserve">anticipate maladaptation of trees to their environment, and therefore a</w:t>
      </w:r>
      <w:r>
        <w:t xml:space="preserve"> </w:t>
      </w:r>
      <w:r>
        <w:t xml:space="preserve">possible loss of future forest productivity (Aitken et al.</w:t>
      </w:r>
      <w:r>
        <w:t xml:space="preserve"> </w:t>
      </w:r>
      <w:hyperlink w:anchor="ref-Aitken2008">
        <w:r>
          <w:rPr>
            <w:rStyle w:val="Hyperlink"/>
          </w:rPr>
          <w:t xml:space="preserve">2008</w:t>
        </w:r>
      </w:hyperlink>
      <w:r>
        <w:t xml:space="preserve">). Quantifying the mechanisms</w:t>
      </w:r>
      <w:r>
        <w:t xml:space="preserve"> </w:t>
      </w:r>
      <w:r>
        <w:t xml:space="preserve">determining species range limits is, therefore, critical for formulating</w:t>
      </w:r>
      <w:r>
        <w:t xml:space="preserve"> </w:t>
      </w:r>
      <w:r>
        <w:t xml:space="preserve">adaptive management strategies (Becknell et al.</w:t>
      </w:r>
      <w:r>
        <w:t xml:space="preserve"> </w:t>
      </w:r>
      <w:hyperlink w:anchor="ref-Becknell2015">
        <w:r>
          <w:rPr>
            <w:rStyle w:val="Hyperlink"/>
          </w:rPr>
          <w:t xml:space="preserve">2015</w:t>
        </w:r>
      </w:hyperlink>
      <w:r>
        <w:t xml:space="preserve">).</w:t>
      </w:r>
    </w:p>
    <w:p>
      <w:pPr>
        <w:pStyle w:val="BodyText"/>
      </w:pPr>
      <w:r>
        <w:t xml:space="preserve">Range limits of forest trees is driven by colonization and extinction</w:t>
      </w:r>
      <w:r>
        <w:t xml:space="preserve"> </w:t>
      </w:r>
      <w:r>
        <w:t xml:space="preserve">dynamics (Levins</w:t>
      </w:r>
      <w:r>
        <w:t xml:space="preserve"> </w:t>
      </w:r>
      <w:hyperlink w:anchor="ref-Levins1969">
        <w:r>
          <w:rPr>
            <w:rStyle w:val="Hyperlink"/>
          </w:rPr>
          <w:t xml:space="preserve">1969</w:t>
        </w:r>
      </w:hyperlink>
      <w:r>
        <w:t xml:space="preserve">; Hanski</w:t>
      </w:r>
      <w:r>
        <w:t xml:space="preserve"> </w:t>
      </w:r>
      <w:hyperlink w:anchor="ref-Hanski1998">
        <w:r>
          <w:rPr>
            <w:rStyle w:val="Hyperlink"/>
          </w:rPr>
          <w:t xml:space="preserve">1998</w:t>
        </w:r>
      </w:hyperlink>
      <w:r>
        <w:t xml:space="preserve">; Holt and Keitt</w:t>
      </w:r>
      <w:r>
        <w:t xml:space="preserve"> </w:t>
      </w:r>
      <w:hyperlink w:anchor="ref-Holt2000">
        <w:r>
          <w:rPr>
            <w:rStyle w:val="Hyperlink"/>
          </w:rPr>
          <w:t xml:space="preserve">2000</w:t>
        </w:r>
      </w:hyperlink>
      <w:r>
        <w:t xml:space="preserve">). The metapopulation theory</w:t>
      </w:r>
      <w:r>
        <w:t xml:space="preserve"> </w:t>
      </w:r>
      <w:r>
        <w:t xml:space="preserve">predicts the boundary of a species’ range occurs where the colonization</w:t>
      </w:r>
      <w:r>
        <w:t xml:space="preserve"> </w:t>
      </w:r>
      <w:r>
        <w:t xml:space="preserve">rate equals the extinction rate, wherever habitat is available (Holt and</w:t>
      </w:r>
      <w:r>
        <w:t xml:space="preserve"> </w:t>
      </w:r>
      <w:r>
        <w:t xml:space="preserve">Keitt</w:t>
      </w:r>
      <w:r>
        <w:t xml:space="preserve"> </w:t>
      </w:r>
      <w:hyperlink w:anchor="ref-Holt2000">
        <w:r>
          <w:rPr>
            <w:rStyle w:val="Hyperlink"/>
          </w:rPr>
          <w:t xml:space="preserve">2000</w:t>
        </w:r>
      </w:hyperlink>
      <w:r>
        <w:t xml:space="preserve">). Assuming that</w:t>
      </w:r>
      <w:r>
        <w:t xml:space="preserve"> </w:t>
      </w:r>
      <w:r>
        <w:t xml:space="preserve">colonization and extinction rates depend on temperature, then we expect</w:t>
      </w:r>
      <w:r>
        <w:t xml:space="preserve"> </w:t>
      </w:r>
      <w:r>
        <w:t xml:space="preserve">range limits to change with climate warming. However, colonization and</w:t>
      </w:r>
      <w:r>
        <w:t xml:space="preserve"> </w:t>
      </w:r>
      <w:r>
        <w:t xml:space="preserve">extinction rates depend on many processes other than climate such as</w:t>
      </w:r>
      <w:r>
        <w:t xml:space="preserve"> </w:t>
      </w:r>
      <w:r>
        <w:t xml:space="preserve">dispersal ability, establishment of propagules, survival and growth</w:t>
      </w:r>
      <w:r>
        <w:t xml:space="preserve"> </w:t>
      </w:r>
      <w:r>
        <w:t xml:space="preserve">until maturity (Jackson and Sax</w:t>
      </w:r>
      <w:r>
        <w:t xml:space="preserve"> </w:t>
      </w:r>
      <w:hyperlink w:anchor="ref-Jackson2010">
        <w:r>
          <w:rPr>
            <w:rStyle w:val="Hyperlink"/>
          </w:rPr>
          <w:t xml:space="preserve">2010</w:t>
        </w:r>
      </w:hyperlink>
      <w:r>
        <w:t xml:space="preserve">; Schurr et al.</w:t>
      </w:r>
      <w:r>
        <w:t xml:space="preserve"> </w:t>
      </w:r>
      <w:hyperlink w:anchor="ref-Schurr2012">
        <w:r>
          <w:rPr>
            <w:rStyle w:val="Hyperlink"/>
          </w:rPr>
          <w:t xml:space="preserve">2012</w:t>
        </w:r>
      </w:hyperlink>
      <w:r>
        <w:t xml:space="preserve">). Colonization and extinction</w:t>
      </w:r>
      <w:r>
        <w:t xml:space="preserve"> </w:t>
      </w:r>
      <w:r>
        <w:t xml:space="preserve">rates also depend on each species’ life-history traits as well as on the</w:t>
      </w:r>
      <w:r>
        <w:t xml:space="preserve"> </w:t>
      </w:r>
      <w:r>
        <w:t xml:space="preserve">nature and recurrence of forest disturbances (Butterfield et al.</w:t>
      </w:r>
      <w:r>
        <w:t xml:space="preserve"> </w:t>
      </w:r>
      <w:hyperlink w:anchor="ref-Butterfield2019">
        <w:r>
          <w:rPr>
            <w:rStyle w:val="Hyperlink"/>
          </w:rPr>
          <w:t xml:space="preserve">2019</w:t>
        </w:r>
      </w:hyperlink>
      <w:r>
        <w:t xml:space="preserve">; Schurr et al.</w:t>
      </w:r>
      <w:r>
        <w:t xml:space="preserve"> </w:t>
      </w:r>
      <w:hyperlink w:anchor="ref-Schurr2012">
        <w:r>
          <w:rPr>
            <w:rStyle w:val="Hyperlink"/>
          </w:rPr>
          <w:t xml:space="preserve">2012</w:t>
        </w:r>
      </w:hyperlink>
      <w:r>
        <w:t xml:space="preserve">). Changes in any of these</w:t>
      </w:r>
      <w:r>
        <w:t xml:space="preserve"> </w:t>
      </w:r>
      <w:r>
        <w:t xml:space="preserve">factors are likely to lead to colonization credit for some species</w:t>
      </w:r>
      <w:r>
        <w:t xml:space="preserve"> </w:t>
      </w:r>
      <w:r>
        <w:t xml:space="preserve">whereby suitable habitat is left unoccupied (Jackson and Sax</w:t>
      </w:r>
      <w:r>
        <w:t xml:space="preserve"> </w:t>
      </w:r>
      <w:hyperlink w:anchor="ref-Jackson2010">
        <w:r>
          <w:rPr>
            <w:rStyle w:val="Hyperlink"/>
          </w:rPr>
          <w:t xml:space="preserve">2010</w:t>
        </w:r>
      </w:hyperlink>
      <w:r>
        <w:t xml:space="preserve">; Cristofoli et al.</w:t>
      </w:r>
      <w:r>
        <w:t xml:space="preserve"> </w:t>
      </w:r>
      <w:hyperlink w:anchor="ref-Cristofoli2010">
        <w:r>
          <w:rPr>
            <w:rStyle w:val="Hyperlink"/>
          </w:rPr>
          <w:t xml:space="preserve">2010</w:t>
        </w:r>
      </w:hyperlink>
      <w:r>
        <w:t xml:space="preserve">), or to extinction debt</w:t>
      </w:r>
      <w:r>
        <w:t xml:space="preserve"> </w:t>
      </w:r>
      <w:r>
        <w:t xml:space="preserve">whereby populations persist in unsuitable habitats (Kuussaari et al.</w:t>
      </w:r>
      <w:r>
        <w:t xml:space="preserve"> </w:t>
      </w:r>
      <w:hyperlink w:anchor="ref-Kuussaari2009">
        <w:r>
          <w:rPr>
            <w:rStyle w:val="Hyperlink"/>
          </w:rPr>
          <w:t xml:space="preserve">2009</w:t>
        </w:r>
      </w:hyperlink>
      <w:r>
        <w:t xml:space="preserve">; Tilman et al.</w:t>
      </w:r>
      <w:r>
        <w:t xml:space="preserve"> </w:t>
      </w:r>
      <w:hyperlink w:anchor="ref-Tilman1994a">
        <w:r>
          <w:rPr>
            <w:rStyle w:val="Hyperlink"/>
          </w:rPr>
          <w:t xml:space="preserve">1994</w:t>
        </w:r>
      </w:hyperlink>
      <w:r>
        <w:t xml:space="preserve">). Accordingly, because of</w:t>
      </w:r>
      <w:r>
        <w:t xml:space="preserve"> </w:t>
      </w:r>
      <w:r>
        <w:t xml:space="preserve">their slow demographic rates, eastern North American trees will have</w:t>
      </w:r>
      <w:r>
        <w:t xml:space="preserve"> </w:t>
      </w:r>
      <w:r>
        <w:t xml:space="preserve">delayed range shifts due to extinction debt at the trailing edge of</w:t>
      </w:r>
      <w:r>
        <w:t xml:space="preserve"> </w:t>
      </w:r>
      <w:r>
        <w:t xml:space="preserve">their range and colonization credit at the leading edge (Talluto et al.</w:t>
      </w:r>
      <w:r>
        <w:t xml:space="preserve"> </w:t>
      </w:r>
      <w:hyperlink w:anchor="ref-Talluto2017">
        <w:r>
          <w:rPr>
            <w:rStyle w:val="Hyperlink"/>
          </w:rPr>
          <w:t xml:space="preserve">2017</w:t>
        </w:r>
      </w:hyperlink>
      <w:r>
        <w:t xml:space="preserve">).</w:t>
      </w:r>
    </w:p>
    <w:p>
      <w:pPr>
        <w:pStyle w:val="BodyText"/>
      </w:pPr>
      <w:r>
        <w:t xml:space="preserve">Forest management provides an opportunity to reduce colonization credit</w:t>
      </w:r>
      <w:r>
        <w:t xml:space="preserve"> </w:t>
      </w:r>
      <w:r>
        <w:t xml:space="preserve">and extinction debt and, therefore, accelerate range shift to help trees</w:t>
      </w:r>
      <w:r>
        <w:t xml:space="preserve"> </w:t>
      </w:r>
      <w:r>
        <w:t xml:space="preserve">keep pace with climate warming. Although some management practices, such</w:t>
      </w:r>
      <w:r>
        <w:t xml:space="preserve"> </w:t>
      </w:r>
      <w:r>
        <w:t xml:space="preserve">as assisted migration (Peters and Darling</w:t>
      </w:r>
      <w:r>
        <w:t xml:space="preserve"> </w:t>
      </w:r>
      <w:hyperlink w:anchor="ref-Peters1985a">
        <w:r>
          <w:rPr>
            <w:rStyle w:val="Hyperlink"/>
          </w:rPr>
          <w:t xml:space="preserve">1985</w:t>
        </w:r>
      </w:hyperlink>
      <w:r>
        <w:t xml:space="preserve">), have been proposed as a</w:t>
      </w:r>
      <w:r>
        <w:t xml:space="preserve"> </w:t>
      </w:r>
      <w:r>
        <w:t xml:space="preserve">potential tool towards this end (</w:t>
      </w:r>
      <w:r>
        <w:rPr>
          <w:i/>
        </w:rPr>
        <w:t xml:space="preserve">e.g.</w:t>
      </w:r>
      <w:r>
        <w:t xml:space="preserve"> </w:t>
      </w:r>
      <w:r>
        <w:t xml:space="preserve">Gray et al.</w:t>
      </w:r>
      <w:r>
        <w:t xml:space="preserve"> </w:t>
      </w:r>
      <w:hyperlink w:anchor="ref-Gray2011">
        <w:r>
          <w:rPr>
            <w:rStyle w:val="Hyperlink"/>
          </w:rPr>
          <w:t xml:space="preserve">2011</w:t>
        </w:r>
      </w:hyperlink>
      <w:r>
        <w:t xml:space="preserve">), there has been extensive debate</w:t>
      </w:r>
      <w:r>
        <w:t xml:space="preserve"> </w:t>
      </w:r>
      <w:r>
        <w:t xml:space="preserve">about its effectiveness with no definite conclusion (</w:t>
      </w:r>
      <w:r>
        <w:rPr>
          <w:i/>
        </w:rPr>
        <w:t xml:space="preserve">e.g.</w:t>
      </w:r>
      <w:r>
        <w:t xml:space="preserve"> </w:t>
      </w:r>
      <w:r>
        <w:t xml:space="preserve">McLachlan, Hellmann, and Schwartz</w:t>
      </w:r>
      <w:r>
        <w:t xml:space="preserve"> </w:t>
      </w:r>
      <w:hyperlink w:anchor="ref-McLachlan2007">
        <w:r>
          <w:rPr>
            <w:rStyle w:val="Hyperlink"/>
          </w:rPr>
          <w:t xml:space="preserve">2007</w:t>
        </w:r>
      </w:hyperlink>
      <w:r>
        <w:t xml:space="preserve">; Vitt, Havens, and</w:t>
      </w:r>
      <w:r>
        <w:t xml:space="preserve"> </w:t>
      </w:r>
      <w:r>
        <w:t xml:space="preserve">Hoegh-Guldberg</w:t>
      </w:r>
      <w:r>
        <w:t xml:space="preserve"> </w:t>
      </w:r>
      <w:hyperlink w:anchor="ref-Vila2010">
        <w:r>
          <w:rPr>
            <w:rStyle w:val="Hyperlink"/>
          </w:rPr>
          <w:t xml:space="preserve">2009</w:t>
        </w:r>
      </w:hyperlink>
      <w:r>
        <w:t xml:space="preserve">; Ricciardi and</w:t>
      </w:r>
      <w:r>
        <w:t xml:space="preserve"> </w:t>
      </w:r>
      <w:r>
        <w:t xml:space="preserve">Simberloff</w:t>
      </w:r>
      <w:r>
        <w:t xml:space="preserve"> </w:t>
      </w:r>
      <w:hyperlink w:anchor="ref-Ricciardi2009">
        <w:r>
          <w:rPr>
            <w:rStyle w:val="Hyperlink"/>
          </w:rPr>
          <w:t xml:space="preserve">2009</w:t>
        </w:r>
      </w:hyperlink>
      <w:r>
        <w:t xml:space="preserve">; Schwartz,</w:t>
      </w:r>
      <w:r>
        <w:t xml:space="preserve"> </w:t>
      </w:r>
      <w:r>
        <w:t xml:space="preserve">Hellmann, and McLachlan</w:t>
      </w:r>
      <w:r>
        <w:t xml:space="preserve"> </w:t>
      </w:r>
      <w:hyperlink w:anchor="ref-Schwartz2009">
        <w:r>
          <w:rPr>
            <w:rStyle w:val="Hyperlink"/>
          </w:rPr>
          <w:t xml:space="preserve">2009</w:t>
        </w:r>
      </w:hyperlink>
      <w:r>
        <w:t xml:space="preserve">). The</w:t>
      </w:r>
      <w:r>
        <w:t xml:space="preserve"> </w:t>
      </w:r>
      <w:r>
        <w:t xml:space="preserve">truth is, temperature is warming and there is an increased need to</w:t>
      </w:r>
      <w:r>
        <w:t xml:space="preserve"> </w:t>
      </w:r>
      <w:r>
        <w:t xml:space="preserve">consider the future environmental conditions in the adaption of forest</w:t>
      </w:r>
      <w:r>
        <w:t xml:space="preserve"> </w:t>
      </w:r>
      <w:r>
        <w:t xml:space="preserve">management practices (Keenan</w:t>
      </w:r>
      <w:r>
        <w:t xml:space="preserve"> </w:t>
      </w:r>
      <w:hyperlink w:anchor="ref-Keenan2015">
        <w:r>
          <w:rPr>
            <w:rStyle w:val="Hyperlink"/>
          </w:rPr>
          <w:t xml:space="preserve">2015</w:t>
        </w:r>
      </w:hyperlink>
      <w:r>
        <w:t xml:space="preserve">;</w:t>
      </w:r>
      <w:r>
        <w:t xml:space="preserve"> </w:t>
      </w:r>
      <w:r>
        <w:t xml:space="preserve">Ameztegui et al.</w:t>
      </w:r>
      <w:r>
        <w:t xml:space="preserve"> </w:t>
      </w:r>
      <w:hyperlink w:anchor="ref-Ameztegui2018">
        <w:r>
          <w:rPr>
            <w:rStyle w:val="Hyperlink"/>
          </w:rPr>
          <w:t xml:space="preserve">2018</w:t>
        </w:r>
      </w:hyperlink>
      <w:r>
        <w:t xml:space="preserve">). Reduce</w:t>
      </w:r>
      <w:r>
        <w:t xml:space="preserve"> </w:t>
      </w:r>
      <w:r>
        <w:t xml:space="preserve">colonization credit and extinction debt to accelerate tree range shifts</w:t>
      </w:r>
      <w:r>
        <w:t xml:space="preserve"> </w:t>
      </w:r>
      <w:r>
        <w:t xml:space="preserve">can be obtained through different management approaches involving</w:t>
      </w:r>
      <w:r>
        <w:t xml:space="preserve"> </w:t>
      </w:r>
      <w:r>
        <w:t xml:space="preserve">different ecological processes. For instance, large-scale harvesting may</w:t>
      </w:r>
      <w:r>
        <w:t xml:space="preserve"> </w:t>
      </w:r>
      <w:r>
        <w:t xml:space="preserve">reduce extinction debt by removing maladapted individuals at the</w:t>
      </w:r>
      <w:r>
        <w:t xml:space="preserve"> </w:t>
      </w:r>
      <w:r>
        <w:t xml:space="preserve">trailing edge, and also reduce colonization credit by reducing</w:t>
      </w:r>
      <w:r>
        <w:t xml:space="preserve"> </w:t>
      </w:r>
      <w:r>
        <w:t xml:space="preserve">competitive interactions at the leading edge (Leithead, Anand, and Silva</w:t>
      </w:r>
      <w:r>
        <w:t xml:space="preserve"> </w:t>
      </w:r>
      <w:hyperlink w:anchor="ref-Leithead2010">
        <w:r>
          <w:rPr>
            <w:rStyle w:val="Hyperlink"/>
          </w:rPr>
          <w:t xml:space="preserve">2010</w:t>
        </w:r>
      </w:hyperlink>
      <w:r>
        <w:t xml:space="preserve">; Steenberg, Duinker, and Bush</w:t>
      </w:r>
      <w:r>
        <w:t xml:space="preserve"> </w:t>
      </w:r>
      <w:hyperlink w:anchor="ref-Steenberg2013">
        <w:r>
          <w:rPr>
            <w:rStyle w:val="Hyperlink"/>
          </w:rPr>
          <w:t xml:space="preserve">2013</w:t>
        </w:r>
      </w:hyperlink>
      <w:r>
        <w:t xml:space="preserve">; Brice et al.</w:t>
      </w:r>
      <w:r>
        <w:t xml:space="preserve"> </w:t>
      </w:r>
      <w:hyperlink w:anchor="ref-Brice2020">
        <w:r>
          <w:rPr>
            <w:rStyle w:val="Hyperlink"/>
          </w:rPr>
          <w:t xml:space="preserve">2020</w:t>
        </w:r>
      </w:hyperlink>
      <w:r>
        <w:t xml:space="preserve">). Similarly, stand thinning</w:t>
      </w:r>
      <w:r>
        <w:t xml:space="preserve"> </w:t>
      </w:r>
      <w:r>
        <w:t xml:space="preserve">could improve the competitive ability of certain tree species that</w:t>
      </w:r>
      <w:r>
        <w:t xml:space="preserve"> </w:t>
      </w:r>
      <w:r>
        <w:t xml:space="preserve">thrive in forest gaps. Yet another management option would be the</w:t>
      </w:r>
      <w:r>
        <w:t xml:space="preserve"> </w:t>
      </w:r>
      <w:r>
        <w:t xml:space="preserve">planting of novel species or genotypes in open areas, or enrichment</w:t>
      </w:r>
      <w:r>
        <w:t xml:space="preserve"> </w:t>
      </w:r>
      <w:r>
        <w:t xml:space="preserve">planting in mature stands, which could favor the desired successional</w:t>
      </w:r>
      <w:r>
        <w:t xml:space="preserve"> </w:t>
      </w:r>
      <w:r>
        <w:t xml:space="preserve">pathways. These examples show how we can use ecological knowledge to</w:t>
      </w:r>
      <w:r>
        <w:t xml:space="preserve"> </w:t>
      </w:r>
      <w:r>
        <w:t xml:space="preserve">adapt management practices to reduce colonization credit and extinction</w:t>
      </w:r>
      <w:r>
        <w:t xml:space="preserve"> </w:t>
      </w:r>
      <w:r>
        <w:t xml:space="preserve">debt.</w:t>
      </w:r>
    </w:p>
    <w:p>
      <w:pPr>
        <w:pStyle w:val="BodyText"/>
      </w:pPr>
      <w:r>
        <w:t xml:space="preserve">In this study, our main objective was to assess how forest management</w:t>
      </w:r>
      <w:r>
        <w:t xml:space="preserve"> </w:t>
      </w:r>
      <w:r>
        <w:t xml:space="preserve">can accelerate the response of the boreal-temperate ecotone to warming</w:t>
      </w:r>
      <w:r>
        <w:t xml:space="preserve"> </w:t>
      </w:r>
      <w:r>
        <w:t xml:space="preserve">temperature by reducing colonization credit and extinction debt. We</w:t>
      </w:r>
      <w:r>
        <w:t xml:space="preserve"> </w:t>
      </w:r>
      <w:r>
        <w:t xml:space="preserve">first established a general modelling framework based on the</w:t>
      </w:r>
      <w:r>
        <w:t xml:space="preserve"> </w:t>
      </w:r>
      <w:r>
        <w:t xml:space="preserve">metapopulation theory, to determine how different management practices</w:t>
      </w:r>
      <w:r>
        <w:t xml:space="preserve"> </w:t>
      </w:r>
      <w:r>
        <w:t xml:space="preserve">affect the processes driving range dynamics. We then assessed the</w:t>
      </w:r>
      <w:r>
        <w:t xml:space="preserve"> </w:t>
      </w:r>
      <w:r>
        <w:t xml:space="preserve">effectiveness of these practices to move and maintain species in their</w:t>
      </w:r>
      <w:r>
        <w:t xml:space="preserve"> </w:t>
      </w:r>
      <w:r>
        <w:t xml:space="preserve">optimal climate envelopes, using comparative simulations. Our empirical</w:t>
      </w:r>
      <w:r>
        <w:t xml:space="preserve"> </w:t>
      </w:r>
      <w:r>
        <w:t xml:space="preserve">model accounts for colonization and extinction dynamics, along with</w:t>
      </w:r>
      <w:r>
        <w:t xml:space="preserve"> </w:t>
      </w:r>
      <w:r>
        <w:t xml:space="preserve">competitive exclusion and invasion processes, to predict how the</w:t>
      </w:r>
      <w:r>
        <w:t xml:space="preserve"> </w:t>
      </w:r>
      <w:r>
        <w:t xml:space="preserve">boreal-temperate ecotone responds to climate warming (Vissault et al.</w:t>
      </w:r>
      <w:r>
        <w:t xml:space="preserve"> </w:t>
      </w:r>
      <w:hyperlink w:anchor="ref-Vissault2020">
        <w:r>
          <w:rPr>
            <w:rStyle w:val="Hyperlink"/>
          </w:rPr>
          <w:t xml:space="preserve">2020</w:t>
        </w:r>
      </w:hyperlink>
      <w:r>
        <w:t xml:space="preserve">). Our model was initially</w:t>
      </w:r>
      <w:r>
        <w:t xml:space="preserve"> </w:t>
      </w:r>
      <w:r>
        <w:t xml:space="preserve">calibrated and validated with data from over 40,000 plots from eastern</w:t>
      </w:r>
      <w:r>
        <w:t xml:space="preserve"> </w:t>
      </w:r>
      <w:r>
        <w:t xml:space="preserve">North America and integrates the effect of plantation, enrichment</w:t>
      </w:r>
      <w:r>
        <w:t xml:space="preserve"> </w:t>
      </w:r>
      <w:r>
        <w:t xml:space="preserve">planting, harvest and thinning on the colonization and extinction</w:t>
      </w:r>
      <w:r>
        <w:t xml:space="preserve"> </w:t>
      </w:r>
      <w:r>
        <w:t xml:space="preserve">dynamics of temperate deciduous and boreal conifer stands.</w:t>
      </w:r>
    </w:p>
    <w:p>
      <w:pPr>
        <w:pStyle w:val="BodyText"/>
      </w:pPr>
      <w:r>
        <w:t xml:space="preserve">We tested the effectiveness of the four management practices by</w:t>
      </w:r>
      <w:r>
        <w:t xml:space="preserve"> </w:t>
      </w:r>
      <w:r>
        <w:t xml:space="preserve">quantifying both the short-term and the long-term dynamics after climate</w:t>
      </w:r>
      <w:r>
        <w:t xml:space="preserve"> </w:t>
      </w:r>
      <w:r>
        <w:t xml:space="preserve">warming (Figure</w:t>
      </w:r>
      <w:r>
        <w:t xml:space="preserve"> </w:t>
      </w:r>
      <w:hyperlink w:anchor="fig:concept">
        <w:r>
          <w:rPr>
            <w:rStyle w:val="Hyperlink"/>
          </w:rPr>
          <w:t xml:space="preserve">1</w:t>
        </w:r>
      </w:hyperlink>
      <w:r>
        <w:t xml:space="preserve">). The short-term and long-term</w:t>
      </w:r>
      <w:r>
        <w:t xml:space="preserve"> </w:t>
      </w:r>
      <w:r>
        <w:t xml:space="preserve">response of different tree species to disturbance may differ, yet most</w:t>
      </w:r>
      <w:r>
        <w:t xml:space="preserve"> </w:t>
      </w:r>
      <w:r>
        <w:t xml:space="preserve">ecological studies focus only on the long-term response. The short-term</w:t>
      </w:r>
      <w:r>
        <w:t xml:space="preserve"> </w:t>
      </w:r>
      <w:r>
        <w:t xml:space="preserve">response (or transient dynamics) is defined here as the period a forest</w:t>
      </w:r>
      <w:r>
        <w:t xml:space="preserve"> </w:t>
      </w:r>
      <w:r>
        <w:t xml:space="preserve">stand at equilibrium takes to reach a new equilibrium after a</w:t>
      </w:r>
      <w:r>
        <w:t xml:space="preserve"> </w:t>
      </w:r>
      <w:r>
        <w:t xml:space="preserve">disturbance (Hastings</w:t>
      </w:r>
      <w:r>
        <w:t xml:space="preserve"> </w:t>
      </w:r>
      <w:hyperlink w:anchor="ref-Hastings2004">
        <w:r>
          <w:rPr>
            <w:rStyle w:val="Hyperlink"/>
          </w:rPr>
          <w:t xml:space="preserve">2004</w:t>
        </w:r>
      </w:hyperlink>
      <w:r>
        <w:t xml:space="preserve">).</w:t>
      </w:r>
      <w:r>
        <w:t xml:space="preserve"> </w:t>
      </w:r>
      <w:r>
        <w:t xml:space="preserve">Characterizing short-term dynamics along with the long-term equilibrium</w:t>
      </w:r>
      <w:r>
        <w:t xml:space="preserve"> </w:t>
      </w:r>
      <w:r>
        <w:t xml:space="preserve">is crucial when planning adaptive forest management strategies, given</w:t>
      </w:r>
      <w:r>
        <w:t xml:space="preserve"> </w:t>
      </w:r>
      <w:r>
        <w:t xml:space="preserve">the slow response of forest ecosystems to environmental changes</w:t>
      </w:r>
      <w:r>
        <w:t xml:space="preserve"> </w:t>
      </w:r>
      <w:r>
        <w:t xml:space="preserve">(Hastings</w:t>
      </w:r>
      <w:r>
        <w:t xml:space="preserve"> </w:t>
      </w:r>
      <w:hyperlink w:anchor="ref-Hastings2004">
        <w:r>
          <w:rPr>
            <w:rStyle w:val="Hyperlink"/>
          </w:rPr>
          <w:t xml:space="preserve">2004</w:t>
        </w:r>
      </w:hyperlink>
      <w:r>
        <w:t xml:space="preserve">; Svenning and</w:t>
      </w:r>
      <w:r>
        <w:t xml:space="preserve"> </w:t>
      </w:r>
      <w:r>
        <w:t xml:space="preserve">Sandel</w:t>
      </w:r>
      <w:r>
        <w:t xml:space="preserve"> </w:t>
      </w:r>
      <w:hyperlink w:anchor="ref-Svenning2013">
        <w:r>
          <w:rPr>
            <w:rStyle w:val="Hyperlink"/>
          </w:rPr>
          <w:t xml:space="preserve">2013</w:t>
        </w:r>
      </w:hyperlink>
      <w:r>
        <w:t xml:space="preserve">; Ezard et al.</w:t>
      </w:r>
      <w:r>
        <w:t xml:space="preserve"> </w:t>
      </w:r>
      <w:hyperlink w:anchor="ref-Ezard2010">
        <w:r>
          <w:rPr>
            <w:rStyle w:val="Hyperlink"/>
          </w:rPr>
          <w:t xml:space="preserve">2010</w:t>
        </w:r>
      </w:hyperlink>
      <w:r>
        <w:t xml:space="preserve">). More specifically, we first</w:t>
      </w:r>
      <w:r>
        <w:t xml:space="preserve"> </w:t>
      </w:r>
      <w:r>
        <w:t xml:space="preserve">analyzed how each of our selected management practices affects the</w:t>
      </w:r>
      <w:r>
        <w:t xml:space="preserve"> </w:t>
      </w:r>
      <w:r>
        <w:t xml:space="preserve">resilience, state change, and time to reach the novel equilibrium, using</w:t>
      </w:r>
      <w:r>
        <w:t xml:space="preserve"> </w:t>
      </w:r>
      <w:r>
        <w:t xml:space="preserve">five metrics of transient dynamics in a spatially implicit version of</w:t>
      </w:r>
      <w:r>
        <w:t xml:space="preserve"> </w:t>
      </w:r>
      <w:r>
        <w:t xml:space="preserve">the model. Finally for the long-term response, we developed a spatially</w:t>
      </w:r>
      <w:r>
        <w:t xml:space="preserve"> </w:t>
      </w:r>
      <w:r>
        <w:t xml:space="preserve">explicit version of the model, to consider the dispersal limitations of</w:t>
      </w:r>
      <w:r>
        <w:t xml:space="preserve"> </w:t>
      </w:r>
      <w:r>
        <w:t xml:space="preserve">trees and stochastic events. Specifically, we quantified how each of the</w:t>
      </w:r>
      <w:r>
        <w:t xml:space="preserve"> </w:t>
      </w:r>
      <w:r>
        <w:t xml:space="preserve">management practices accelerates the northward range shift of the</w:t>
      </w:r>
      <w:r>
        <w:t xml:space="preserve"> </w:t>
      </w:r>
      <w:r>
        <w:t xml:space="preserve">boreal-temperate ecotone in a landscape grid. These analyses might guide</w:t>
      </w:r>
      <w:r>
        <w:t xml:space="preserve"> </w:t>
      </w:r>
      <w:r>
        <w:t xml:space="preserve">future empirical studies by revealing the potential effect of forest</w:t>
      </w:r>
      <w:r>
        <w:t xml:space="preserve"> </w:t>
      </w:r>
      <w:r>
        <w:t xml:space="preserve">management in accelerating the response of forest to climate warming and</w:t>
      </w:r>
      <w:r>
        <w:t xml:space="preserve"> </w:t>
      </w:r>
      <w:r>
        <w:t xml:space="preserve">thus contribute to the advancement of adaptive management practices.</w:t>
      </w:r>
    </w:p>
    <w:bookmarkStart w:id="25" w:name="fig:concept"/>
    <w:p>
      <w:pPr>
        <w:pStyle w:val="CaptionedFigure"/>
      </w:pPr>
      <w:bookmarkStart w:id="24" w:name="fig:concept"/>
      <w:r>
        <w:drawing>
          <wp:inline>
            <wp:extent cx="5943600" cy="2136011"/>
            <wp:effectExtent b="0" l="0" r="0" t="0"/>
            <wp:docPr descr="Conceptual schema of the two approaches used to test the effect of forest management on the response of forest to warming temperature. (a) Redrawn from Boulangeat et al. (2018). The spatially implicit version of the model to test the effect of forest management on the short-term dynamics after warming temperature. Given a patch (e.g. in the figure mainly composed of boreal species) at equilibrium with climate conditions, the warming temperature will shift the state proportion to a new equilibrium, and the response of the system to this perturbation can be characterized by five metrics: initial resilience (-R_0), asymptotic resilience (R_{\infty}), exposure (\Delta_{state}), sensitivity (\Delta_{time}) and cumulative amount of changes (\int S(t)dt). (b) The spatially explicit version of the model accounting for limited dispersal of trees and stochastic dynamics. The bars limit the trailing edge of boreal and the leading edge of temperate states. Warming temperature drives a temperate range shift, but not for the boreal trailing edge (red arrows Vissault et al. 2020). We use this approach to test the effect of forest management to accelerate the northward range shift of the boreal-temperate ecotone following warming temperature." title="" id="1" name="Picture"/>
            <a:graphic>
              <a:graphicData uri="http://schemas.openxmlformats.org/drawingml/2006/picture">
                <pic:pic>
                  <pic:nvPicPr>
                    <pic:cNvPr descr="manuscript/img/concept.png" id="0" name="Picture"/>
                    <pic:cNvPicPr>
                      <a:picLocks noChangeArrowheads="1" noChangeAspect="1"/>
                    </pic:cNvPicPr>
                  </pic:nvPicPr>
                  <pic:blipFill>
                    <a:blip r:embed="rId23"/>
                    <a:stretch>
                      <a:fillRect/>
                    </a:stretch>
                  </pic:blipFill>
                  <pic:spPr bwMode="auto">
                    <a:xfrm>
                      <a:off x="0" y="0"/>
                      <a:ext cx="5943600" cy="2136011"/>
                    </a:xfrm>
                    <a:prstGeom prst="rect">
                      <a:avLst/>
                    </a:prstGeom>
                    <a:noFill/>
                    <a:ln w="9525">
                      <a:noFill/>
                      <a:headEnd/>
                      <a:tailEnd/>
                    </a:ln>
                  </pic:spPr>
                </pic:pic>
              </a:graphicData>
            </a:graphic>
          </wp:inline>
        </w:drawing>
      </w:r>
      <w:bookmarkEnd w:id="24"/>
    </w:p>
    <w:p>
      <w:pPr>
        <w:pStyle w:val="ImageCaption"/>
      </w:pPr>
      <w:r>
        <w:t xml:space="preserve">Conceptual schema of the two approaches used to test the effect</w:t>
      </w:r>
      <w:r>
        <w:t xml:space="preserve"> </w:t>
      </w:r>
      <w:r>
        <w:t xml:space="preserve">of forest management on the response of forest to warming temperature.</w:t>
      </w:r>
      <w:r>
        <w:t xml:space="preserve"> </w:t>
      </w:r>
      <w:r>
        <w:t xml:space="preserve">(a) Redrawn from Boulangeat et al.</w:t>
      </w:r>
      <w:r>
        <w:t xml:space="preserve"> </w:t>
      </w:r>
      <w:r>
        <w:t xml:space="preserve">(</w:t>
      </w:r>
      <w:hyperlink w:anchor="ref-Boulangeat2018">
        <w:r>
          <w:rPr>
            <w:rStyle w:val="Hyperlink"/>
          </w:rPr>
          <w:t xml:space="preserve">2018</w:t>
        </w:r>
      </w:hyperlink>
      <w:r>
        <w:t xml:space="preserve">). The spatially implicit</w:t>
      </w:r>
      <w:r>
        <w:t xml:space="preserve"> </w:t>
      </w:r>
      <w:r>
        <w:t xml:space="preserve">version of the model to test the effect of forest management on the</w:t>
      </w:r>
      <w:r>
        <w:t xml:space="preserve"> </w:t>
      </w:r>
      <w:r>
        <w:t xml:space="preserve">short-term dynamics after warming temperature. Given a patch (e.g. in</w:t>
      </w:r>
      <w:r>
        <w:t xml:space="preserve"> </w:t>
      </w:r>
      <w:r>
        <w:t xml:space="preserve">the figure mainly composed of boreal species) at equilibrium with</w:t>
      </w:r>
      <w:r>
        <w:t xml:space="preserve"> </w:t>
      </w:r>
      <w:r>
        <w:t xml:space="preserve">climate conditions, the warming temperature will shift the state</w:t>
      </w:r>
      <w:r>
        <w:t xml:space="preserve"> </w:t>
      </w:r>
      <w:r>
        <w:t xml:space="preserve">proportion to a new equilibrium, and the response of the system to this</w:t>
      </w:r>
      <w:r>
        <w:t xml:space="preserve"> </w:t>
      </w:r>
      <w:r>
        <w:t xml:space="preserve">perturbation can be characterized by five metrics: initial resilience</w:t>
      </w:r>
      <w:r>
        <w:t xml:space="preserve"> </w:t>
      </w:r>
      <w:r>
        <w:t xml:space="preserve">(</w:t>
      </w:r>
      <m:oMath>
        <m:r>
          <m:t>−</m:t>
        </m:r>
        <m:sSub>
          <m:e>
            <m:r>
              <m:t>R</m:t>
            </m:r>
          </m:e>
          <m:sub>
            <m:r>
              <m:t>0</m:t>
            </m:r>
          </m:sub>
        </m:sSub>
      </m:oMath>
      <w:r>
        <w:t xml:space="preserve">), asymptotic resilience (</w:t>
      </w:r>
      <m:oMath>
        <m:sSub>
          <m:e>
            <m:r>
              <m:t>R</m:t>
            </m:r>
          </m:e>
          <m:sub>
            <m:r>
              <m:t>∞</m:t>
            </m:r>
          </m:sub>
        </m:sSub>
      </m:oMath>
      <w:r>
        <w:t xml:space="preserve">), exposure</w:t>
      </w:r>
      <w:r>
        <w:t xml:space="preserve"> </w:t>
      </w:r>
      <w:r>
        <w:t xml:space="preserve">(</w:t>
      </w:r>
      <m:oMath>
        <m:sSub>
          <m:e>
            <m:r>
              <m:t>Δ</m:t>
            </m:r>
          </m:e>
          <m:sub>
            <m:r>
              <m:t>s</m:t>
            </m:r>
            <m:r>
              <m:t>t</m:t>
            </m:r>
            <m:r>
              <m:t>a</m:t>
            </m:r>
            <m:r>
              <m:t>t</m:t>
            </m:r>
            <m:r>
              <m:t>e</m:t>
            </m:r>
          </m:sub>
        </m:sSub>
      </m:oMath>
      <w:r>
        <w:t xml:space="preserve">), sensitivity (</w:t>
      </w:r>
      <m:oMath>
        <m:sSub>
          <m:e>
            <m:r>
              <m:t>Δ</m:t>
            </m:r>
          </m:e>
          <m:sub>
            <m:r>
              <m:t>t</m:t>
            </m:r>
            <m:r>
              <m:t>i</m:t>
            </m:r>
            <m:r>
              <m:t>m</m:t>
            </m:r>
            <m:r>
              <m:t>e</m:t>
            </m:r>
          </m:sub>
        </m:sSub>
      </m:oMath>
      <w:r>
        <w:t xml:space="preserve">) and cumulative</w:t>
      </w:r>
      <w:r>
        <w:t xml:space="preserve"> </w:t>
      </w:r>
      <w:r>
        <w:t xml:space="preserve">amount of changes (</w:t>
      </w:r>
      <m:oMath>
        <m:r>
          <m:t>∫</m:t>
        </m:r>
        <m:r>
          <m:t>S</m:t>
        </m:r>
        <m:r>
          <m:t>(</m:t>
        </m:r>
        <m:r>
          <m:t>t</m:t>
        </m:r>
        <m:r>
          <m:t>)</m:t>
        </m:r>
        <m:r>
          <m:t>d</m:t>
        </m:r>
        <m:r>
          <m:t>t</m:t>
        </m:r>
      </m:oMath>
      <w:r>
        <w:t xml:space="preserve">). (b) The spatially explicit version</w:t>
      </w:r>
      <w:r>
        <w:t xml:space="preserve"> </w:t>
      </w:r>
      <w:r>
        <w:t xml:space="preserve">of the model accounting for limited dispersal of trees and stochastic</w:t>
      </w:r>
      <w:r>
        <w:t xml:space="preserve"> </w:t>
      </w:r>
      <w:r>
        <w:t xml:space="preserve">dynamics. The bars limit the trailing edge of boreal and the leading</w:t>
      </w:r>
      <w:r>
        <w:t xml:space="preserve"> </w:t>
      </w:r>
      <w:r>
        <w:t xml:space="preserve">edge of temperate states. Warming temperature drives a temperate range</w:t>
      </w:r>
      <w:r>
        <w:t xml:space="preserve"> </w:t>
      </w:r>
      <w:r>
        <w:t xml:space="preserve">shift, but not for the boreal trailing edge (red arrows Vissault et al.</w:t>
      </w:r>
      <w:r>
        <w:t xml:space="preserve"> </w:t>
      </w:r>
      <w:hyperlink w:anchor="ref-Vissault2020">
        <w:r>
          <w:rPr>
            <w:rStyle w:val="Hyperlink"/>
          </w:rPr>
          <w:t xml:space="preserve">2020</w:t>
        </w:r>
      </w:hyperlink>
      <w:r>
        <w:t xml:space="preserve">). We use this approach to</w:t>
      </w:r>
      <w:r>
        <w:t xml:space="preserve"> </w:t>
      </w:r>
      <w:r>
        <w:t xml:space="preserve">test the effect of forest management to accelerate the northward range</w:t>
      </w:r>
      <w:r>
        <w:t xml:space="preserve"> </w:t>
      </w:r>
      <w:r>
        <w:t xml:space="preserve">shift of the boreal-temperate ecotone following warming</w:t>
      </w:r>
      <w:r>
        <w:t xml:space="preserve"> </w:t>
      </w:r>
      <w:r>
        <w:t xml:space="preserve">temperature.</w:t>
      </w:r>
    </w:p>
    <w:bookmarkEnd w:id="25"/>
    <w:p>
      <w:pPr>
        <w:pStyle w:val="Heading1"/>
      </w:pPr>
      <w:bookmarkStart w:id="26" w:name="methods"/>
      <w:r>
        <w:t xml:space="preserve">Methods</w:t>
      </w:r>
      <w:bookmarkEnd w:id="26"/>
    </w:p>
    <w:bookmarkStart w:id="28" w:name="Xc915334c86ca937f5bf4b339c50b66217ba01e2"/>
    <w:p>
      <w:pPr>
        <w:pStyle w:val="Heading2"/>
      </w:pPr>
      <w:bookmarkStart w:id="27" w:name="Xc915334c86ca937f5bf4b339c50b66217ba01e2"/>
      <w:r>
        <w:t xml:space="preserve">Modelling forest range limits and management</w:t>
      </w:r>
      <w:r>
        <w:t xml:space="preserve"> </w:t>
      </w:r>
      <w:r>
        <w:t xml:space="preserve">practices</w:t>
      </w:r>
      <w:bookmarkEnd w:id="27"/>
    </w:p>
    <w:bookmarkEnd w:id="28"/>
    <w:p>
      <w:pPr>
        <w:pStyle w:val="FirstParagraph"/>
      </w:pPr>
      <w:r>
        <w:t xml:space="preserve">A classical model to study spatial dynamics at the regional spatial</w:t>
      </w:r>
      <w:r>
        <w:t xml:space="preserve"> </w:t>
      </w:r>
      <w:r>
        <w:t xml:space="preserve">scale comes from Levins’ metapopulation theory (Levins</w:t>
      </w:r>
      <w:r>
        <w:t xml:space="preserve"> </w:t>
      </w:r>
      <w:hyperlink w:anchor="ref-Levins1969">
        <w:r>
          <w:rPr>
            <w:rStyle w:val="Hyperlink"/>
          </w:rPr>
          <w:t xml:space="preserve">1969</w:t>
        </w:r>
      </w:hyperlink>
      <w:r>
        <w:t xml:space="preserve">). The theory is particularly</w:t>
      </w:r>
      <w:r>
        <w:t xml:space="preserve"> </w:t>
      </w:r>
      <w:r>
        <w:t xml:space="preserve">suitable to describe the mosaic of forest successional stages in a</w:t>
      </w:r>
      <w:r>
        <w:t xml:space="preserve"> </w:t>
      </w:r>
      <w:r>
        <w:t xml:space="preserve">landscape constantly changing because of small and large natural</w:t>
      </w:r>
      <w:r>
        <w:t xml:space="preserve"> </w:t>
      </w:r>
      <w:r>
        <w:t xml:space="preserve">disturbances. The model describes metapopulation as a set of patches</w:t>
      </w:r>
      <w:r>
        <w:t xml:space="preserve"> </w:t>
      </w:r>
      <w:r>
        <w:t xml:space="preserve">that are either occupied or empty and connected by dispersal. The</w:t>
      </w:r>
      <w:r>
        <w:t xml:space="preserve"> </w:t>
      </w:r>
      <w:r>
        <w:t xml:space="preserve">dynamics of the metapopulation is given by individuals arriving and</w:t>
      </w:r>
      <w:r>
        <w:t xml:space="preserve"> </w:t>
      </w:r>
      <w:r>
        <w:t xml:space="preserve">establishing in empty patches through the process of colonization</w:t>
      </w:r>
      <w:r>
        <w:t xml:space="preserve"> </w:t>
      </w:r>
      <w:r>
        <w:t xml:space="preserve">(</w:t>
      </w:r>
      <m:oMath>
        <m:r>
          <m:t>α</m:t>
        </m:r>
      </m:oMath>
      <w:r>
        <w:t xml:space="preserve">), and occupied patches becoming empty through the process of</w:t>
      </w:r>
      <w:r>
        <w:t xml:space="preserve"> </w:t>
      </w:r>
      <w:r>
        <w:t xml:space="preserve">extinction (</w:t>
      </w:r>
      <m:oMath>
        <m:r>
          <m:t>ε</m:t>
        </m:r>
      </m:oMath>
      <w:r>
        <w:t xml:space="preserve">):</w:t>
      </w:r>
    </w:p>
    <w:p>
      <w:pPr>
        <w:pStyle w:val="BodyText"/>
      </w:pPr>
      <m:oMathPara>
        <m:oMathParaPr>
          <m:jc m:val="center"/>
        </m:oMathParaPr>
        <m:oMath>
          <m:f>
            <m:fPr>
              <m:type m:val="bar"/>
            </m:fPr>
            <m:num>
              <m:r>
                <m:t>d</m:t>
              </m:r>
              <m:r>
                <m:t>p</m:t>
              </m:r>
            </m:num>
            <m:den>
              <m:r>
                <m:t>d</m:t>
              </m:r>
              <m:r>
                <m:t>t</m:t>
              </m:r>
            </m:den>
          </m:f>
          <m:r>
            <m:t>=</m:t>
          </m:r>
          <m:r>
            <m:t>α</m:t>
          </m:r>
          <m:r>
            <m:t>(</m:t>
          </m:r>
          <m:r>
            <m:t>1</m:t>
          </m:r>
          <m:r>
            <m:t>−</m:t>
          </m:r>
          <m:r>
            <m:t>p</m:t>
          </m:r>
          <m:r>
            <m:t>)</m:t>
          </m:r>
          <m:r>
            <m:t>−</m:t>
          </m:r>
          <m:r>
            <m:t>ε</m:t>
          </m:r>
          <m:r>
            <m:t>p</m:t>
          </m:r>
        </m:oMath>
      </m:oMathPara>
    </w:p>
    <w:p>
      <w:pPr>
        <w:pStyle w:val="FirstParagraph"/>
      </w:pPr>
      <w:r>
        <w:t xml:space="preserve">Where</w:t>
      </w:r>
      <w:r>
        <w:t xml:space="preserve"> </w:t>
      </w:r>
      <m:oMath>
        <m:r>
          <m:t>p</m:t>
        </m:r>
      </m:oMath>
      <w:r>
        <w:t xml:space="preserve"> </w:t>
      </w:r>
      <w:r>
        <w:t xml:space="preserve">is the proportion of occupied patches. We can further extend</w:t>
      </w:r>
      <w:r>
        <w:t xml:space="preserve"> </w:t>
      </w:r>
      <w:r>
        <w:t xml:space="preserve">this model to incorporate the environmental gradient by turning the</w:t>
      </w:r>
      <w:r>
        <w:t xml:space="preserve"> </w:t>
      </w:r>
      <w:r>
        <w:t xml:space="preserve">demographic parameters (</w:t>
      </w:r>
      <m:oMath>
        <m:r>
          <m:t>α</m:t>
        </m:r>
      </m:oMath>
      <w:r>
        <w:t xml:space="preserve"> </w:t>
      </w:r>
      <w:r>
        <w:t xml:space="preserve">and</w:t>
      </w:r>
      <w:r>
        <w:t xml:space="preserve"> </w:t>
      </w:r>
      <m:oMath>
        <m:r>
          <m:t>ε</m:t>
        </m:r>
      </m:oMath>
      <w:r>
        <w:t xml:space="preserve">) into functions</w:t>
      </w:r>
      <w:r>
        <w:t xml:space="preserve"> </w:t>
      </w:r>
      <w:r>
        <w:t xml:space="preserve">of climate conditions. As a result, we can derive range limits as the</w:t>
      </w:r>
      <w:r>
        <w:t xml:space="preserve"> </w:t>
      </w:r>
      <w:r>
        <w:t xml:space="preserve">set of environmental conditions where the extinction rate equals the</w:t>
      </w:r>
      <w:r>
        <w:t xml:space="preserve"> </w:t>
      </w:r>
      <w:r>
        <w:t xml:space="preserve">colonization rate (Holt et al.</w:t>
      </w:r>
      <w:r>
        <w:t xml:space="preserve"> </w:t>
      </w:r>
      <w:hyperlink w:anchor="ref-Holt2005">
        <w:r>
          <w:rPr>
            <w:rStyle w:val="Hyperlink"/>
          </w:rPr>
          <w:t xml:space="preserve">2005</w:t>
        </w:r>
      </w:hyperlink>
      <w:r>
        <w:t xml:space="preserve">).</w:t>
      </w:r>
      <w:r>
        <w:t xml:space="preserve"> </w:t>
      </w:r>
      <w:r>
        <w:t xml:space="preserve">Relaxing the assumption of one single species dynamics, we can consider</w:t>
      </w:r>
      <w:r>
        <w:t xml:space="preserve"> </w:t>
      </w:r>
      <w:r>
        <w:t xml:space="preserve">multiple species competing for the same patches by having both</w:t>
      </w:r>
      <w:r>
        <w:t xml:space="preserve"> </w:t>
      </w:r>
      <w:r>
        <w:t xml:space="preserve">demographic parameters varying as a function of species interactions</w:t>
      </w:r>
      <w:r>
        <w:t xml:space="preserve"> </w:t>
      </w:r>
      <w:r>
        <w:t xml:space="preserve">(Gravel and Massol</w:t>
      </w:r>
      <w:r>
        <w:t xml:space="preserve"> </w:t>
      </w:r>
      <w:hyperlink w:anchor="ref-Gravel2020">
        <w:r>
          <w:rPr>
            <w:rStyle w:val="Hyperlink"/>
          </w:rPr>
          <w:t xml:space="preserve">2020</w:t>
        </w:r>
      </w:hyperlink>
      <w:r>
        <w:t xml:space="preserve">). This</w:t>
      </w:r>
      <w:r>
        <w:t xml:space="preserve"> </w:t>
      </w:r>
      <w:r>
        <w:t xml:space="preserve">theoretical framework in a spatially explicit landscape grid, allows us</w:t>
      </w:r>
      <w:r>
        <w:t xml:space="preserve"> </w:t>
      </w:r>
      <w:r>
        <w:t xml:space="preserve">to account for both the long-life cycle and slow migration rates of</w:t>
      </w:r>
      <w:r>
        <w:t xml:space="preserve"> </w:t>
      </w:r>
      <w:r>
        <w:t xml:space="preserve">trees, along with species interaction, to predict the response of trees</w:t>
      </w:r>
      <w:r>
        <w:t xml:space="preserve"> </w:t>
      </w:r>
      <w:r>
        <w:t xml:space="preserve">to climate warming.</w:t>
      </w:r>
    </w:p>
    <w:p>
      <w:pPr>
        <w:pStyle w:val="BodyText"/>
      </w:pPr>
      <w:r>
        <w:t xml:space="preserve">We used a State and Transition Model derived from this theory and</w:t>
      </w:r>
      <w:r>
        <w:t xml:space="preserve"> </w:t>
      </w:r>
      <w:r>
        <w:t xml:space="preserve">parameterized for eastern North American forests (Vissault et al.</w:t>
      </w:r>
      <w:r>
        <w:t xml:space="preserve"> </w:t>
      </w:r>
      <w:hyperlink w:anchor="ref-Vissault2020">
        <w:r>
          <w:rPr>
            <w:rStyle w:val="Hyperlink"/>
          </w:rPr>
          <w:t xml:space="preserve">2020</w:t>
        </w:r>
      </w:hyperlink>
      <w:r>
        <w:t xml:space="preserve">). This approach models the</w:t>
      </w:r>
      <w:r>
        <w:t xml:space="preserve"> </w:t>
      </w:r>
      <w:r>
        <w:t xml:space="preserve">dynamics of three discrete forest compositions along a gradient of</w:t>
      </w:r>
      <w:r>
        <w:t xml:space="preserve"> </w:t>
      </w:r>
      <w:r>
        <w:t xml:space="preserve">temperature: (B)oreal, (T)emperate, and (M)ixed forest states; and the</w:t>
      </w:r>
      <w:r>
        <w:t xml:space="preserve"> </w:t>
      </w:r>
      <w:r>
        <w:t xml:space="preserve">(R)egeneration (or empty) state. Further than the colonization</w:t>
      </w:r>
      <w:r>
        <w:t xml:space="preserve"> </w:t>
      </w:r>
      <w:r>
        <w:t xml:space="preserve">(</w:t>
      </w:r>
      <m:oMath>
        <m:r>
          <m:t>α</m:t>
        </m:r>
      </m:oMath>
      <w:r>
        <w:t xml:space="preserve">) and extinction (</w:t>
      </w:r>
      <m:oMath>
        <m:r>
          <m:t>ε</m:t>
        </m:r>
      </m:oMath>
      <w:r>
        <w:t xml:space="preserve">) processes driving the</w:t>
      </w:r>
      <w:r>
        <w:t xml:space="preserve"> </w:t>
      </w:r>
      <w:r>
        <w:t xml:space="preserve">transitions between empty (R) and occupied (by either B, M or T)</w:t>
      </w:r>
      <w:r>
        <w:t xml:space="preserve"> </w:t>
      </w:r>
      <w:r>
        <w:t xml:space="preserve">patches, the model describes species interaction through the mechanisms</w:t>
      </w:r>
      <w:r>
        <w:t xml:space="preserve"> </w:t>
      </w:r>
      <w:r>
        <w:t xml:space="preserve">of succession and competitive exclusion. On one hand, succession</w:t>
      </w:r>
      <w:r>
        <w:t xml:space="preserve"> </w:t>
      </w:r>
      <w:r>
        <w:t xml:space="preserve">(</w:t>
      </w:r>
      <m:oMath>
        <m:r>
          <m:t>β</m:t>
        </m:r>
      </m:oMath>
      <w:r>
        <w:t xml:space="preserve">) happens when either an occupied patch of pure boreal or</w:t>
      </w:r>
      <w:r>
        <w:t xml:space="preserve"> </w:t>
      </w:r>
      <w:r>
        <w:t xml:space="preserve">temperate is colonized by species from the opposite composition,</w:t>
      </w:r>
      <w:r>
        <w:t xml:space="preserve"> </w:t>
      </w:r>
      <w:r>
        <w:t xml:space="preserve">becoming then a mixed state. On the other hand, competitive exclusion</w:t>
      </w:r>
      <w:r>
        <w:t xml:space="preserve"> </w:t>
      </w:r>
      <w:r>
        <w:t xml:space="preserve">(</w:t>
      </w:r>
      <m:oMath>
        <m:r>
          <m:t>θ</m:t>
        </m:r>
      </m:oMath>
      <w:r>
        <w:t xml:space="preserve">) drives the transitions from mixed patches to either pure</w:t>
      </w:r>
      <w:r>
        <w:t xml:space="preserve"> </w:t>
      </w:r>
      <w:r>
        <w:t xml:space="preserve">boreal or temperate, depending on the competitive ability of each of the</w:t>
      </w:r>
      <w:r>
        <w:t xml:space="preserve"> </w:t>
      </w:r>
      <w:r>
        <w:t xml:space="preserve">pure states.</w:t>
      </w:r>
    </w:p>
    <w:bookmarkStart w:id="31" w:name="fig:model"/>
    <w:p>
      <w:pPr>
        <w:pStyle w:val="CaptionedFigure"/>
      </w:pPr>
      <w:bookmarkStart w:id="30" w:name="fig:model"/>
      <w:r>
        <w:drawing>
          <wp:inline>
            <wp:extent cx="3913632" cy="2962656"/>
            <wp:effectExtent b="0" l="0" r="0" t="0"/>
            <wp:docPr descr="Schema of the State and Transition Model (Vissault et al. 2020) with integrated forest management practices. Directional arrows describe the possible transitions between the four forest states: (R)egeneration, (B)oreal, (T)emperate, and (M)ixed. For each arrow, equations represent how the transition between states is calculated, with parameters changing as a function of mean annual temperature and precipitation. In red are the parts of the equation describing the natural dynamics, which are reduced when the respective management practice is applied. The values of each of the 9 parameters are shown in Figure S2." title="" id="1" name="Picture"/>
            <a:graphic>
              <a:graphicData uri="http://schemas.openxmlformats.org/drawingml/2006/picture">
                <pic:pic>
                  <pic:nvPicPr>
                    <pic:cNvPr descr="manuscript/img/model_equation_fm.png" id="0" name="Picture"/>
                    <pic:cNvPicPr>
                      <a:picLocks noChangeArrowheads="1" noChangeAspect="1"/>
                    </pic:cNvPicPr>
                  </pic:nvPicPr>
                  <pic:blipFill>
                    <a:blip r:embed="rId29"/>
                    <a:stretch>
                      <a:fillRect/>
                    </a:stretch>
                  </pic:blipFill>
                  <pic:spPr bwMode="auto">
                    <a:xfrm>
                      <a:off x="0" y="0"/>
                      <a:ext cx="3913632" cy="2962656"/>
                    </a:xfrm>
                    <a:prstGeom prst="rect">
                      <a:avLst/>
                    </a:prstGeom>
                    <a:noFill/>
                    <a:ln w="9525">
                      <a:noFill/>
                      <a:headEnd/>
                      <a:tailEnd/>
                    </a:ln>
                  </pic:spPr>
                </pic:pic>
              </a:graphicData>
            </a:graphic>
          </wp:inline>
        </w:drawing>
      </w:r>
      <w:bookmarkEnd w:id="30"/>
    </w:p>
    <w:p>
      <w:pPr>
        <w:pStyle w:val="ImageCaption"/>
      </w:pPr>
      <w:r>
        <w:t xml:space="preserve">Schema of the State and Transition Model (Vissault et al.</w:t>
      </w:r>
      <w:r>
        <w:t xml:space="preserve"> </w:t>
      </w:r>
      <w:hyperlink w:anchor="ref-Vissault2020">
        <w:r>
          <w:rPr>
            <w:rStyle w:val="Hyperlink"/>
          </w:rPr>
          <w:t xml:space="preserve">2020</w:t>
        </w:r>
      </w:hyperlink>
      <w:r>
        <w:t xml:space="preserve">) with integrated forest</w:t>
      </w:r>
      <w:r>
        <w:t xml:space="preserve"> </w:t>
      </w:r>
      <w:r>
        <w:t xml:space="preserve">management practices. Directional arrows describe the possible</w:t>
      </w:r>
      <w:r>
        <w:t xml:space="preserve"> </w:t>
      </w:r>
      <w:r>
        <w:t xml:space="preserve">transitions between the four forest states: (R)egeneration, (B)oreal,</w:t>
      </w:r>
      <w:r>
        <w:t xml:space="preserve"> </w:t>
      </w:r>
      <w:r>
        <w:t xml:space="preserve">(T)emperate, and (M)ixed. For each arrow, equations represent how the</w:t>
      </w:r>
      <w:r>
        <w:t xml:space="preserve"> </w:t>
      </w:r>
      <w:r>
        <w:t xml:space="preserve">transition between states is calculated, with parameters changing as a</w:t>
      </w:r>
      <w:r>
        <w:t xml:space="preserve"> </w:t>
      </w:r>
      <w:r>
        <w:t xml:space="preserve">function of mean annual temperature and precipitation. In red are the</w:t>
      </w:r>
      <w:r>
        <w:t xml:space="preserve"> </w:t>
      </w:r>
      <w:r>
        <w:t xml:space="preserve">parts of the equation describing the natural dynamics, which are reduced</w:t>
      </w:r>
      <w:r>
        <w:t xml:space="preserve"> </w:t>
      </w:r>
      <w:r>
        <w:t xml:space="preserve">when the respective management practice is applied. The values of each</w:t>
      </w:r>
      <w:r>
        <w:t xml:space="preserve"> </w:t>
      </w:r>
      <w:r>
        <w:t xml:space="preserve">of the 9 parameters are shown in Figure S2.</w:t>
      </w:r>
    </w:p>
    <w:bookmarkEnd w:id="31"/>
    <w:p>
      <w:pPr>
        <w:pStyle w:val="BodyText"/>
      </w:pPr>
      <w:r>
        <w:t xml:space="preserve">The functions describing transitions among states were evaluated using</w:t>
      </w:r>
      <w:r>
        <w:t xml:space="preserve"> </w:t>
      </w:r>
      <w:r>
        <w:t xml:space="preserve">over 40,000 plots from the eastern North American forest inventory</w:t>
      </w:r>
      <w:r>
        <w:t xml:space="preserve"> </w:t>
      </w:r>
      <w:r>
        <w:t xml:space="preserve">database, located between 57</w:t>
      </w:r>
      <m:oMath>
        <m:sSup>
          <m:e>
            <m:r>
              <m:t>​</m:t>
            </m:r>
          </m:e>
          <m:sup>
            <m:r>
              <m:t>∘</m:t>
            </m:r>
          </m:sup>
        </m:sSup>
      </m:oMath>
      <w:r>
        <w:t xml:space="preserve">W to 96</w:t>
      </w:r>
      <m:oMath>
        <m:sSup>
          <m:e>
            <m:r>
              <m:t>​</m:t>
            </m:r>
          </m:e>
          <m:sup>
            <m:r>
              <m:t>∘</m:t>
            </m:r>
          </m:sup>
        </m:sSup>
      </m:oMath>
      <w:r>
        <w:t xml:space="preserve">W and</w:t>
      </w:r>
      <w:r>
        <w:t xml:space="preserve"> </w:t>
      </w:r>
      <w:r>
        <w:t xml:space="preserve">35</w:t>
      </w:r>
      <m:oMath>
        <m:sSup>
          <m:e>
            <m:r>
              <m:t>​</m:t>
            </m:r>
          </m:e>
          <m:sup>
            <m:r>
              <m:t>∘</m:t>
            </m:r>
          </m:sup>
        </m:sSup>
      </m:oMath>
      <w:r>
        <w:t xml:space="preserve">N to 52</w:t>
      </w:r>
      <m:oMath>
        <m:sSup>
          <m:e>
            <m:r>
              <m:t>​</m:t>
            </m:r>
          </m:e>
          <m:sup>
            <m:r>
              <m:t>∘</m:t>
            </m:r>
          </m:sup>
        </m:sSup>
      </m:oMath>
      <w:r>
        <w:t xml:space="preserve">N (Vissault et al.</w:t>
      </w:r>
      <w:r>
        <w:t xml:space="preserve"> </w:t>
      </w:r>
      <w:hyperlink w:anchor="ref-Vissault2020">
        <w:r>
          <w:rPr>
            <w:rStyle w:val="Hyperlink"/>
          </w:rPr>
          <w:t xml:space="preserve">2020</w:t>
        </w:r>
      </w:hyperlink>
      <w:r>
        <w:t xml:space="preserve">). Time was discretized</w:t>
      </w:r>
      <w:r>
        <w:t xml:space="preserve"> </w:t>
      </w:r>
      <w:r>
        <w:t xml:space="preserve">because of the seasonality of forest dynamics and the nature of forest</w:t>
      </w:r>
      <w:r>
        <w:t xml:space="preserve"> </w:t>
      </w:r>
      <w:r>
        <w:t xml:space="preserve">inventory data. This time-discrete Markov Chain approach is dynamic as</w:t>
      </w:r>
      <w:r>
        <w:t xml:space="preserve"> </w:t>
      </w:r>
      <w:r>
        <w:t xml:space="preserve">each parameter is calculated based on previous environmental conditions</w:t>
      </w:r>
      <w:r>
        <w:t xml:space="preserve"> </w:t>
      </w:r>
      <w:r>
        <w:t xml:space="preserve">(annual mean temperature and annual precipitation) only, and the</w:t>
      </w:r>
      <w:r>
        <w:t xml:space="preserve"> </w:t>
      </w:r>
      <w:r>
        <w:t xml:space="preserve">transitions are dependent on the neighborhood proportion (Figure</w:t>
      </w:r>
      <w:r>
        <w:t xml:space="preserve"> </w:t>
      </w:r>
      <w:hyperlink w:anchor="fig:model">
        <w:r>
          <w:rPr>
            <w:rStyle w:val="Hyperlink"/>
          </w:rPr>
          <w:t xml:space="preserve">2</w:t>
        </w:r>
      </w:hyperlink>
      <w:r>
        <w:t xml:space="preserve">). For each plot (measured between 1960 and 2010) and</w:t>
      </w:r>
      <w:r>
        <w:t xml:space="preserve"> </w:t>
      </w:r>
      <w:r>
        <w:t xml:space="preserve">each measure (standardized to a 5 year interval via rescaling), the</w:t>
      </w:r>
      <w:r>
        <w:t xml:space="preserve"> </w:t>
      </w:r>
      <w:r>
        <w:t xml:space="preserve">forest states (B, M, and T) were classified following its species</w:t>
      </w:r>
      <w:r>
        <w:t xml:space="preserve"> </w:t>
      </w:r>
      <w:r>
        <w:t xml:space="preserve">composition. A stand was classified as T whenever one of the following 7</w:t>
      </w:r>
      <w:r>
        <w:t xml:space="preserve"> </w:t>
      </w:r>
      <w:r>
        <w:t xml:space="preserve">species was present and none of the boreal species:</w:t>
      </w:r>
      <w:r>
        <w:t xml:space="preserve"> </w:t>
      </w:r>
      <w:r>
        <w:rPr>
          <w:i/>
        </w:rPr>
        <w:t xml:space="preserve">Prunus</w:t>
      </w:r>
      <w:r>
        <w:rPr>
          <w:i/>
        </w:rPr>
        <w:t xml:space="preserve"> </w:t>
      </w:r>
      <w:r>
        <w:rPr>
          <w:i/>
        </w:rPr>
        <w:t xml:space="preserve">serotina</w:t>
      </w:r>
      <w:r>
        <w:t xml:space="preserve">,</w:t>
      </w:r>
      <w:r>
        <w:t xml:space="preserve"> </w:t>
      </w:r>
      <w:r>
        <w:rPr>
          <w:i/>
        </w:rPr>
        <w:t xml:space="preserve">Acer rubrum</w:t>
      </w:r>
      <w:r>
        <w:t xml:space="preserve">,</w:t>
      </w:r>
      <w:r>
        <w:t xml:space="preserve"> </w:t>
      </w:r>
      <w:r>
        <w:rPr>
          <w:i/>
        </w:rPr>
        <w:t xml:space="preserve">Acer saccharum</w:t>
      </w:r>
      <w:r>
        <w:t xml:space="preserve">,</w:t>
      </w:r>
      <w:r>
        <w:t xml:space="preserve"> </w:t>
      </w:r>
      <w:r>
        <w:rPr>
          <w:i/>
        </w:rPr>
        <w:t xml:space="preserve">Fraxinus</w:t>
      </w:r>
      <w:r>
        <w:rPr>
          <w:i/>
        </w:rPr>
        <w:t xml:space="preserve"> </w:t>
      </w:r>
      <w:r>
        <w:rPr>
          <w:i/>
        </w:rPr>
        <w:t xml:space="preserve">americana</w:t>
      </w:r>
      <w:r>
        <w:t xml:space="preserve">,</w:t>
      </w:r>
      <w:r>
        <w:t xml:space="preserve"> </w:t>
      </w:r>
      <w:r>
        <w:rPr>
          <w:i/>
        </w:rPr>
        <w:t xml:space="preserve">Fraxinus nigra</w:t>
      </w:r>
      <w:r>
        <w:t xml:space="preserve">,</w:t>
      </w:r>
      <w:r>
        <w:t xml:space="preserve"> </w:t>
      </w:r>
      <w:r>
        <w:rPr>
          <w:i/>
        </w:rPr>
        <w:t xml:space="preserve">Fagus grandifolia</w:t>
      </w:r>
      <w:r>
        <w:t xml:space="preserve">,</w:t>
      </w:r>
      <w:r>
        <w:t xml:space="preserve"> </w:t>
      </w:r>
      <w:r>
        <w:rPr>
          <w:i/>
        </w:rPr>
        <w:t xml:space="preserve">Ostrya virginiana</w:t>
      </w:r>
      <w:r>
        <w:t xml:space="preserve">, and</w:t>
      </w:r>
      <w:r>
        <w:t xml:space="preserve"> </w:t>
      </w:r>
      <w:r>
        <w:rPr>
          <w:i/>
        </w:rPr>
        <w:t xml:space="preserve">Tilia americana</w:t>
      </w:r>
      <w:r>
        <w:t xml:space="preserve">; alternatively, a</w:t>
      </w:r>
      <w:r>
        <w:t xml:space="preserve"> </w:t>
      </w:r>
      <w:r>
        <w:t xml:space="preserve">stand was classified as B whenever one of the following 8 species was</w:t>
      </w:r>
      <w:r>
        <w:t xml:space="preserve"> </w:t>
      </w:r>
      <w:r>
        <w:t xml:space="preserve">present and none of the temperate species:</w:t>
      </w:r>
      <w:r>
        <w:t xml:space="preserve"> </w:t>
      </w:r>
      <w:r>
        <w:rPr>
          <w:i/>
        </w:rPr>
        <w:t xml:space="preserve">Picea mariana</w:t>
      </w:r>
      <w:r>
        <w:t xml:space="preserve">,</w:t>
      </w:r>
      <w:r>
        <w:t xml:space="preserve"> </w:t>
      </w:r>
      <w:r>
        <w:rPr>
          <w:i/>
        </w:rPr>
        <w:t xml:space="preserve">Picea glauca</w:t>
      </w:r>
      <w:r>
        <w:t xml:space="preserve">,</w:t>
      </w:r>
      <w:r>
        <w:t xml:space="preserve"> </w:t>
      </w:r>
      <w:r>
        <w:rPr>
          <w:i/>
        </w:rPr>
        <w:t xml:space="preserve">Picea rubens</w:t>
      </w:r>
      <w:r>
        <w:t xml:space="preserve">,</w:t>
      </w:r>
      <w:r>
        <w:t xml:space="preserve"> </w:t>
      </w:r>
      <w:r>
        <w:rPr>
          <w:i/>
        </w:rPr>
        <w:t xml:space="preserve">Larix laricina</w:t>
      </w:r>
      <w:r>
        <w:t xml:space="preserve">,</w:t>
      </w:r>
      <w:r>
        <w:t xml:space="preserve"> </w:t>
      </w:r>
      <w:r>
        <w:rPr>
          <w:i/>
        </w:rPr>
        <w:t xml:space="preserve">Pinus banksiana</w:t>
      </w:r>
      <w:r>
        <w:t xml:space="preserve">,</w:t>
      </w:r>
      <w:r>
        <w:t xml:space="preserve"> </w:t>
      </w:r>
      <w:r>
        <w:rPr>
          <w:i/>
        </w:rPr>
        <w:t xml:space="preserve">Abies balsamea</w:t>
      </w:r>
      <w:r>
        <w:t xml:space="preserve">,</w:t>
      </w:r>
      <w:r>
        <w:t xml:space="preserve"> </w:t>
      </w:r>
      <w:r>
        <w:rPr>
          <w:i/>
        </w:rPr>
        <w:t xml:space="preserve">Thuja</w:t>
      </w:r>
      <w:r>
        <w:rPr>
          <w:i/>
        </w:rPr>
        <w:t xml:space="preserve"> </w:t>
      </w:r>
      <w:r>
        <w:rPr>
          <w:i/>
        </w:rPr>
        <w:t xml:space="preserve">occidentalis</w:t>
      </w:r>
      <w:r>
        <w:t xml:space="preserve">. The stand was classified as mixed when both boreal and</w:t>
      </w:r>
      <w:r>
        <w:t xml:space="preserve"> </w:t>
      </w:r>
      <w:r>
        <w:t xml:space="preserve">temperate species were present. The regeneration plot was classified</w:t>
      </w:r>
      <w:r>
        <w:t xml:space="preserve"> </w:t>
      </w:r>
      <w:r>
        <w:t xml:space="preserve">when the basal area was inferior to 5m</w:t>
      </w:r>
      <m:oMath>
        <m:sSup>
          <m:e>
            <m:r>
              <m:t>​</m:t>
            </m:r>
          </m:e>
          <m:sup>
            <m:r>
              <m:t>2</m:t>
            </m:r>
          </m:sup>
        </m:sSup>
      </m:oMath>
      <w:r>
        <w:t xml:space="preserve"> </w:t>
      </w:r>
      <w:r>
        <w:t xml:space="preserve">ha</w:t>
      </w:r>
      <m:oMath>
        <m:sSup>
          <m:e>
            <m:r>
              <m:t>​</m:t>
            </m:r>
          </m:e>
          <m:sup>
            <m:r>
              <m:t>−</m:t>
            </m:r>
            <m:r>
              <m:t>1</m:t>
            </m:r>
          </m:sup>
        </m:sSup>
      </m:oMath>
      <w:r>
        <w:t xml:space="preserve">, irrespective</w:t>
      </w:r>
      <w:r>
        <w:t xml:space="preserve"> </w:t>
      </w:r>
      <w:r>
        <w:t xml:space="preserve">of the composition. Transition probabilities (scaled to respect the same</w:t>
      </w:r>
      <w:r>
        <w:t xml:space="preserve"> </w:t>
      </w:r>
      <w:r>
        <w:t xml:space="preserve">time interval to all plots) were estimated by maximum likelihood.</w:t>
      </w:r>
      <w:r>
        <w:t xml:space="preserve"> </w:t>
      </w:r>
      <w:r>
        <w:t xml:space="preserve">Importantly, the use of extensive forest inventory data allowed us to</w:t>
      </w:r>
      <w:r>
        <w:t xml:space="preserve"> </w:t>
      </w:r>
      <w:r>
        <w:t xml:space="preserve">calibrate and validade the parameters of the model to predict with good</w:t>
      </w:r>
      <w:r>
        <w:t xml:space="preserve"> </w:t>
      </w:r>
      <w:r>
        <w:t xml:space="preserve">confidence the distribution of the boreal, mixed and temperate states</w:t>
      </w:r>
      <w:r>
        <w:t xml:space="preserve"> </w:t>
      </w:r>
      <w:r>
        <w:t xml:space="preserve">using current environmental data (Vissault et al.</w:t>
      </w:r>
      <w:r>
        <w:t xml:space="preserve"> </w:t>
      </w:r>
      <w:hyperlink w:anchor="ref-Vissault2020">
        <w:r>
          <w:rPr>
            <w:rStyle w:val="Hyperlink"/>
          </w:rPr>
          <w:t xml:space="preserve">2020</w:t>
        </w:r>
      </w:hyperlink>
      <w:r>
        <w:t xml:space="preserve">).</w:t>
      </w:r>
    </w:p>
    <w:bookmarkStart w:id="33" w:name="X0b9557fab61caa07e3003ff8ac501e7cec794e2"/>
    <w:p>
      <w:pPr>
        <w:pStyle w:val="Heading2"/>
      </w:pPr>
      <w:bookmarkStart w:id="32" w:name="X0b9557fab61caa07e3003ff8ac501e7cec794e2"/>
      <w:r>
        <w:t xml:space="preserve">Adapted forest management: reducing the gap between</w:t>
      </w:r>
      <w:r>
        <w:t xml:space="preserve"> </w:t>
      </w:r>
      <w:r>
        <w:t xml:space="preserve">potential and actual forest</w:t>
      </w:r>
      <w:r>
        <w:t xml:space="preserve"> </w:t>
      </w:r>
      <w:r>
        <w:t xml:space="preserve">distribution</w:t>
      </w:r>
      <w:bookmarkEnd w:id="32"/>
    </w:p>
    <w:bookmarkEnd w:id="33"/>
    <w:p>
      <w:pPr>
        <w:pStyle w:val="FirstParagraph"/>
      </w:pPr>
      <w:r>
        <w:t xml:space="preserve">It is expected with warming temperature that the distribution of the</w:t>
      </w:r>
      <w:r>
        <w:t xml:space="preserve"> </w:t>
      </w:r>
      <w:r>
        <w:t xml:space="preserve">boreal-temperate ecotone will shift northward, however, due to slow</w:t>
      </w:r>
      <w:r>
        <w:t xml:space="preserve"> </w:t>
      </w:r>
      <w:r>
        <w:t xml:space="preserve">demographic rates and limited dispersal of forest trees, these forest</w:t>
      </w:r>
      <w:r>
        <w:t xml:space="preserve"> </w:t>
      </w:r>
      <w:r>
        <w:t xml:space="preserve">compositions may lag behind climate change (Talluto et al.</w:t>
      </w:r>
      <w:r>
        <w:t xml:space="preserve"> </w:t>
      </w:r>
      <w:hyperlink w:anchor="ref-Talluto2017">
        <w:r>
          <w:rPr>
            <w:rStyle w:val="Hyperlink"/>
          </w:rPr>
          <w:t xml:space="preserve">2017</w:t>
        </w:r>
      </w:hyperlink>
      <w:r>
        <w:t xml:space="preserve">; Vissault et al.</w:t>
      </w:r>
      <w:r>
        <w:t xml:space="preserve"> </w:t>
      </w:r>
      <w:hyperlink w:anchor="ref-Vissault2020">
        <w:r>
          <w:rPr>
            <w:rStyle w:val="Hyperlink"/>
          </w:rPr>
          <w:t xml:space="preserve">2020</w:t>
        </w:r>
      </w:hyperlink>
      <w:r>
        <w:t xml:space="preserve">). Here we define how four</w:t>
      </w:r>
      <w:r>
        <w:t xml:space="preserve"> </w:t>
      </w:r>
      <w:r>
        <w:t xml:space="preserve">management practices may reduce this gap between potential and realized</w:t>
      </w:r>
      <w:r>
        <w:t xml:space="preserve"> </w:t>
      </w:r>
      <w:r>
        <w:t xml:space="preserve">forest distribution after warming temperature. The four management</w:t>
      </w:r>
      <w:r>
        <w:t xml:space="preserve"> </w:t>
      </w:r>
      <w:r>
        <w:t xml:space="preserve">practices implemented in the model are plantation and enrichment</w:t>
      </w:r>
      <w:r>
        <w:t xml:space="preserve"> </w:t>
      </w:r>
      <w:r>
        <w:t xml:space="preserve">planting to potentially reduce colonization credit, and harvest and</w:t>
      </w:r>
      <w:r>
        <w:t xml:space="preserve"> </w:t>
      </w:r>
      <w:r>
        <w:t xml:space="preserve">thinning to potentially reduce extinction debt. The rationale of these</w:t>
      </w:r>
      <w:r>
        <w:t xml:space="preserve"> </w:t>
      </w:r>
      <w:r>
        <w:t xml:space="preserve">management practices is to favor the spread of the temperate forest when</w:t>
      </w:r>
      <w:r>
        <w:t xml:space="preserve"> </w:t>
      </w:r>
      <w:r>
        <w:t xml:space="preserve">the climate context allows temperate tree regeneration, and to reduce</w:t>
      </w:r>
      <w:r>
        <w:t xml:space="preserve"> </w:t>
      </w:r>
      <w:r>
        <w:t xml:space="preserve">maladaptation of boreal forest when temperate trees should dominate. The</w:t>
      </w:r>
      <w:r>
        <w:t xml:space="preserve"> </w:t>
      </w:r>
      <w:r>
        <w:t xml:space="preserve">following sections detail the ecological assumptions and mathematical</w:t>
      </w:r>
      <w:r>
        <w:t xml:space="preserve"> </w:t>
      </w:r>
      <w:r>
        <w:t xml:space="preserve">formulation for each practice implemented in the model.</w:t>
      </w:r>
    </w:p>
    <w:bookmarkStart w:id="35" w:name="managing-to-reduce-colonization-credit"/>
    <w:p>
      <w:pPr>
        <w:pStyle w:val="Heading3"/>
      </w:pPr>
      <w:bookmarkStart w:id="34" w:name="managing-to-reduce-colonization-credit"/>
      <w:r>
        <w:t xml:space="preserve">Managing to reduce colonization</w:t>
      </w:r>
      <w:r>
        <w:t xml:space="preserve"> </w:t>
      </w:r>
      <w:r>
        <w:t xml:space="preserve">credit</w:t>
      </w:r>
      <w:bookmarkEnd w:id="34"/>
    </w:p>
    <w:bookmarkEnd w:id="35"/>
    <w:p>
      <w:pPr>
        <w:pStyle w:val="FirstParagraph"/>
      </w:pPr>
      <w:r>
        <w:t xml:space="preserve">Colonization of temperate species beyond the leading edge of their</w:t>
      </w:r>
      <w:r>
        <w:t xml:space="preserve"> </w:t>
      </w:r>
      <w:r>
        <w:t xml:space="preserve">distribution may depend on many factors such as climate conditions,</w:t>
      </w:r>
      <w:r>
        <w:t xml:space="preserve"> </w:t>
      </w:r>
      <w:r>
        <w:t xml:space="preserve">competitive ability, and seed sources. The first factor limiting the</w:t>
      </w:r>
      <w:r>
        <w:t xml:space="preserve"> </w:t>
      </w:r>
      <w:r>
        <w:t xml:space="preserve">colonization of a population beyond its range is the environmental</w:t>
      </w:r>
      <w:r>
        <w:t xml:space="preserve"> </w:t>
      </w:r>
      <w:r>
        <w:t xml:space="preserve">conditions. Once the environmental limitation is relaxed with warming</w:t>
      </w:r>
      <w:r>
        <w:t xml:space="preserve"> </w:t>
      </w:r>
      <w:r>
        <w:t xml:space="preserve">temperature, species interactions such as competition for light may</w:t>
      </w:r>
      <w:r>
        <w:t xml:space="preserve"> </w:t>
      </w:r>
      <w:r>
        <w:t xml:space="preserve">limit the development of regenerating individuals (e.g. Bianchi et al.</w:t>
      </w:r>
      <w:r>
        <w:t xml:space="preserve"> </w:t>
      </w:r>
      <w:hyperlink w:anchor="ref-Bianchi2018">
        <w:r>
          <w:rPr>
            <w:rStyle w:val="Hyperlink"/>
          </w:rPr>
          <w:t xml:space="preserve">2018</w:t>
        </w:r>
      </w:hyperlink>
      <w:r>
        <w:t xml:space="preserve">). Finally, seed source is a</w:t>
      </w:r>
      <w:r>
        <w:t xml:space="preserve"> </w:t>
      </w:r>
      <w:r>
        <w:t xml:space="preserve">density-dependent process which, associated with the slow migration rate</w:t>
      </w:r>
      <w:r>
        <w:t xml:space="preserve"> </w:t>
      </w:r>
      <w:r>
        <w:t xml:space="preserve">of trees, contributes to the lack of colonization beyond the population</w:t>
      </w:r>
      <w:r>
        <w:t xml:space="preserve"> </w:t>
      </w:r>
      <w:r>
        <w:t xml:space="preserve">range limits. In the context of managing ecological processes, some of</w:t>
      </w:r>
      <w:r>
        <w:t xml:space="preserve"> </w:t>
      </w:r>
      <w:r>
        <w:t xml:space="preserve">these factors can be modified with forest management. Here we choose two</w:t>
      </w:r>
      <w:r>
        <w:t xml:space="preserve"> </w:t>
      </w:r>
      <w:r>
        <w:t xml:space="preserve">management practices that may operate at different spatial scales to</w:t>
      </w:r>
      <w:r>
        <w:t xml:space="preserve"> </w:t>
      </w:r>
      <w:r>
        <w:t xml:space="preserve">simulate density-independent colonization: plantation (i.e. assisted</w:t>
      </w:r>
      <w:r>
        <w:t xml:space="preserve"> </w:t>
      </w:r>
      <w:r>
        <w:t xml:space="preserve">migration) at the large spatial scale, and enrichment planting at the</w:t>
      </w:r>
      <w:r>
        <w:t xml:space="preserve"> </w:t>
      </w:r>
      <w:r>
        <w:t xml:space="preserve">local spatial scale. Enrichment planting, contrary to plantation relate</w:t>
      </w:r>
      <w:r>
        <w:t xml:space="preserve"> </w:t>
      </w:r>
      <w:r>
        <w:t xml:space="preserve">to the plantation of tree in a mature stand, which enrich it in the type</w:t>
      </w:r>
      <w:r>
        <w:t xml:space="preserve"> </w:t>
      </w:r>
      <w:r>
        <w:t xml:space="preserve">of the planted species. Following warming temperature, plantation and</w:t>
      </w:r>
      <w:r>
        <w:t xml:space="preserve"> </w:t>
      </w:r>
      <w:r>
        <w:t xml:space="preserve">enrichment planting of temperate species should overcome dispersal</w:t>
      </w:r>
      <w:r>
        <w:t xml:space="preserve"> </w:t>
      </w:r>
      <w:r>
        <w:t xml:space="preserve">limitation and the lack of seed sources and may increase the northward</w:t>
      </w:r>
      <w:r>
        <w:t xml:space="preserve"> </w:t>
      </w:r>
      <w:r>
        <w:t xml:space="preserve">range shift of the temperate-mixed regions by colonizing stands beyond</w:t>
      </w:r>
      <w:r>
        <w:t xml:space="preserve"> </w:t>
      </w:r>
      <w:r>
        <w:t xml:space="preserve">the current distribution.</w:t>
      </w:r>
    </w:p>
    <w:bookmarkStart w:id="37" w:name="plantation-of-temperate-stands"/>
    <w:p>
      <w:pPr>
        <w:pStyle w:val="Heading4"/>
      </w:pPr>
      <w:bookmarkStart w:id="36" w:name="plantation-of-temperate-stands"/>
      <w:r>
        <w:t xml:space="preserve">Plantation of temperate</w:t>
      </w:r>
      <w:r>
        <w:t xml:space="preserve"> </w:t>
      </w:r>
      <w:r>
        <w:t xml:space="preserve">stands</w:t>
      </w:r>
      <w:bookmarkEnd w:id="36"/>
    </w:p>
    <w:bookmarkEnd w:id="37"/>
    <w:p>
      <w:pPr>
        <w:pStyle w:val="FirstParagraph"/>
      </w:pPr>
      <w:r>
        <w:t xml:space="preserve">In our model, colonization of regeneration stands by either boreal,</w:t>
      </w:r>
      <w:r>
        <w:t xml:space="preserve"> </w:t>
      </w:r>
      <w:r>
        <w:t xml:space="preserve">mixed or temperate depends on the capacity of boreal and temperate</w:t>
      </w:r>
      <w:r>
        <w:t xml:space="preserve"> </w:t>
      </w:r>
      <w:r>
        <w:t xml:space="preserve">species to establish (</w:t>
      </w:r>
      <m:oMath>
        <m:sSub>
          <m:e>
            <m:r>
              <m:t>α</m:t>
            </m:r>
          </m:e>
          <m:sub>
            <m:r>
              <m:t>B</m:t>
            </m:r>
          </m:sub>
        </m:sSub>
      </m:oMath>
      <w:r>
        <w:t xml:space="preserve"> </w:t>
      </w:r>
      <w:r>
        <w:t xml:space="preserve">and</w:t>
      </w:r>
      <w:r>
        <w:t xml:space="preserve"> </w:t>
      </w:r>
      <m:oMath>
        <m:sSub>
          <m:e>
            <m:r>
              <m:t>α</m:t>
            </m:r>
          </m:e>
          <m:sub>
            <m:r>
              <m:t>T</m:t>
            </m:r>
          </m:sub>
        </m:sSub>
      </m:oMath>
      <w:r>
        <w:t xml:space="preserve">), and their</w:t>
      </w:r>
      <w:r>
        <w:t xml:space="preserve"> </w:t>
      </w:r>
      <w:r>
        <w:t xml:space="preserve">proportion in the neighboring stands. The plantation practice is</w:t>
      </w:r>
      <w:r>
        <w:t xml:space="preserve"> </w:t>
      </w:r>
      <w:r>
        <w:t xml:space="preserve">modelled as an increase in the probability of regeneration stands to</w:t>
      </w:r>
      <w:r>
        <w:t xml:space="preserve"> </w:t>
      </w:r>
      <w:r>
        <w:t xml:space="preserve">become temperate</w:t>
      </w:r>
      <w:r>
        <w:t xml:space="preserve"> </w:t>
      </w:r>
      <m:oMath>
        <m:r>
          <m:t>P</m:t>
        </m:r>
        <m:r>
          <m:t>(</m:t>
        </m:r>
        <m:r>
          <m:t>T</m:t>
        </m:r>
        <m:r>
          <m:t>|</m:t>
        </m:r>
        <m:r>
          <m:t>R</m:t>
        </m:r>
        <m:r>
          <m:t>)</m:t>
        </m:r>
      </m:oMath>
      <w:r>
        <w:t xml:space="preserve">. A proportion</w:t>
      </w:r>
      <w:r>
        <w:t xml:space="preserve"> </w:t>
      </w:r>
      <m:oMath>
        <m:r>
          <m:t>p</m:t>
        </m:r>
      </m:oMath>
      <w:r>
        <w:t xml:space="preserve"> </w:t>
      </w:r>
      <w:r>
        <w:t xml:space="preserve">of available</w:t>
      </w:r>
      <w:r>
        <w:t xml:space="preserve"> </w:t>
      </w:r>
      <w:r>
        <w:t xml:space="preserve">regeneration stands are directly converted each time step into the</w:t>
      </w:r>
      <w:r>
        <w:t xml:space="preserve"> </w:t>
      </w:r>
      <w:r>
        <w:t xml:space="preserve">temperate forest. Only the remaining regeneration stands (</w:t>
      </w:r>
      <m:oMath>
        <m:r>
          <m:t>1</m:t>
        </m:r>
        <m:r>
          <m:t>−</m:t>
        </m:r>
        <m:r>
          <m:t>p</m:t>
        </m:r>
      </m:oMath>
      <w:r>
        <w:t xml:space="preserve">)</w:t>
      </w:r>
      <w:r>
        <w:t xml:space="preserve"> </w:t>
      </w:r>
      <w:r>
        <w:t xml:space="preserve">follow natural succession. Plantation thus involves an additional</w:t>
      </w:r>
      <w:r>
        <w:t xml:space="preserve"> </w:t>
      </w:r>
      <w:r>
        <w:t xml:space="preserve">parameter</w:t>
      </w:r>
      <w:r>
        <w:t xml:space="preserve"> </w:t>
      </w:r>
      <m:oMath>
        <m:r>
          <m:t>p</m:t>
        </m:r>
      </m:oMath>
      <w:r>
        <w:t xml:space="preserve"> </w:t>
      </w:r>
      <w:r>
        <w:t xml:space="preserve">that modifies the following probabilities:</w:t>
      </w:r>
    </w:p>
    <w:p>
      <w:pPr>
        <w:pStyle w:val="BodyText"/>
      </w:pPr>
      <m:oMathPara>
        <m:oMathParaPr>
          <m:jc m:val="center"/>
        </m:oMathParaPr>
        <m:oMath>
          <m:m>
            <m:mPr>
              <m:baseJc m:val="center"/>
              <m:plcHide m:val="1"/>
              <m:mcs>
                <m:mc>
                  <m:mcPr>
                    <m:mcJc m:val="right"/>
                    <m:count m:val="1"/>
                  </m:mcPr>
                </m:mc>
                <m:mc>
                  <m:mcPr>
                    <m:mcJc m:val="left"/>
                    <m:count m:val="1"/>
                  </m:mcPr>
                </m:mc>
              </m:mcs>
            </m:mPr>
            <m:mr>
              <m:e>
                <m:r>
                  <m:t>P</m:t>
                </m:r>
                <m:r>
                  <m:t>(</m:t>
                </m:r>
                <m:r>
                  <m:t>T</m:t>
                </m:r>
                <m:r>
                  <m:t>|</m:t>
                </m:r>
                <m:r>
                  <m:t>R</m:t>
                </m:r>
                <m:r>
                  <m:t>)</m:t>
                </m:r>
              </m:e>
              <m:e>
                <m:r>
                  <m:t>=</m:t>
                </m:r>
                <m:r>
                  <m:t>[</m:t>
                </m:r>
                <m:sSub>
                  <m:e>
                    <m:r>
                      <m:t>α</m:t>
                    </m:r>
                  </m:e>
                  <m:sub>
                    <m:r>
                      <m:t>T</m:t>
                    </m:r>
                  </m:sub>
                </m:sSub>
                <m:r>
                  <m:t>(</m:t>
                </m:r>
                <m:r>
                  <m:t>T</m:t>
                </m:r>
                <m:r>
                  <m:t>+</m:t>
                </m:r>
                <m:r>
                  <m:t>M</m:t>
                </m:r>
                <m:r>
                  <m:t>)</m:t>
                </m:r>
                <m:r>
                  <m:t>×</m:t>
                </m:r>
                <m:r>
                  <m:t>(</m:t>
                </m:r>
                <m:r>
                  <m:t>1</m:t>
                </m:r>
                <m:r>
                  <m:t>−</m:t>
                </m:r>
                <m:sSub>
                  <m:e>
                    <m:r>
                      <m:t>α</m:t>
                    </m:r>
                  </m:e>
                  <m:sub>
                    <m:r>
                      <m:t>B</m:t>
                    </m:r>
                  </m:sub>
                </m:sSub>
                <m:r>
                  <m:t>(</m:t>
                </m:r>
                <m:r>
                  <m:t>B</m:t>
                </m:r>
                <m:r>
                  <m:t>+</m:t>
                </m:r>
                <m:r>
                  <m:t>M</m:t>
                </m:r>
                <m:r>
                  <m:t>)</m:t>
                </m:r>
                <m:r>
                  <m:t>)</m:t>
                </m:r>
                <m:r>
                  <m:t>]</m:t>
                </m:r>
                <m:r>
                  <m:t>×</m:t>
                </m:r>
                <m:r>
                  <m:t>(</m:t>
                </m:r>
                <m:r>
                  <m:t>1</m:t>
                </m:r>
                <m:r>
                  <m:t>−</m:t>
                </m:r>
                <m:r>
                  <m:t>p</m:t>
                </m:r>
                <m:r>
                  <m:t>)</m:t>
                </m:r>
                <m:r>
                  <m:t>+</m:t>
                </m:r>
                <m:r>
                  <m:t>p</m:t>
                </m:r>
              </m:e>
            </m:mr>
            <m:mr>
              <m:e>
                <m:r>
                  <m:t>P</m:t>
                </m:r>
                <m:r>
                  <m:t>(</m:t>
                </m:r>
                <m:r>
                  <m:t>B</m:t>
                </m:r>
                <m:r>
                  <m:t>|</m:t>
                </m:r>
                <m:r>
                  <m:t>R</m:t>
                </m:r>
                <m:r>
                  <m:t>)</m:t>
                </m:r>
              </m:e>
              <m:e>
                <m:r>
                  <m:t>=</m:t>
                </m:r>
                <m:r>
                  <m:t>[</m:t>
                </m:r>
                <m:sSub>
                  <m:e>
                    <m:r>
                      <m:t>α</m:t>
                    </m:r>
                  </m:e>
                  <m:sub>
                    <m:r>
                      <m:t>B</m:t>
                    </m:r>
                  </m:sub>
                </m:sSub>
                <m:r>
                  <m:t>(</m:t>
                </m:r>
                <m:r>
                  <m:t>B</m:t>
                </m:r>
                <m:r>
                  <m:t>+</m:t>
                </m:r>
                <m:r>
                  <m:t>M</m:t>
                </m:r>
                <m:r>
                  <m:t>)</m:t>
                </m:r>
                <m:r>
                  <m:t>×</m:t>
                </m:r>
                <m:r>
                  <m:t>(</m:t>
                </m:r>
                <m:r>
                  <m:t>1</m:t>
                </m:r>
                <m:r>
                  <m:t>−</m:t>
                </m:r>
                <m:sSub>
                  <m:e>
                    <m:r>
                      <m:t>α</m:t>
                    </m:r>
                  </m:e>
                  <m:sub>
                    <m:r>
                      <m:t>T</m:t>
                    </m:r>
                  </m:sub>
                </m:sSub>
                <m:r>
                  <m:t>(</m:t>
                </m:r>
                <m:r>
                  <m:t>T</m:t>
                </m:r>
                <m:r>
                  <m:t>+</m:t>
                </m:r>
                <m:r>
                  <m:t>M</m:t>
                </m:r>
                <m:r>
                  <m:t>)</m:t>
                </m:r>
                <m:r>
                  <m:t>)</m:t>
                </m:r>
                <m:r>
                  <m:t>]</m:t>
                </m:r>
                <m:r>
                  <m:t>×</m:t>
                </m:r>
                <m:r>
                  <m:t>(</m:t>
                </m:r>
                <m:r>
                  <m:t>1</m:t>
                </m:r>
                <m:r>
                  <m:t>−</m:t>
                </m:r>
                <m:r>
                  <m:t>p</m:t>
                </m:r>
                <m:r>
                  <m:t>)</m:t>
                </m:r>
              </m:e>
            </m:mr>
            <m:mr>
              <m:e>
                <m:r>
                  <m:t>P</m:t>
                </m:r>
                <m:r>
                  <m:t>(</m:t>
                </m:r>
                <m:r>
                  <m:t>M</m:t>
                </m:r>
                <m:r>
                  <m:t>|</m:t>
                </m:r>
                <m:r>
                  <m:t>R</m:t>
                </m:r>
                <m:r>
                  <m:t>)</m:t>
                </m:r>
              </m:e>
              <m:e>
                <m:r>
                  <m:t>=</m:t>
                </m:r>
                <m:r>
                  <m:t>[</m:t>
                </m:r>
                <m:sSub>
                  <m:e>
                    <m:r>
                      <m:t>α</m:t>
                    </m:r>
                  </m:e>
                  <m:sub>
                    <m:r>
                      <m:t>T</m:t>
                    </m:r>
                  </m:sub>
                </m:sSub>
                <m:r>
                  <m:t>(</m:t>
                </m:r>
                <m:r>
                  <m:t>T</m:t>
                </m:r>
                <m:r>
                  <m:t>+</m:t>
                </m:r>
                <m:r>
                  <m:t>M</m:t>
                </m:r>
                <m:r>
                  <m:t>)</m:t>
                </m:r>
                <m:r>
                  <m:t>×</m:t>
                </m:r>
                <m:sSub>
                  <m:e>
                    <m:r>
                      <m:t>α</m:t>
                    </m:r>
                  </m:e>
                  <m:sub>
                    <m:r>
                      <m:t>B</m:t>
                    </m:r>
                  </m:sub>
                </m:sSub>
                <m:r>
                  <m:t>(</m:t>
                </m:r>
                <m:r>
                  <m:t>B</m:t>
                </m:r>
                <m:r>
                  <m:t>+</m:t>
                </m:r>
                <m:r>
                  <m:t>M</m:t>
                </m:r>
                <m:r>
                  <m:t>)</m:t>
                </m:r>
                <m:r>
                  <m:t>]</m:t>
                </m:r>
                <m:r>
                  <m:t>×</m:t>
                </m:r>
                <m:r>
                  <m:t>(</m:t>
                </m:r>
                <m:r>
                  <m:t>1</m:t>
                </m:r>
                <m:r>
                  <m:t>−</m:t>
                </m:r>
                <m:r>
                  <m:t>p</m:t>
                </m:r>
                <m:r>
                  <m:t>)</m:t>
                </m:r>
              </m:e>
            </m:mr>
          </m:m>
        </m:oMath>
      </m:oMathPara>
    </w:p>
    <w:p>
      <w:pPr>
        <w:pStyle w:val="FirstParagraph"/>
      </w:pPr>
      <w:r>
        <w:t xml:space="preserve">where</w:t>
      </w:r>
      <w:r>
        <w:t xml:space="preserve"> </w:t>
      </w:r>
      <m:oMath>
        <m:r>
          <m:t>p</m:t>
        </m:r>
      </m:oMath>
      <w:r>
        <w:t xml:space="preserve"> </w:t>
      </w:r>
      <w:r>
        <w:t xml:space="preserve">is the proportion of R stands that are planted per time</w:t>
      </w:r>
      <w:r>
        <w:t xml:space="preserve"> </w:t>
      </w:r>
      <w:r>
        <w:t xml:space="preserve">step. Note that when</w:t>
      </w:r>
      <w:r>
        <w:t xml:space="preserve"> </w:t>
      </w:r>
      <m:oMath>
        <m:r>
          <m:t>p</m:t>
        </m:r>
        <m:r>
          <m:t>=</m:t>
        </m:r>
        <m:r>
          <m:t>0</m:t>
        </m:r>
      </m:oMath>
      <w:r>
        <w:t xml:space="preserve">, the natural dynamics occurs and when</w:t>
      </w:r>
      <w:r>
        <w:t xml:space="preserve"> </w:t>
      </w:r>
      <m:oMath>
        <m:r>
          <m:t>p</m:t>
        </m:r>
        <m:r>
          <m:t>=</m:t>
        </m:r>
        <m:r>
          <m:t>1</m:t>
        </m:r>
      </m:oMath>
      <w:r>
        <w:t xml:space="preserve">,</w:t>
      </w:r>
      <w:r>
        <w:t xml:space="preserve"> </w:t>
      </w:r>
      <m:oMath>
        <m:r>
          <m:t>P</m:t>
        </m:r>
        <m:r>
          <m:t>(</m:t>
        </m:r>
        <m:r>
          <m:t>T</m:t>
        </m:r>
        <m:r>
          <m:t>|</m:t>
        </m:r>
        <m:r>
          <m:t>R</m:t>
        </m:r>
        <m:r>
          <m:t>)</m:t>
        </m:r>
        <m:r>
          <m:t>=</m:t>
        </m:r>
        <m:r>
          <m:t>1</m:t>
        </m:r>
      </m:oMath>
      <w:r>
        <w:t xml:space="preserve">,</w:t>
      </w:r>
      <w:r>
        <w:t xml:space="preserve"> </w:t>
      </w:r>
      <m:oMath>
        <m:r>
          <m:t>P</m:t>
        </m:r>
        <m:r>
          <m:t>(</m:t>
        </m:r>
        <m:r>
          <m:t>B</m:t>
        </m:r>
        <m:r>
          <m:t>|</m:t>
        </m:r>
        <m:r>
          <m:t>R</m:t>
        </m:r>
        <m:r>
          <m:t>)</m:t>
        </m:r>
        <m:r>
          <m:t>=</m:t>
        </m:r>
        <m:r>
          <m:t>P</m:t>
        </m:r>
        <m:r>
          <m:t>(</m:t>
        </m:r>
        <m:r>
          <m:t>M</m:t>
        </m:r>
        <m:r>
          <m:t>|</m:t>
        </m:r>
        <m:r>
          <m:t>R</m:t>
        </m:r>
        <m:r>
          <m:t>)</m:t>
        </m:r>
        <m:r>
          <m:t>=</m:t>
        </m:r>
        <m:r>
          <m:t>0</m:t>
        </m:r>
      </m:oMath>
      <w:r>
        <w:t xml:space="preserve">.</w:t>
      </w:r>
    </w:p>
    <w:bookmarkStart w:id="39" w:name="X5e0d7144e10c5d2ccb30c760b44cdeea91f4226"/>
    <w:p>
      <w:pPr>
        <w:pStyle w:val="Heading4"/>
      </w:pPr>
      <w:bookmarkStart w:id="38" w:name="X5e0d7144e10c5d2ccb30c760b44cdeea91f4226"/>
      <w:r>
        <w:t xml:space="preserve">Enrichment planting of temperate trees on boreal</w:t>
      </w:r>
      <w:r>
        <w:t xml:space="preserve"> </w:t>
      </w:r>
      <w:r>
        <w:t xml:space="preserve">stands</w:t>
      </w:r>
      <w:bookmarkEnd w:id="38"/>
    </w:p>
    <w:bookmarkEnd w:id="39"/>
    <w:p>
      <w:pPr>
        <w:pStyle w:val="FirstParagraph"/>
      </w:pPr>
      <w:r>
        <w:t xml:space="preserve">Invasion of temperate species on boreal stands is a function of the</w:t>
      </w:r>
      <w:r>
        <w:t xml:space="preserve"> </w:t>
      </w:r>
      <w:r>
        <w:t xml:space="preserve">capacity of temperate species to colonize boreal forest</w:t>
      </w:r>
      <w:r>
        <w:t xml:space="preserve"> </w:t>
      </w:r>
      <m:oMath>
        <m:sSub>
          <m:e>
            <m:r>
              <m:t>β</m:t>
            </m:r>
          </m:e>
          <m:sub>
            <m:r>
              <m:t>T</m:t>
            </m:r>
          </m:sub>
        </m:sSub>
      </m:oMath>
      <w:r>
        <w:t xml:space="preserve">, and</w:t>
      </w:r>
      <w:r>
        <w:t xml:space="preserve"> </w:t>
      </w:r>
      <w:r>
        <w:t xml:space="preserve">the proportion of available sources,</w:t>
      </w:r>
      <w:r>
        <w:t xml:space="preserve"> </w:t>
      </w:r>
      <w:r>
        <w:rPr>
          <w:i/>
        </w:rPr>
        <w:t xml:space="preserve">i.e.</w:t>
      </w:r>
      <w:r>
        <w:t xml:space="preserve"> </w:t>
      </w:r>
      <w:r>
        <w:t xml:space="preserve">the neighboring stands</w:t>
      </w:r>
      <w:r>
        <w:t xml:space="preserve"> </w:t>
      </w:r>
      <w:r>
        <w:t xml:space="preserve">of mixed and temperate trees. Invasion only applies to stands that are</w:t>
      </w:r>
      <w:r>
        <w:t xml:space="preserve"> </w:t>
      </w:r>
      <w:r>
        <w:t xml:space="preserve">neither disturbed nor harvested:</w:t>
      </w:r>
      <w:r>
        <w:t xml:space="preserve"> </w:t>
      </w:r>
      <m:oMath>
        <m:r>
          <m:t>P</m:t>
        </m:r>
        <m:r>
          <m:t>(</m:t>
        </m:r>
        <m:r>
          <m:t>M</m:t>
        </m:r>
        <m:r>
          <m:t>|</m:t>
        </m:r>
        <m:r>
          <m:t>B</m:t>
        </m:r>
        <m:r>
          <m:t>)</m:t>
        </m:r>
        <m:r>
          <m:t>=</m:t>
        </m:r>
        <m:sSub>
          <m:e>
            <m:r>
              <m:t>β</m:t>
            </m:r>
          </m:e>
          <m:sub>
            <m:r>
              <m:t>T</m:t>
            </m:r>
          </m:sub>
        </m:sSub>
        <m:r>
          <m:t>(</m:t>
        </m:r>
        <m:r>
          <m:t>T</m:t>
        </m:r>
        <m:r>
          <m:t>+</m:t>
        </m:r>
        <m:r>
          <m:t>M</m:t>
        </m:r>
        <m:r>
          <m:t>)</m:t>
        </m:r>
        <m:r>
          <m:t>(</m:t>
        </m:r>
        <m:r>
          <m:t>1</m:t>
        </m:r>
        <m:r>
          <m:t>−</m:t>
        </m:r>
        <m:r>
          <m:t>(</m:t>
        </m:r>
        <m:r>
          <m:t>ε</m:t>
        </m:r>
        <m:r>
          <m:t>×</m:t>
        </m:r>
        <m:r>
          <m:t>(</m:t>
        </m:r>
        <m:r>
          <m:t>1</m:t>
        </m:r>
        <m:r>
          <m:t>−</m:t>
        </m:r>
        <m:r>
          <m:t>h</m:t>
        </m:r>
        <m:r>
          <m:t>)</m:t>
        </m:r>
        <m:r>
          <m:t>+</m:t>
        </m:r>
        <m:r>
          <m:t>h</m:t>
        </m:r>
        <m:r>
          <m:t>)</m:t>
        </m:r>
        <m:r>
          <m:t>)</m:t>
        </m:r>
      </m:oMath>
      <w:r>
        <w:t xml:space="preserve">.</w:t>
      </w:r>
      <w:r>
        <w:t xml:space="preserve"> </w:t>
      </w:r>
      <w:r>
        <w:t xml:space="preserve">Enrichment planting of temperate species on boreal stands is modelled as</w:t>
      </w:r>
      <w:r>
        <w:t xml:space="preserve"> </w:t>
      </w:r>
      <w:r>
        <w:t xml:space="preserve">an increase of the probability of boreal stands to become mixed. Among</w:t>
      </w:r>
      <w:r>
        <w:t xml:space="preserve"> </w:t>
      </w:r>
      <w:r>
        <w:t xml:space="preserve">boreal stands available to invasion, a proportion</w:t>
      </w:r>
      <w:r>
        <w:t xml:space="preserve"> </w:t>
      </w:r>
      <m:oMath>
        <m:r>
          <m:t>e</m:t>
        </m:r>
      </m:oMath>
      <w:r>
        <w:t xml:space="preserve"> </w:t>
      </w:r>
      <w:r>
        <w:t xml:space="preserve">is directly</w:t>
      </w:r>
      <w:r>
        <w:t xml:space="preserve"> </w:t>
      </w:r>
      <w:r>
        <w:t xml:space="preserve">assigned to mixed stands, representing the plantation of temperate</w:t>
      </w:r>
      <w:r>
        <w:t xml:space="preserve"> </w:t>
      </w:r>
      <w:r>
        <w:t xml:space="preserve">trees. The colonization probability of temperate species establishing</w:t>
      </w:r>
      <w:r>
        <w:t xml:space="preserve"> </w:t>
      </w:r>
      <w:r>
        <w:t xml:space="preserve">boreal stands after enrichment planting adds a parameter</w:t>
      </w:r>
      <w:r>
        <w:t xml:space="preserve"> </w:t>
      </w:r>
      <m:oMath>
        <m:r>
          <m:t>e</m:t>
        </m:r>
      </m:oMath>
      <w:r>
        <w:t xml:space="preserve"> </w:t>
      </w:r>
      <w:r>
        <w:t xml:space="preserve">to the</w:t>
      </w:r>
      <w:r>
        <w:t xml:space="preserve"> </w:t>
      </w:r>
      <w:r>
        <w:t xml:space="preserve">model:</w:t>
      </w:r>
    </w:p>
    <w:p>
      <w:pPr>
        <w:pStyle w:val="BodyText"/>
      </w:pPr>
      <m:oMathPara>
        <m:oMathParaPr>
          <m:jc m:val="center"/>
        </m:oMathParaPr>
        <m:oMath>
          <m:r>
            <m:t>P</m:t>
          </m:r>
          <m:r>
            <m:t>(</m:t>
          </m:r>
          <m:r>
            <m:t>M</m:t>
          </m:r>
          <m:r>
            <m:t>|</m:t>
          </m:r>
          <m:r>
            <m:t>B</m:t>
          </m:r>
          <m:r>
            <m:t>)</m:t>
          </m:r>
          <m:r>
            <m:t>=</m:t>
          </m:r>
          <m:r>
            <m:t>[</m:t>
          </m:r>
          <m:r>
            <m:t>(</m:t>
          </m:r>
          <m:r>
            <m:t>1</m:t>
          </m:r>
          <m:r>
            <m:t>−</m:t>
          </m:r>
          <m:r>
            <m:t>(</m:t>
          </m:r>
          <m:r>
            <m:t>ε</m:t>
          </m:r>
          <m:r>
            <m:t>×</m:t>
          </m:r>
          <m:r>
            <m:t>(</m:t>
          </m:r>
          <m:r>
            <m:t>1</m:t>
          </m:r>
          <m:r>
            <m:t>−</m:t>
          </m:r>
          <m:r>
            <m:t>h</m:t>
          </m:r>
          <m:r>
            <m:t>)</m:t>
          </m:r>
          <m:r>
            <m:t>+</m:t>
          </m:r>
          <m:r>
            <m:t>h</m:t>
          </m:r>
          <m:r>
            <m:t>)</m:t>
          </m:r>
          <m:r>
            <m:t>)</m:t>
          </m:r>
          <m:r>
            <m:t>×</m:t>
          </m:r>
          <m:sSub>
            <m:e>
              <m:r>
                <m:t>β</m:t>
              </m:r>
            </m:e>
            <m:sub>
              <m:r>
                <m:t>T</m:t>
              </m:r>
            </m:sub>
          </m:sSub>
          <m:r>
            <m:t>(</m:t>
          </m:r>
          <m:r>
            <m:t>T</m:t>
          </m:r>
          <m:r>
            <m:t>+</m:t>
          </m:r>
          <m:r>
            <m:t>M</m:t>
          </m:r>
          <m:r>
            <m:t>)</m:t>
          </m:r>
          <m:r>
            <m:t>]</m:t>
          </m:r>
          <m:r>
            <m:t>×</m:t>
          </m:r>
          <m:r>
            <m:t>(</m:t>
          </m:r>
          <m:r>
            <m:t>1</m:t>
          </m:r>
          <m:r>
            <m:t>−</m:t>
          </m:r>
          <m:r>
            <m:t>e</m:t>
          </m:r>
          <m:r>
            <m:t>)</m:t>
          </m:r>
          <m:r>
            <m:t>+</m:t>
          </m:r>
          <m:r>
            <m:t>e</m:t>
          </m:r>
        </m:oMath>
      </m:oMathPara>
    </w:p>
    <w:p>
      <w:pPr>
        <w:pStyle w:val="FirstParagraph"/>
      </w:pPr>
      <w:r>
        <w:t xml:space="preserve">Where</w:t>
      </w:r>
      <w:r>
        <w:t xml:space="preserve"> </w:t>
      </w:r>
      <m:oMath>
        <m:r>
          <m:t>e</m:t>
        </m:r>
      </m:oMath>
      <w:r>
        <w:t xml:space="preserve"> </w:t>
      </w:r>
      <w:r>
        <w:t xml:space="preserve">is the proportion of available boreal stands (</w:t>
      </w:r>
      <w:r>
        <w:rPr>
          <w:i/>
        </w:rPr>
        <w:t xml:space="preserve">i.e.</w:t>
      </w:r>
      <w:r>
        <w:t xml:space="preserve">,</w:t>
      </w:r>
      <w:r>
        <w:t xml:space="preserve"> </w:t>
      </w:r>
      <w:r>
        <w:t xml:space="preserve">neither disturbed nor harvested) that are enriched at each time step.</w:t>
      </w:r>
      <w:r>
        <w:t xml:space="preserve"> </w:t>
      </w:r>
      <w:r>
        <w:t xml:space="preserve">Natural dynamics occurs when</w:t>
      </w:r>
      <w:r>
        <w:t xml:space="preserve"> </w:t>
      </w:r>
      <m:oMath>
        <m:r>
          <m:t>e</m:t>
        </m:r>
        <m:r>
          <m:t>=</m:t>
        </m:r>
        <m:r>
          <m:t>1</m:t>
        </m:r>
      </m:oMath>
      <w:r>
        <w:t xml:space="preserve">, while direct conversion by forest</w:t>
      </w:r>
      <w:r>
        <w:t xml:space="preserve"> </w:t>
      </w:r>
      <w:r>
        <w:t xml:space="preserve">management occurs when</w:t>
      </w:r>
      <w:r>
        <w:t xml:space="preserve"> </w:t>
      </w:r>
      <m:oMath>
        <m:r>
          <m:t>P</m:t>
        </m:r>
        <m:r>
          <m:t>(</m:t>
        </m:r>
        <m:r>
          <m:t>M</m:t>
        </m:r>
        <m:r>
          <m:t>|</m:t>
        </m:r>
        <m:r>
          <m:t>B</m:t>
        </m:r>
        <m:r>
          <m:t>)</m:t>
        </m:r>
        <m:r>
          <m:t>=</m:t>
        </m:r>
        <m:r>
          <m:t>1</m:t>
        </m:r>
        <m:r>
          <m:t>−</m:t>
        </m:r>
        <m:r>
          <m:t>(</m:t>
        </m:r>
        <m:r>
          <m:t>ε</m:t>
        </m:r>
        <m:r>
          <m:t>×</m:t>
        </m:r>
        <m:r>
          <m:t>(</m:t>
        </m:r>
        <m:r>
          <m:t>1</m:t>
        </m:r>
        <m:r>
          <m:t>−</m:t>
        </m:r>
        <m:r>
          <m:t>h</m:t>
        </m:r>
        <m:r>
          <m:t>)</m:t>
        </m:r>
        <m:r>
          <m:t>+</m:t>
        </m:r>
        <m:r>
          <m:t>h</m:t>
        </m:r>
        <m:r>
          <m:t>)</m:t>
        </m:r>
      </m:oMath>
      <w:r>
        <w:t xml:space="preserve">.</w:t>
      </w:r>
    </w:p>
    <w:bookmarkStart w:id="41" w:name="managing-to-reduce-extinction-debt"/>
    <w:p>
      <w:pPr>
        <w:pStyle w:val="Heading3"/>
      </w:pPr>
      <w:bookmarkStart w:id="40" w:name="managing-to-reduce-extinction-debt"/>
      <w:r>
        <w:t xml:space="preserve">Managing to reduce extinction</w:t>
      </w:r>
      <w:r>
        <w:t xml:space="preserve"> </w:t>
      </w:r>
      <w:r>
        <w:t xml:space="preserve">debt</w:t>
      </w:r>
      <w:bookmarkEnd w:id="40"/>
    </w:p>
    <w:bookmarkEnd w:id="41"/>
    <w:p>
      <w:pPr>
        <w:pStyle w:val="FirstParagraph"/>
      </w:pPr>
      <w:r>
        <w:t xml:space="preserve">Different ecological mechanisms can explain extinction debt caused by</w:t>
      </w:r>
      <w:r>
        <w:t xml:space="preserve"> </w:t>
      </w:r>
      <w:r>
        <w:t xml:space="preserve">delayed response of forest trees to warming temperature. Slow</w:t>
      </w:r>
      <w:r>
        <w:t xml:space="preserve"> </w:t>
      </w:r>
      <w:r>
        <w:t xml:space="preserve">demographic rates along with dispersal limitations can delay the</w:t>
      </w:r>
      <w:r>
        <w:t xml:space="preserve"> </w:t>
      </w:r>
      <w:r>
        <w:t xml:space="preserve">response of species to environmental changes (Dullinger et al.</w:t>
      </w:r>
      <w:r>
        <w:t xml:space="preserve"> </w:t>
      </w:r>
      <w:hyperlink w:anchor="ref-Dullinger2012">
        <w:r>
          <w:rPr>
            <w:rStyle w:val="Hyperlink"/>
          </w:rPr>
          <w:t xml:space="preserve">2012</w:t>
        </w:r>
      </w:hyperlink>
      <w:r>
        <w:t xml:space="preserve">). These life-history traits,</w:t>
      </w:r>
      <w:r>
        <w:t xml:space="preserve"> </w:t>
      </w:r>
      <w:r>
        <w:t xml:space="preserve">associated with source-sink dynamics (Schurr et al.</w:t>
      </w:r>
      <w:r>
        <w:t xml:space="preserve"> </w:t>
      </w:r>
      <w:hyperlink w:anchor="ref-Schurr2012">
        <w:r>
          <w:rPr>
            <w:rStyle w:val="Hyperlink"/>
          </w:rPr>
          <w:t xml:space="preserve">2012</w:t>
        </w:r>
      </w:hyperlink>
      <w:r>
        <w:t xml:space="preserve">), can increase considerably the</w:t>
      </w:r>
      <w:r>
        <w:t xml:space="preserve"> </w:t>
      </w:r>
      <w:r>
        <w:t xml:space="preserve">extinction debt of tree populations following warming temperature. To</w:t>
      </w:r>
      <w:r>
        <w:t xml:space="preserve"> </w:t>
      </w:r>
      <w:r>
        <w:t xml:space="preserve">reduce this delayed response, unadapted populations must disappear and</w:t>
      </w:r>
      <w:r>
        <w:t xml:space="preserve"> </w:t>
      </w:r>
      <w:r>
        <w:t xml:space="preserve">therefore make room for the new population that is better adapted to the</w:t>
      </w:r>
      <w:r>
        <w:t xml:space="preserve"> </w:t>
      </w:r>
      <w:r>
        <w:t xml:space="preserve">novel environmental conditions. Disturbance and competitive exclusion</w:t>
      </w:r>
      <w:r>
        <w:t xml:space="preserve"> </w:t>
      </w:r>
      <w:r>
        <w:t xml:space="preserve">are two ecological processes suitable to influence the rate of</w:t>
      </w:r>
      <w:r>
        <w:t xml:space="preserve"> </w:t>
      </w:r>
      <w:r>
        <w:t xml:space="preserve">extinction and, if well directed, reduce extinction debt. Here we choose</w:t>
      </w:r>
      <w:r>
        <w:t xml:space="preserve"> </w:t>
      </w:r>
      <w:r>
        <w:t xml:space="preserve">harvest and thinning, which is a selective harvest within a stand, as</w:t>
      </w:r>
      <w:r>
        <w:t xml:space="preserve"> </w:t>
      </w:r>
      <w:r>
        <w:t xml:space="preserve">complementary management practices that may influence disturbance and</w:t>
      </w:r>
      <w:r>
        <w:t xml:space="preserve"> </w:t>
      </w:r>
      <w:r>
        <w:t xml:space="preserve">competitive exclusion. Harvest of boreal stands can simulate large</w:t>
      </w:r>
      <w:r>
        <w:t xml:space="preserve"> </w:t>
      </w:r>
      <w:r>
        <w:t xml:space="preserve">spatial scale disturbances, such as fire, and transform a proportion of</w:t>
      </w:r>
      <w:r>
        <w:t xml:space="preserve"> </w:t>
      </w:r>
      <w:r>
        <w:t xml:space="preserve">boreal stands in a regeneration state. Similarly, thinning of boreal</w:t>
      </w:r>
      <w:r>
        <w:t xml:space="preserve"> </w:t>
      </w:r>
      <w:r>
        <w:t xml:space="preserve">species in mixed stands can simulate an increase in the fitness of</w:t>
      </w:r>
      <w:r>
        <w:t xml:space="preserve"> </w:t>
      </w:r>
      <w:r>
        <w:t xml:space="preserve">temperate species which then can competitively exclude boreal species.</w:t>
      </w:r>
      <w:r>
        <w:t xml:space="preserve"> </w:t>
      </w:r>
      <w:r>
        <w:t xml:space="preserve">Both harvest and thinning are intended to open space and reduce the</w:t>
      </w:r>
      <w:r>
        <w:t xml:space="preserve"> </w:t>
      </w:r>
      <w:r>
        <w:t xml:space="preserve">proportion of boreal species, and therefore increase the likelihood of</w:t>
      </w:r>
      <w:r>
        <w:t xml:space="preserve"> </w:t>
      </w:r>
      <w:r>
        <w:t xml:space="preserve">temperate species to shift northward.</w:t>
      </w:r>
    </w:p>
    <w:bookmarkStart w:id="43" w:name="harvest-of-boreal-stands"/>
    <w:p>
      <w:pPr>
        <w:pStyle w:val="Heading4"/>
      </w:pPr>
      <w:bookmarkStart w:id="42" w:name="harvest-of-boreal-stands"/>
      <w:r>
        <w:t xml:space="preserve">Harvest of boreal stands</w:t>
      </w:r>
      <w:bookmarkEnd w:id="42"/>
    </w:p>
    <w:bookmarkEnd w:id="43"/>
    <w:p>
      <w:pPr>
        <w:pStyle w:val="FirstParagraph"/>
      </w:pPr>
      <w:r>
        <w:t xml:space="preserve">In the natural extinction model, boreal stands turn into a regeneration</w:t>
      </w:r>
      <w:r>
        <w:t xml:space="preserve"> </w:t>
      </w:r>
      <w:r>
        <w:t xml:space="preserve">state only after disturbances, occurring at a probability</w:t>
      </w:r>
      <w:r>
        <w:t xml:space="preserve"> </w:t>
      </w:r>
      <w:r>
        <w:t xml:space="preserve">(</w:t>
      </w:r>
      <m:oMath>
        <m:r>
          <m:t>ε</m:t>
        </m:r>
      </m:oMath>
      <w:r>
        <w:t xml:space="preserve">). Harvest is modelled as an increase in the probability</w:t>
      </w:r>
      <w:r>
        <w:t xml:space="preserve"> </w:t>
      </w:r>
      <w:r>
        <w:t xml:space="preserve">of boreal stands to become regeneration</w:t>
      </w:r>
      <w:r>
        <w:t xml:space="preserve"> </w:t>
      </w:r>
      <m:oMath>
        <m:r>
          <m:t>P</m:t>
        </m:r>
        <m:r>
          <m:t>(</m:t>
        </m:r>
        <m:r>
          <m:t>R</m:t>
        </m:r>
        <m:r>
          <m:t>|</m:t>
        </m:r>
        <m:r>
          <m:t>B</m:t>
        </m:r>
        <m:r>
          <m:t>)</m:t>
        </m:r>
      </m:oMath>
      <w:r>
        <w:t xml:space="preserve">. A proportion</w:t>
      </w:r>
      <w:r>
        <w:t xml:space="preserve"> </w:t>
      </w:r>
      <m:oMath>
        <m:r>
          <m:t>h</m:t>
        </m:r>
      </m:oMath>
      <w:r>
        <w:t xml:space="preserve"> </w:t>
      </w:r>
      <w:r>
        <w:t xml:space="preserve">of boreal stands that are not disturbed, is converted into regeneration</w:t>
      </w:r>
      <w:r>
        <w:t xml:space="preserve"> </w:t>
      </w:r>
      <w:r>
        <w:t xml:space="preserve">stands, featuring the cut of all trees. This proportion of boreal stands</w:t>
      </w:r>
      <w:r>
        <w:t xml:space="preserve"> </w:t>
      </w:r>
      <w:r>
        <w:t xml:space="preserve">is thus excluded from following natural dynamics. Harvest thus involves</w:t>
      </w:r>
      <w:r>
        <w:t xml:space="preserve"> </w:t>
      </w:r>
      <w:r>
        <w:t xml:space="preserve">an additional parameter</w:t>
      </w:r>
      <w:r>
        <w:t xml:space="preserve"> </w:t>
      </w:r>
      <m:oMath>
        <m:r>
          <m:t>h</m:t>
        </m:r>
      </m:oMath>
      <w:r>
        <w:t xml:space="preserve"> </w:t>
      </w:r>
      <w:r>
        <w:t xml:space="preserve">that modifies the following probabilities:</w:t>
      </w:r>
    </w:p>
    <w:p>
      <w:pPr>
        <w:pStyle w:val="BodyText"/>
      </w:pPr>
      <m:oMathPara>
        <m:oMathParaPr>
          <m:jc m:val="center"/>
        </m:oMathParaPr>
        <m:oMath>
          <m:m>
            <m:mPr>
              <m:baseJc m:val="center"/>
              <m:plcHide m:val="1"/>
              <m:mcs>
                <m:mc>
                  <m:mcPr>
                    <m:mcJc m:val="right"/>
                    <m:count m:val="1"/>
                  </m:mcPr>
                </m:mc>
                <m:mc>
                  <m:mcPr>
                    <m:mcJc m:val="left"/>
                    <m:count m:val="1"/>
                  </m:mcPr>
                </m:mc>
              </m:mcs>
            </m:mPr>
            <m:mr>
              <m:e>
                <m:r>
                  <m:t>P</m:t>
                </m:r>
                <m:r>
                  <m:t>(</m:t>
                </m:r>
                <m:r>
                  <m:t>R</m:t>
                </m:r>
                <m:r>
                  <m:t>|</m:t>
                </m:r>
                <m:r>
                  <m:t>B</m:t>
                </m:r>
                <m:r>
                  <m:t>)</m:t>
                </m:r>
              </m:e>
              <m:e>
                <m:r>
                  <m:t>=</m:t>
                </m:r>
                <m:r>
                  <m:t>[</m:t>
                </m:r>
                <m:r>
                  <m:t>ε</m:t>
                </m:r>
                <m:r>
                  <m:t>×</m:t>
                </m:r>
                <m:r>
                  <m:t>(</m:t>
                </m:r>
                <m:r>
                  <m:t>1</m:t>
                </m:r>
                <m:r>
                  <m:t>−</m:t>
                </m:r>
                <m:r>
                  <m:t>h</m:t>
                </m:r>
                <m:r>
                  <m:t>)</m:t>
                </m:r>
                <m:r>
                  <m:t>]</m:t>
                </m:r>
                <m:r>
                  <m:t>+</m:t>
                </m:r>
                <m:r>
                  <m:t>h</m:t>
                </m:r>
              </m:e>
            </m:mr>
            <m:mr>
              <m:e>
                <m:r>
                  <m:t>P</m:t>
                </m:r>
                <m:r>
                  <m:t>(</m:t>
                </m:r>
                <m:r>
                  <m:t>M</m:t>
                </m:r>
                <m:r>
                  <m:t>|</m:t>
                </m:r>
                <m:r>
                  <m:t>B</m:t>
                </m:r>
                <m:r>
                  <m:t>)</m:t>
                </m:r>
              </m:e>
              <m:e>
                <m:r>
                  <m:t>=</m:t>
                </m:r>
                <m:r>
                  <m:t>(</m:t>
                </m:r>
                <m:r>
                  <m:t>1</m:t>
                </m:r>
                <m:r>
                  <m:t>−</m:t>
                </m:r>
                <m:r>
                  <m:t>(</m:t>
                </m:r>
                <m:r>
                  <m:t>ε</m:t>
                </m:r>
                <m:r>
                  <m:t>×</m:t>
                </m:r>
                <m:r>
                  <m:t>(</m:t>
                </m:r>
                <m:r>
                  <m:t>1</m:t>
                </m:r>
                <m:r>
                  <m:t>−</m:t>
                </m:r>
                <m:r>
                  <m:t>h</m:t>
                </m:r>
                <m:r>
                  <m:t>)</m:t>
                </m:r>
                <m:r>
                  <m:t>+</m:t>
                </m:r>
                <m:r>
                  <m:t>h</m:t>
                </m:r>
                <m:r>
                  <m:t>)</m:t>
                </m:r>
                <m:r>
                  <m:t>)</m:t>
                </m:r>
                <m:r>
                  <m:t>×</m:t>
                </m:r>
                <m:sSub>
                  <m:e>
                    <m:r>
                      <m:t>β</m:t>
                    </m:r>
                  </m:e>
                  <m:sub>
                    <m:r>
                      <m:t>T</m:t>
                    </m:r>
                  </m:sub>
                </m:sSub>
                <m:r>
                  <m:t>(</m:t>
                </m:r>
                <m:r>
                  <m:t>T</m:t>
                </m:r>
                <m:r>
                  <m:t>+</m:t>
                </m:r>
                <m:r>
                  <m:t>M</m:t>
                </m:r>
                <m:r>
                  <m:t>)</m:t>
                </m:r>
              </m:e>
            </m:mr>
          </m:m>
        </m:oMath>
      </m:oMathPara>
    </w:p>
    <w:p>
      <w:pPr>
        <w:pStyle w:val="FirstParagraph"/>
      </w:pPr>
      <w:r>
        <w:t xml:space="preserve">Where</w:t>
      </w:r>
      <w:r>
        <w:t xml:space="preserve"> </w:t>
      </w:r>
      <m:oMath>
        <m:r>
          <m:t>h</m:t>
        </m:r>
      </m:oMath>
      <w:r>
        <w:t xml:space="preserve"> </w:t>
      </w:r>
      <w:r>
        <w:t xml:space="preserve">is the proportion of boreal stands that are harvested at</w:t>
      </w:r>
      <w:r>
        <w:t xml:space="preserve"> </w:t>
      </w:r>
      <w:r>
        <w:t xml:space="preserve">each time step. If</w:t>
      </w:r>
      <w:r>
        <w:t xml:space="preserve"> </w:t>
      </w:r>
      <m:oMath>
        <m:r>
          <m:t>h</m:t>
        </m:r>
        <m:r>
          <m:t>=</m:t>
        </m:r>
        <m:r>
          <m:t>1</m:t>
        </m:r>
      </m:oMath>
      <w:r>
        <w:t xml:space="preserve">, no boreal stands will be maintained, and</w:t>
      </w:r>
      <w:r>
        <w:t xml:space="preserve"> </w:t>
      </w:r>
      <w:r>
        <w:t xml:space="preserve">only natural disturbance occurs when</w:t>
      </w:r>
      <w:r>
        <w:t xml:space="preserve"> </w:t>
      </w:r>
      <m:oMath>
        <m:r>
          <m:t>h</m:t>
        </m:r>
        <m:r>
          <m:t>=</m:t>
        </m:r>
        <m:r>
          <m:t>0</m:t>
        </m:r>
      </m:oMath>
      <w:r>
        <w:t xml:space="preserve">.</w:t>
      </w:r>
    </w:p>
    <w:bookmarkStart w:id="45" w:name="thinning-of-boreal-trees-in-mixed-stands"/>
    <w:p>
      <w:pPr>
        <w:pStyle w:val="Heading4"/>
      </w:pPr>
      <w:bookmarkStart w:id="44" w:name="thinning-of-boreal-trees-in-mixed-stands"/>
      <w:r>
        <w:t xml:space="preserve">Thinning of boreal trees in mixed</w:t>
      </w:r>
      <w:r>
        <w:t xml:space="preserve"> </w:t>
      </w:r>
      <w:r>
        <w:t xml:space="preserve">stands</w:t>
      </w:r>
      <w:bookmarkEnd w:id="44"/>
    </w:p>
    <w:bookmarkEnd w:id="45"/>
    <w:p>
      <w:pPr>
        <w:pStyle w:val="FirstParagraph"/>
      </w:pPr>
      <w:r>
        <w:t xml:space="preserve">The exclusion of boreal trees by temperate trees in mixed stands is a</w:t>
      </w:r>
      <w:r>
        <w:t xml:space="preserve"> </w:t>
      </w:r>
      <w:r>
        <w:t xml:space="preserve">function of the instability of the mixed stand</w:t>
      </w:r>
      <w:r>
        <w:t xml:space="preserve"> </w:t>
      </w:r>
      <m:oMath>
        <m:r>
          <m:t>θ</m:t>
        </m:r>
      </m:oMath>
      <w:r>
        <w:t xml:space="preserve"> </w:t>
      </w:r>
      <w:r>
        <w:t xml:space="preserve">and the ratio</w:t>
      </w:r>
      <w:r>
        <w:t xml:space="preserve"> </w:t>
      </w:r>
      <w:r>
        <w:t xml:space="preserve">of competitive abilities between temperate and boreal species,</w:t>
      </w:r>
      <w:r>
        <w:t xml:space="preserve"> </w:t>
      </w:r>
      <m:oMath>
        <m:sSub>
          <m:e>
            <m:r>
              <m:t>θ</m:t>
            </m:r>
          </m:e>
          <m:sub>
            <m:r>
              <m:t>T</m:t>
            </m:r>
          </m:sub>
        </m:sSub>
      </m:oMath>
      <w:r>
        <w:t xml:space="preserve">. Thinning of boreal species in mixed stands is modelled as</w:t>
      </w:r>
      <w:r>
        <w:t xml:space="preserve"> </w:t>
      </w:r>
      <w:r>
        <w:t xml:space="preserve">an increase of the probability of mixed stands to become temperate by</w:t>
      </w:r>
      <w:r>
        <w:t xml:space="preserve"> </w:t>
      </w:r>
      <w:r>
        <w:t xml:space="preserve">two different ways.</w:t>
      </w:r>
    </w:p>
    <w:p>
      <w:pPr>
        <w:pStyle w:val="BodyText"/>
      </w:pPr>
      <w:r>
        <w:t xml:space="preserve">First, thinning of boreal species can be translated into a decrease of</w:t>
      </w:r>
      <w:r>
        <w:t xml:space="preserve"> </w:t>
      </w:r>
      <w:r>
        <w:t xml:space="preserve">the persistence of the mixed stand (</w:t>
      </w:r>
      <m:oMath>
        <m:r>
          <m:t>P</m:t>
        </m:r>
        <m:r>
          <m:t>(</m:t>
        </m:r>
        <m:r>
          <m:t>M</m:t>
        </m:r>
        <m:r>
          <m:t>|</m:t>
        </m:r>
        <m:r>
          <m:t>M</m:t>
        </m:r>
        <m:r>
          <m:t>)</m:t>
        </m:r>
        <m:r>
          <m:t>=</m:t>
        </m:r>
        <m:r>
          <m:t>1</m:t>
        </m:r>
        <m:r>
          <m:t>−</m:t>
        </m:r>
        <m:r>
          <m:t>θ</m:t>
        </m:r>
      </m:oMath>
      <w:r>
        <w:t xml:space="preserve">), thus</w:t>
      </w:r>
      <w:r>
        <w:t xml:space="preserve"> </w:t>
      </w:r>
      <w:r>
        <w:t xml:space="preserve">increasing</w:t>
      </w:r>
      <w:r>
        <w:t xml:space="preserve"> </w:t>
      </w:r>
      <m:oMath>
        <m:r>
          <m:t>θ</m:t>
        </m:r>
      </m:oMath>
      <w:r>
        <w:t xml:space="preserve">:</w:t>
      </w:r>
    </w:p>
    <w:p>
      <w:pPr>
        <w:pStyle w:val="BodyText"/>
      </w:pPr>
      <m:oMathPara>
        <m:oMathParaPr>
          <m:jc m:val="center"/>
        </m:oMathParaPr>
        <m:oMath>
          <m:sSub>
            <m:e>
              <m:r>
                <m:t>θ</m:t>
              </m:r>
            </m:e>
            <m:sub>
              <m:r>
                <m:t>m</m:t>
              </m:r>
            </m:sub>
          </m:sSub>
          <m:r>
            <m:t>=</m:t>
          </m:r>
          <m:r>
            <m:t>[</m:t>
          </m:r>
          <m:r>
            <m:t>θ</m:t>
          </m:r>
          <m:r>
            <m:t>×</m:t>
          </m:r>
          <m:r>
            <m:t>(</m:t>
          </m:r>
          <m:r>
            <m:t>1</m:t>
          </m:r>
          <m:r>
            <m:t>−</m:t>
          </m:r>
          <m:r>
            <m:t>s</m:t>
          </m:r>
          <m:r>
            <m:t>1</m:t>
          </m:r>
          <m:r>
            <m:t>)</m:t>
          </m:r>
          <m:r>
            <m:t>]</m:t>
          </m:r>
          <m:r>
            <m:t>+</m:t>
          </m:r>
          <m:r>
            <m:t>s</m:t>
          </m:r>
          <m:r>
            <m:t>1</m:t>
          </m:r>
        </m:oMath>
      </m:oMathPara>
    </w:p>
    <w:p>
      <w:pPr>
        <w:pStyle w:val="FirstParagraph"/>
      </w:pPr>
      <w:r>
        <w:t xml:space="preserve">Second, thinning of boreal species can be translated into an increase of</w:t>
      </w:r>
      <w:r>
        <w:t xml:space="preserve"> </w:t>
      </w:r>
      <w:r>
        <w:t xml:space="preserve">the ability of temperate species to exclude boreal ones by competition:</w:t>
      </w:r>
    </w:p>
    <w:p>
      <w:pPr>
        <w:pStyle w:val="BodyText"/>
      </w:pPr>
      <m:oMathPara>
        <m:oMathParaPr>
          <m:jc m:val="center"/>
        </m:oMathParaPr>
        <m:oMath>
          <m:sSub>
            <m:e>
              <m:r>
                <m:t>θ</m:t>
              </m:r>
            </m:e>
            <m:sub>
              <m:r>
                <m:t>T</m:t>
              </m:r>
              <m:r>
                <m:t>,</m:t>
              </m:r>
              <m:r>
                <m:t>m</m:t>
              </m:r>
            </m:sub>
          </m:sSub>
          <m:r>
            <m:t>=</m:t>
          </m:r>
          <m:r>
            <m:t>[</m:t>
          </m:r>
          <m:sSub>
            <m:e>
              <m:r>
                <m:t>θ</m:t>
              </m:r>
            </m:e>
            <m:sub>
              <m:r>
                <m:t>T</m:t>
              </m:r>
            </m:sub>
          </m:sSub>
          <m:r>
            <m:t>×</m:t>
          </m:r>
          <m:r>
            <m:t>(</m:t>
          </m:r>
          <m:r>
            <m:t>1</m:t>
          </m:r>
          <m:r>
            <m:t>−</m:t>
          </m:r>
          <m:r>
            <m:t>s</m:t>
          </m:r>
          <m:r>
            <m:t>2</m:t>
          </m:r>
          <m:r>
            <m:t>)</m:t>
          </m:r>
          <m:r>
            <m:t>]</m:t>
          </m:r>
          <m:r>
            <m:t>+</m:t>
          </m:r>
          <m:r>
            <m:t>s</m:t>
          </m:r>
          <m:r>
            <m:t>2</m:t>
          </m:r>
        </m:oMath>
      </m:oMathPara>
    </w:p>
    <w:p>
      <w:pPr>
        <w:pStyle w:val="FirstParagraph"/>
      </w:pPr>
      <w:r>
        <w:t xml:space="preserve">It is unclear if we need to distinguish between the two processes. The</w:t>
      </w:r>
      <w:r>
        <w:t xml:space="preserve"> </w:t>
      </w:r>
      <w:r>
        <w:t xml:space="preserve">rationale is that the proportion</w:t>
      </w:r>
      <w:r>
        <w:t xml:space="preserve"> </w:t>
      </w:r>
      <m:oMath>
        <m:r>
          <m:t>s</m:t>
        </m:r>
        <m:r>
          <m:t>1</m:t>
        </m:r>
      </m:oMath>
      <w:r>
        <w:t xml:space="preserve"> </w:t>
      </w:r>
      <w:r>
        <w:t xml:space="preserve">of mixed stands that are managed</w:t>
      </w:r>
      <w:r>
        <w:t xml:space="preserve"> </w:t>
      </w:r>
      <w:r>
        <w:t xml:space="preserve">this way is directly converted into temperate. It means that</w:t>
      </w:r>
      <w:r>
        <w:t xml:space="preserve"> </w:t>
      </w:r>
      <m:oMath>
        <m:r>
          <m:t>s</m:t>
        </m:r>
        <m:r>
          <m:t>2</m:t>
        </m:r>
      </m:oMath>
      <w:r>
        <w:t xml:space="preserve"> </w:t>
      </w:r>
      <w:r>
        <w:t xml:space="preserve">should at least be equal to</w:t>
      </w:r>
      <w:r>
        <w:t xml:space="preserve"> </w:t>
      </w:r>
      <m:oMath>
        <m:r>
          <m:t>s</m:t>
        </m:r>
        <m:r>
          <m:t>1</m:t>
        </m:r>
      </m:oMath>
      <w:r>
        <w:t xml:space="preserve">.</w:t>
      </w:r>
      <w:r>
        <w:t xml:space="preserve"> </w:t>
      </w:r>
      <m:oMath>
        <m:r>
          <m:t>s</m:t>
        </m:r>
        <m:r>
          <m:t>2</m:t>
        </m:r>
      </m:oMath>
      <w:r>
        <w:t xml:space="preserve"> </w:t>
      </w:r>
      <w:r>
        <w:t xml:space="preserve">can be greater than</w:t>
      </w:r>
      <w:r>
        <w:t xml:space="preserve"> </w:t>
      </w:r>
      <m:oMath>
        <m:r>
          <m:t>s</m:t>
        </m:r>
        <m:r>
          <m:t>1</m:t>
        </m:r>
      </m:oMath>
      <w:r>
        <w:t xml:space="preserve"> </w:t>
      </w:r>
      <w:r>
        <w:t xml:space="preserve">if</w:t>
      </w:r>
      <w:r>
        <w:t xml:space="preserve"> </w:t>
      </w:r>
      <w:r>
        <w:t xml:space="preserve">thinning further boost the competitively (fitness) of temperate species.</w:t>
      </w:r>
      <w:r>
        <w:t xml:space="preserve"> </w:t>
      </w:r>
      <w:r>
        <w:t xml:space="preserve">For a parsimonious approach, it is reasonable to set</w:t>
      </w:r>
      <w:r>
        <w:t xml:space="preserve"> </w:t>
      </w:r>
      <m:oMath>
        <m:r>
          <m:t>s</m:t>
        </m:r>
        <m:r>
          <m:t>1</m:t>
        </m:r>
        <m:r>
          <m:t>=</m:t>
        </m:r>
        <m:r>
          <m:t>s</m:t>
        </m:r>
        <m:r>
          <m:t>2</m:t>
        </m:r>
      </m:oMath>
      <w:r>
        <w:t xml:space="preserve">. These</w:t>
      </w:r>
      <w:r>
        <w:t xml:space="preserve"> </w:t>
      </w:r>
      <w:r>
        <w:t xml:space="preserve">modifications directly affect</w:t>
      </w:r>
      <w:r>
        <w:t xml:space="preserve"> </w:t>
      </w:r>
      <m:oMath>
        <m:r>
          <m:t>P</m:t>
        </m:r>
        <m:r>
          <m:t>(</m:t>
        </m:r>
        <m:r>
          <m:t>T</m:t>
        </m:r>
        <m:r>
          <m:t>|</m:t>
        </m:r>
        <m:r>
          <m:t>M</m:t>
        </m:r>
        <m:r>
          <m:t>)</m:t>
        </m:r>
      </m:oMath>
      <w:r>
        <w:t xml:space="preserve"> </w:t>
      </w:r>
      <w:r>
        <w:t xml:space="preserve">and</w:t>
      </w:r>
      <w:r>
        <w:t xml:space="preserve"> </w:t>
      </w:r>
      <m:oMath>
        <m:r>
          <m:t>P</m:t>
        </m:r>
        <m:r>
          <m:t>(</m:t>
        </m:r>
        <m:r>
          <m:t>B</m:t>
        </m:r>
        <m:r>
          <m:t>|</m:t>
        </m:r>
        <m:r>
          <m:t>M</m:t>
        </m:r>
        <m:r>
          <m:t>)</m:t>
        </m:r>
      </m:oMath>
      <w:r>
        <w:t xml:space="preserve">:</w:t>
      </w:r>
    </w:p>
    <w:p>
      <w:pPr>
        <w:pStyle w:val="BodyText"/>
      </w:pPr>
      <m:oMathPara>
        <m:oMathParaPr>
          <m:jc m:val="center"/>
        </m:oMathParaPr>
        <m:oMath>
          <m:m>
            <m:mPr>
              <m:baseJc m:val="center"/>
              <m:plcHide m:val="1"/>
              <m:mcs>
                <m:mc>
                  <m:mcPr>
                    <m:mcJc m:val="right"/>
                    <m:count m:val="1"/>
                  </m:mcPr>
                </m:mc>
                <m:mc>
                  <m:mcPr>
                    <m:mcJc m:val="left"/>
                    <m:count m:val="1"/>
                  </m:mcPr>
                </m:mc>
              </m:mcs>
            </m:mPr>
            <m:mr>
              <m:e>
                <m:sSub>
                  <m:e>
                    <m:r>
                      <m:t>θ</m:t>
                    </m:r>
                  </m:e>
                  <m:sub>
                    <m:r>
                      <m:t>m</m:t>
                    </m:r>
                  </m:sub>
                </m:sSub>
              </m:e>
              <m:e>
                <m:r>
                  <m:t>=</m:t>
                </m:r>
                <m:r>
                  <m:t>[</m:t>
                </m:r>
                <m:r>
                  <m:t>θ</m:t>
                </m:r>
                <m:r>
                  <m:t>×</m:t>
                </m:r>
                <m:r>
                  <m:t>(</m:t>
                </m:r>
                <m:r>
                  <m:t>1</m:t>
                </m:r>
                <m:r>
                  <m:t>−</m:t>
                </m:r>
                <m:r>
                  <m:t>s</m:t>
                </m:r>
                <m:r>
                  <m:t>)</m:t>
                </m:r>
                <m:r>
                  <m:t>]</m:t>
                </m:r>
                <m:r>
                  <m:t>+</m:t>
                </m:r>
                <m:r>
                  <m:t>s</m:t>
                </m:r>
              </m:e>
            </m:mr>
            <m:mr>
              <m:e>
                <m:sSub>
                  <m:e>
                    <m:r>
                      <m:t>θ</m:t>
                    </m:r>
                  </m:e>
                  <m:sub>
                    <m:r>
                      <m:t>T</m:t>
                    </m:r>
                    <m:r>
                      <m:t>,</m:t>
                    </m:r>
                    <m:r>
                      <m:t>m</m:t>
                    </m:r>
                  </m:sub>
                </m:sSub>
              </m:e>
              <m:e>
                <m:r>
                  <m:t>=</m:t>
                </m:r>
                <m:r>
                  <m:t>[</m:t>
                </m:r>
                <m:sSub>
                  <m:e>
                    <m:r>
                      <m:t>θ</m:t>
                    </m:r>
                  </m:e>
                  <m:sub>
                    <m:r>
                      <m:t>T</m:t>
                    </m:r>
                  </m:sub>
                </m:sSub>
                <m:r>
                  <m:t>×</m:t>
                </m:r>
                <m:r>
                  <m:t>(</m:t>
                </m:r>
                <m:r>
                  <m:t>1</m:t>
                </m:r>
                <m:r>
                  <m:t>−</m:t>
                </m:r>
                <m:r>
                  <m:t>s</m:t>
                </m:r>
                <m:r>
                  <m:t>)</m:t>
                </m:r>
                <m:r>
                  <m:t>]</m:t>
                </m:r>
                <m:r>
                  <m:t>+</m:t>
                </m:r>
                <m:r>
                  <m:t>s</m:t>
                </m:r>
              </m:e>
            </m:mr>
            <m:mr>
              <m:e>
                <m:r>
                  <m:t>P</m:t>
                </m:r>
                <m:r>
                  <m:t>(</m:t>
                </m:r>
                <m:r>
                  <m:t>T</m:t>
                </m:r>
                <m:r>
                  <m:t>|</m:t>
                </m:r>
                <m:r>
                  <m:t>M</m:t>
                </m:r>
                <m:r>
                  <m:t>)</m:t>
                </m:r>
              </m:e>
              <m:e>
                <m:r>
                  <m:t>=</m:t>
                </m:r>
                <m:sSub>
                  <m:e>
                    <m:r>
                      <m:t>θ</m:t>
                    </m:r>
                  </m:e>
                  <m:sub>
                    <m:r>
                      <m:t>m</m:t>
                    </m:r>
                  </m:sub>
                </m:sSub>
                <m:r>
                  <m:t>×</m:t>
                </m:r>
                <m:sSub>
                  <m:e>
                    <m:r>
                      <m:t>θ</m:t>
                    </m:r>
                  </m:e>
                  <m:sub>
                    <m:r>
                      <m:t>T</m:t>
                    </m:r>
                    <m:r>
                      <m:t>,</m:t>
                    </m:r>
                    <m:r>
                      <m:t>m</m:t>
                    </m:r>
                  </m:sub>
                </m:sSub>
                <m:r>
                  <m:t>×</m:t>
                </m:r>
                <m:r>
                  <m:t>(</m:t>
                </m:r>
                <m:r>
                  <m:t>1</m:t>
                </m:r>
                <m:r>
                  <m:t>−</m:t>
                </m:r>
                <m:r>
                  <m:t>ε</m:t>
                </m:r>
                <m:r>
                  <m:t>)</m:t>
                </m:r>
              </m:e>
            </m:mr>
            <m:mr>
              <m:e>
                <m:r>
                  <m:t>P</m:t>
                </m:r>
                <m:r>
                  <m:t>(</m:t>
                </m:r>
                <m:r>
                  <m:t>B</m:t>
                </m:r>
                <m:r>
                  <m:t>|</m:t>
                </m:r>
                <m:r>
                  <m:t>M</m:t>
                </m:r>
                <m:r>
                  <m:t>)</m:t>
                </m:r>
              </m:e>
              <m:e>
                <m:r>
                  <m:t>=</m:t>
                </m:r>
                <m:sSub>
                  <m:e>
                    <m:r>
                      <m:t>θ</m:t>
                    </m:r>
                  </m:e>
                  <m:sub>
                    <m:r>
                      <m:t>m</m:t>
                    </m:r>
                  </m:sub>
                </m:sSub>
                <m:r>
                  <m:t>(</m:t>
                </m:r>
                <m:r>
                  <m:t>1</m:t>
                </m:r>
                <m:r>
                  <m:t>−</m:t>
                </m:r>
                <m:sSub>
                  <m:e>
                    <m:r>
                      <m:t>θ</m:t>
                    </m:r>
                  </m:e>
                  <m:sub>
                    <m:r>
                      <m:t>T</m:t>
                    </m:r>
                    <m:r>
                      <m:t>,</m:t>
                    </m:r>
                    <m:r>
                      <m:t>m</m:t>
                    </m:r>
                  </m:sub>
                </m:sSub>
                <m:r>
                  <m:t>)</m:t>
                </m:r>
                <m:r>
                  <m:t>×</m:t>
                </m:r>
                <m:r>
                  <m:t>(</m:t>
                </m:r>
                <m:r>
                  <m:t>1</m:t>
                </m:r>
                <m:r>
                  <m:t>−</m:t>
                </m:r>
                <m:r>
                  <m:t>ε</m:t>
                </m:r>
                <m:r>
                  <m:t>)</m:t>
                </m:r>
              </m:e>
            </m:mr>
          </m:m>
        </m:oMath>
      </m:oMathPara>
    </w:p>
    <w:p>
      <w:pPr>
        <w:pStyle w:val="FirstParagraph"/>
      </w:pPr>
      <w:r>
        <w:t xml:space="preserve">Where</w:t>
      </w:r>
      <w:r>
        <w:t xml:space="preserve"> </w:t>
      </w:r>
      <m:oMath>
        <m:r>
          <m:t>s</m:t>
        </m:r>
      </m:oMath>
      <w:r>
        <w:t xml:space="preserve"> </w:t>
      </w:r>
      <w:r>
        <w:t xml:space="preserve">is the proportion of mixed stands that are available (not</w:t>
      </w:r>
      <w:r>
        <w:t xml:space="preserve"> </w:t>
      </w:r>
      <w:r>
        <w:t xml:space="preserve">disturbed) and where thinning is applied, per time step. When</w:t>
      </w:r>
      <w:r>
        <w:t xml:space="preserve"> </w:t>
      </w:r>
      <m:oMath>
        <m:r>
          <m:t>s</m:t>
        </m:r>
        <m:r>
          <m:t>=</m:t>
        </m:r>
        <m:r>
          <m:t>1</m:t>
        </m:r>
      </m:oMath>
      <w:r>
        <w:t xml:space="preserve">,</w:t>
      </w:r>
      <w:r>
        <w:t xml:space="preserve"> </w:t>
      </w:r>
      <m:oMath>
        <m:r>
          <m:t>P</m:t>
        </m:r>
        <m:r>
          <m:t>(</m:t>
        </m:r>
        <m:r>
          <m:t>T</m:t>
        </m:r>
        <m:r>
          <m:t>|</m:t>
        </m:r>
        <m:r>
          <m:t>M</m:t>
        </m:r>
        <m:r>
          <m:t>)</m:t>
        </m:r>
        <m:r>
          <m:t>=</m:t>
        </m:r>
        <m:r>
          <m:t>1</m:t>
        </m:r>
      </m:oMath>
      <w:r>
        <w:t xml:space="preserve"> </w:t>
      </w:r>
      <w:r>
        <w:t xml:space="preserve">and</w:t>
      </w:r>
      <w:r>
        <w:t xml:space="preserve"> </w:t>
      </w:r>
      <m:oMath>
        <m:r>
          <m:t>P</m:t>
        </m:r>
        <m:r>
          <m:t>(</m:t>
        </m:r>
        <m:r>
          <m:t>B</m:t>
        </m:r>
        <m:r>
          <m:t>|</m:t>
        </m:r>
        <m:r>
          <m:t>M</m:t>
        </m:r>
        <m:r>
          <m:t>)</m:t>
        </m:r>
        <m:r>
          <m:t>=</m:t>
        </m:r>
        <m:r>
          <m:t>0</m:t>
        </m:r>
      </m:oMath>
      <w:r>
        <w:t xml:space="preserve">.</w:t>
      </w:r>
    </w:p>
    <w:bookmarkStart w:id="47" w:name="range-shift-analysis"/>
    <w:p>
      <w:pPr>
        <w:pStyle w:val="Heading2"/>
      </w:pPr>
      <w:bookmarkStart w:id="46" w:name="range-shift-analysis"/>
      <w:r>
        <w:t xml:space="preserve">Range shift analysis</w:t>
      </w:r>
      <w:bookmarkEnd w:id="46"/>
    </w:p>
    <w:bookmarkEnd w:id="47"/>
    <w:bookmarkStart w:id="49" w:name="X684fc54925dc506179e7668cae2d589eb18e042"/>
    <w:p>
      <w:pPr>
        <w:pStyle w:val="Heading3"/>
      </w:pPr>
      <w:bookmarkStart w:id="48" w:name="X684fc54925dc506179e7668cae2d589eb18e042"/>
      <w:r>
        <w:t xml:space="preserve">Analysis of the transient dynamics after warming</w:t>
      </w:r>
      <w:r>
        <w:t xml:space="preserve"> </w:t>
      </w:r>
      <w:r>
        <w:t xml:space="preserve">temperature</w:t>
      </w:r>
      <w:bookmarkEnd w:id="48"/>
    </w:p>
    <w:bookmarkEnd w:id="49"/>
    <w:p>
      <w:pPr>
        <w:pStyle w:val="FirstParagraph"/>
      </w:pPr>
      <w:r>
        <w:t xml:space="preserve">We used the spatially implicit version of the model at equilibrium with</w:t>
      </w:r>
      <w:r>
        <w:t xml:space="preserve"> </w:t>
      </w:r>
      <w:r>
        <w:t xml:space="preserve">current climate conditions to test the effect of forest management on</w:t>
      </w:r>
      <w:r>
        <w:t xml:space="preserve"> </w:t>
      </w:r>
      <w:r>
        <w:t xml:space="preserve">the short-term dynamics following warming temperature. To do so, we</w:t>
      </w:r>
      <w:r>
        <w:t xml:space="preserve"> </w:t>
      </w:r>
      <w:r>
        <w:t xml:space="preserve">applied warming temperature and focused on the dynamics of the transient</w:t>
      </w:r>
      <w:r>
        <w:t xml:space="preserve"> </w:t>
      </w:r>
      <w:r>
        <w:t xml:space="preserve">period of the four forest states until they reach the new steady state.</w:t>
      </w:r>
      <w:r>
        <w:t xml:space="preserve"> </w:t>
      </w:r>
      <w:r>
        <w:t xml:space="preserve">Steady state was considered as being reached when the difference between</w:t>
      </w:r>
      <w:r>
        <w:t xml:space="preserve"> </w:t>
      </w:r>
      <w:r>
        <w:t xml:space="preserve">the current and previous state was inferior to</w:t>
      </w:r>
      <w:r>
        <w:t xml:space="preserve"> </w:t>
      </w:r>
      <m:oMath>
        <m:sSup>
          <m:e>
            <m:r>
              <m:t>10</m:t>
            </m:r>
          </m:e>
          <m:sup>
            <m:r>
              <m:t>−</m:t>
            </m:r>
            <m:r>
              <m:t>7</m:t>
            </m:r>
          </m:sup>
        </m:sSup>
      </m:oMath>
      <w:r>
        <w:t xml:space="preserve"> </w:t>
      </w:r>
      <w:r>
        <w:t xml:space="preserve">for 10 steps.</w:t>
      </w:r>
      <w:r>
        <w:t xml:space="preserve"> </w:t>
      </w:r>
      <w:r>
        <w:t xml:space="preserve">We computed five metrics characterizing the transient dynamics over a</w:t>
      </w:r>
      <w:r>
        <w:t xml:space="preserve"> </w:t>
      </w:r>
      <w:r>
        <w:t xml:space="preserve">latitudinal gradient of annual mean temperature ranging from -2.61 to</w:t>
      </w:r>
      <w:r>
        <w:t xml:space="preserve"> </w:t>
      </w:r>
      <w:r>
        <w:t xml:space="preserve">5.07</w:t>
      </w:r>
      <m:oMath>
        <m:sSup>
          <m:e>
            <m:r>
              <m:t>​</m:t>
            </m:r>
          </m:e>
          <m:sup>
            <m:r>
              <m:t>∘</m:t>
            </m:r>
          </m:sup>
        </m:sSup>
      </m:oMath>
      <w:r>
        <w:t xml:space="preserve">C, representing the ecotone gradient from boreal</w:t>
      </w:r>
      <w:r>
        <w:t xml:space="preserve"> </w:t>
      </w:r>
      <w:r>
        <w:t xml:space="preserve">dominant species to a temperate dominant composition. This gradient of</w:t>
      </w:r>
      <w:r>
        <w:t xml:space="preserve"> </w:t>
      </w:r>
      <w:r>
        <w:t xml:space="preserve">temperature can be expressed as a straight line going from Montreal to</w:t>
      </w:r>
      <w:r>
        <w:t xml:space="preserve"> </w:t>
      </w:r>
      <w:r>
        <w:t xml:space="preserve">Chibougamau, in Quebec, Canada. While temperature varied, annual mean</w:t>
      </w:r>
      <w:r>
        <w:t xml:space="preserve"> </w:t>
      </w:r>
      <w:r>
        <w:t xml:space="preserve">precipitation was fixed to mean value extracted from the database (998.7</w:t>
      </w:r>
      <w:r>
        <w:t xml:space="preserve"> </w:t>
      </w:r>
      <w:r>
        <w:t xml:space="preserve">mm), as precipitation has relatively small effects on the model compared</w:t>
      </w:r>
      <w:r>
        <w:t xml:space="preserve"> </w:t>
      </w:r>
      <w:r>
        <w:t xml:space="preserve">to temperature (Vissault et al.</w:t>
      </w:r>
      <w:r>
        <w:t xml:space="preserve"> </w:t>
      </w:r>
      <w:hyperlink w:anchor="ref-Vissault2020">
        <w:r>
          <w:rPr>
            <w:rStyle w:val="Hyperlink"/>
          </w:rPr>
          <w:t xml:space="preserve">2020</w:t>
        </w:r>
      </w:hyperlink>
      <w:r>
        <w:t xml:space="preserve">). For each initial</w:t>
      </w:r>
      <w:r>
        <w:t xml:space="preserve"> </w:t>
      </w:r>
      <w:r>
        <w:t xml:space="preserve">temperature condition (</w:t>
      </w:r>
      <w:r>
        <w:rPr>
          <w:i/>
        </w:rPr>
        <w:t xml:space="preserve">i.e.</w:t>
      </w:r>
      <w:r>
        <w:t xml:space="preserve"> </w:t>
      </w:r>
      <w:r>
        <w:t xml:space="preserve">latitude position), temperature</w:t>
      </w:r>
      <w:r>
        <w:t xml:space="preserve"> </w:t>
      </w:r>
      <w:r>
        <w:t xml:space="preserve">increased of 0.09</w:t>
      </w:r>
      <w:r>
        <w:t xml:space="preserve"> </w:t>
      </w:r>
      <m:oMath>
        <m:sSup>
          <m:e>
            <m:r>
              <m:t>​</m:t>
            </m:r>
          </m:e>
          <m:sup>
            <m:r>
              <m:t>∘</m:t>
            </m:r>
          </m:sup>
        </m:sSup>
      </m:oMath>
      <w:r>
        <w:t xml:space="preserve">C at each time step for the first 20 steps</w:t>
      </w:r>
      <w:r>
        <w:t xml:space="preserve"> </w:t>
      </w:r>
      <w:r>
        <w:t xml:space="preserve">(100 years; RCP4.5) and then remained constant until the model reached</w:t>
      </w:r>
      <w:r>
        <w:t xml:space="preserve"> </w:t>
      </w:r>
      <w:r>
        <w:t xml:space="preserve">the steady state. As we use a linear increase of temperature to</w:t>
      </w:r>
      <w:r>
        <w:t xml:space="preserve"> </w:t>
      </w:r>
      <w:r>
        <w:t xml:space="preserve">represent the boreal-temperate ecotone (ranging from -2.61 to</w:t>
      </w:r>
      <w:r>
        <w:t xml:space="preserve"> </w:t>
      </w:r>
      <w:r>
        <w:t xml:space="preserve">5.07</w:t>
      </w:r>
      <m:oMath>
        <m:sSup>
          <m:e>
            <m:r>
              <m:t>​</m:t>
            </m:r>
          </m:e>
          <m:sup>
            <m:r>
              <m:t>∘</m:t>
            </m:r>
          </m:sup>
        </m:sSup>
      </m:oMath>
      <w:r>
        <w:t xml:space="preserve">C) instead of a real landscape, the RCP scenarios are</w:t>
      </w:r>
      <w:r>
        <w:t xml:space="preserve"> </w:t>
      </w:r>
      <w:r>
        <w:t xml:space="preserve">based in the mean global projections (IPCC</w:t>
      </w:r>
      <w:r>
        <w:t xml:space="preserve"> </w:t>
      </w:r>
      <w:hyperlink w:anchor="ref-IPCC2013">
        <w:r>
          <w:rPr>
            <w:rStyle w:val="Hyperlink"/>
          </w:rPr>
          <w:t xml:space="preserve">2013</w:t>
        </w:r>
      </w:hyperlink>
      <w:r>
        <w:t xml:space="preserve">). We further tested the RCP8.5</w:t>
      </w:r>
      <w:r>
        <w:t xml:space="preserve"> </w:t>
      </w:r>
      <w:r>
        <w:t xml:space="preserve">scenario, however, the response to forest management was roughly similar</w:t>
      </w:r>
      <w:r>
        <w:t xml:space="preserve"> </w:t>
      </w:r>
      <w:r>
        <w:t xml:space="preserve">to RCP4.5, and the only change was the latitudinal position that shifted</w:t>
      </w:r>
      <w:r>
        <w:t xml:space="preserve"> </w:t>
      </w:r>
      <w:r>
        <w:t xml:space="preserve">farther north due to a stronger effect of warming temperature.</w:t>
      </w:r>
    </w:p>
    <w:p>
      <w:pPr>
        <w:pStyle w:val="BodyText"/>
      </w:pPr>
      <w:r>
        <w:t xml:space="preserve">The five metrics characterizing the transient phase (Boulangeat et al.</w:t>
      </w:r>
      <w:r>
        <w:t xml:space="preserve"> </w:t>
      </w:r>
      <w:hyperlink w:anchor="ref-Boulangeat2018">
        <w:r>
          <w:rPr>
            <w:rStyle w:val="Hyperlink"/>
          </w:rPr>
          <w:t xml:space="preserve">2018</w:t>
        </w:r>
      </w:hyperlink>
      <w:r>
        <w:t xml:space="preserve">) after warming temperature</w:t>
      </w:r>
      <w:r>
        <w:t xml:space="preserve"> </w:t>
      </w:r>
      <w:r>
        <w:t xml:space="preserve">for each latitude position allowed us to fully describe the transient</w:t>
      </w:r>
      <w:r>
        <w:t xml:space="preserve"> </w:t>
      </w:r>
      <w:r>
        <w:t xml:space="preserve">phase and the effect of forest management during this phase. The first</w:t>
      </w:r>
      <w:r>
        <w:t xml:space="preserve"> </w:t>
      </w:r>
      <w:r>
        <w:t xml:space="preserve">two metrics are the asymptotic and initial resilience as measures of</w:t>
      </w:r>
      <w:r>
        <w:t xml:space="preserve"> </w:t>
      </w:r>
      <w:r>
        <w:t xml:space="preserve">local stability derived from the Jacobian Matrix</w:t>
      </w:r>
      <w:r>
        <w:t xml:space="preserve"> </w:t>
      </w:r>
      <m:oMath>
        <m:r>
          <m:t>J</m:t>
        </m:r>
      </m:oMath>
      <w:r>
        <w:t xml:space="preserve"> </w:t>
      </w:r>
      <w:r>
        <w:t xml:space="preserve">at the new</w:t>
      </w:r>
      <w:r>
        <w:t xml:space="preserve"> </w:t>
      </w:r>
      <w:r>
        <w:t xml:space="preserve">equilibrium (Arnoldi, Loreau, and Haegeman</w:t>
      </w:r>
      <w:r>
        <w:t xml:space="preserve"> </w:t>
      </w:r>
      <w:hyperlink w:anchor="ref-Arnoldi2016">
        <w:r>
          <w:rPr>
            <w:rStyle w:val="Hyperlink"/>
          </w:rPr>
          <w:t xml:space="preserve">2016</w:t>
        </w:r>
      </w:hyperlink>
      <w:r>
        <w:t xml:space="preserve">).</w:t>
      </w:r>
      <w:r>
        <w:t xml:space="preserve"> </w:t>
      </w:r>
      <m:oMath>
        <m:r>
          <m:t>J</m:t>
        </m:r>
      </m:oMath>
      <w:r>
        <w:t xml:space="preserve"> </w:t>
      </w:r>
      <w:r>
        <w:t xml:space="preserve">was numerically</w:t>
      </w:r>
      <w:r>
        <w:t xml:space="preserve"> </w:t>
      </w:r>
      <w:r>
        <w:t xml:space="preserve">calculated using the R package rootSolve (Soetaert and Herman</w:t>
      </w:r>
      <w:r>
        <w:t xml:space="preserve"> </w:t>
      </w:r>
      <w:hyperlink w:anchor="ref-Soetaert2009">
        <w:r>
          <w:rPr>
            <w:rStyle w:val="Hyperlink"/>
          </w:rPr>
          <w:t xml:space="preserve">2009</w:t>
        </w:r>
      </w:hyperlink>
      <w:r>
        <w:t xml:space="preserve">; Soetaert</w:t>
      </w:r>
      <w:r>
        <w:t xml:space="preserve"> </w:t>
      </w:r>
      <w:hyperlink w:anchor="ref-Soetaert2009a">
        <w:r>
          <w:rPr>
            <w:rStyle w:val="Hyperlink"/>
          </w:rPr>
          <w:t xml:space="preserve">2009</w:t>
        </w:r>
      </w:hyperlink>
      <w:r>
        <w:t xml:space="preserve">). The asymptotic resilience</w:t>
      </w:r>
      <w:r>
        <w:t xml:space="preserve"> </w:t>
      </w:r>
      <w:r>
        <w:t xml:space="preserve">(</w:t>
      </w:r>
      <m:oMath>
        <m:sSub>
          <m:e>
            <m:r>
              <m:t>R</m:t>
            </m:r>
          </m:e>
          <m:sub>
            <m:r>
              <m:t>∞</m:t>
            </m:r>
          </m:sub>
        </m:sSub>
      </m:oMath>
      <w:r>
        <w:t xml:space="preserve">) is the leading eigen value of</w:t>
      </w:r>
      <w:r>
        <w:t xml:space="preserve"> </w:t>
      </w:r>
      <m:oMath>
        <m:r>
          <m:t>J</m:t>
        </m:r>
      </m:oMath>
      <w:r>
        <w:t xml:space="preserve">, and quantifies the</w:t>
      </w:r>
      <w:r>
        <w:t xml:space="preserve"> </w:t>
      </w:r>
      <w:r>
        <w:t xml:space="preserve">asymptotic rate of return to equilibrium after small perturbation. The</w:t>
      </w:r>
      <w:r>
        <w:t xml:space="preserve"> </w:t>
      </w:r>
      <w:r>
        <w:t xml:space="preserve">more negative</w:t>
      </w:r>
      <w:r>
        <w:t xml:space="preserve"> </w:t>
      </w:r>
      <m:oMath>
        <m:sSub>
          <m:e>
            <m:r>
              <m:t>R</m:t>
            </m:r>
          </m:e>
          <m:sub>
            <m:r>
              <m:t>∞</m:t>
            </m:r>
          </m:sub>
        </m:sSub>
      </m:oMath>
      <w:r>
        <w:t xml:space="preserve">, the greater asymptotic resilience. Initial</w:t>
      </w:r>
      <w:r>
        <w:t xml:space="preserve"> </w:t>
      </w:r>
      <w:r>
        <w:t xml:space="preserve">resilience (</w:t>
      </w:r>
      <m:oMath>
        <m:r>
          <m:t>−</m:t>
        </m:r>
        <m:sSub>
          <m:e>
            <m:r>
              <m:t>R</m:t>
            </m:r>
          </m:e>
          <m:sub>
            <m:r>
              <m:t>0</m:t>
            </m:r>
          </m:sub>
        </m:sSub>
      </m:oMath>
      <w:r>
        <w:t xml:space="preserve">) is the leading eigen value of the following</w:t>
      </w:r>
      <w:r>
        <w:t xml:space="preserve"> </w:t>
      </w:r>
      <w:r>
        <w:t xml:space="preserve">matrix:</w:t>
      </w:r>
    </w:p>
    <w:p>
      <w:pPr>
        <w:pStyle w:val="BodyText"/>
      </w:pPr>
      <m:oMathPara>
        <m:oMathParaPr>
          <m:jc m:val="center"/>
        </m:oMathParaPr>
        <m:oMath>
          <m:r>
            <m:t>M</m:t>
          </m:r>
          <m:r>
            <m:t>=</m:t>
          </m:r>
          <m:f>
            <m:fPr>
              <m:type m:val="bar"/>
            </m:fPr>
            <m:num>
              <m:r>
                <m:t>−</m:t>
              </m:r>
              <m:r>
                <m:t>J</m:t>
              </m:r>
              <m:r>
                <m:t>+</m:t>
              </m:r>
              <m:sSup>
                <m:e>
                  <m:r>
                    <m:t>J</m:t>
                  </m:r>
                </m:e>
                <m:sup>
                  <m:r>
                    <m:t>T</m:t>
                  </m:r>
                </m:sup>
              </m:sSup>
            </m:num>
            <m:den>
              <m:r>
                <m:t>2</m:t>
              </m:r>
            </m:den>
          </m:f>
        </m:oMath>
      </m:oMathPara>
    </w:p>
    <w:p>
      <w:pPr>
        <w:pStyle w:val="FirstParagraph"/>
      </w:pPr>
      <w:r>
        <w:t xml:space="preserve">Positive values of</w:t>
      </w:r>
      <w:r>
        <w:t xml:space="preserve"> </w:t>
      </w:r>
      <m:oMath>
        <m:r>
          <m:t>−</m:t>
        </m:r>
        <m:sSub>
          <m:e>
            <m:r>
              <m:t>R</m:t>
            </m:r>
          </m:e>
          <m:sub>
            <m:r>
              <m:t>0</m:t>
            </m:r>
          </m:sub>
        </m:sSub>
      </m:oMath>
      <w:r>
        <w:t xml:space="preserve"> </w:t>
      </w:r>
      <w:r>
        <w:t xml:space="preserve">indicate a smooth transition to the new</w:t>
      </w:r>
      <w:r>
        <w:t xml:space="preserve"> </w:t>
      </w:r>
      <w:r>
        <w:t xml:space="preserve">equilibrium whereas negative values indicate reactivity,</w:t>
      </w:r>
      <w:r>
        <w:t xml:space="preserve"> </w:t>
      </w:r>
      <w:r>
        <w:rPr>
          <w:i/>
        </w:rPr>
        <w:t xml:space="preserve">i.e.</w:t>
      </w:r>
      <w:r>
        <w:t xml:space="preserve"> </w:t>
      </w:r>
      <w:r>
        <w:t xml:space="preserve">an</w:t>
      </w:r>
      <w:r>
        <w:t xml:space="preserve"> </w:t>
      </w:r>
      <w:r>
        <w:t xml:space="preserve">initial amplification against final equilibrium. The third metric is the</w:t>
      </w:r>
      <w:r>
        <w:t xml:space="preserve"> </w:t>
      </w:r>
      <w:r>
        <w:t xml:space="preserve">exposure of the ecosystem states (</w:t>
      </w:r>
      <m:oMath>
        <m:sSub>
          <m:e>
            <m:r>
              <m:t>Δ</m:t>
            </m:r>
          </m:e>
          <m:sub>
            <m:r>
              <m:t>s</m:t>
            </m:r>
            <m:r>
              <m:t>t</m:t>
            </m:r>
            <m:r>
              <m:t>a</m:t>
            </m:r>
            <m:r>
              <m:t>t</m:t>
            </m:r>
            <m:r>
              <m:t>e</m:t>
            </m:r>
          </m:sub>
        </m:sSub>
      </m:oMath>
      <w:r>
        <w:t xml:space="preserve">), defined by the</w:t>
      </w:r>
      <w:r>
        <w:t xml:space="preserve"> </w:t>
      </w:r>
      <w:r>
        <w:t xml:space="preserve">difference in state proportion between pre- and post-temperature warming</w:t>
      </w:r>
      <w:r>
        <w:t xml:space="preserve"> </w:t>
      </w:r>
      <w:r>
        <w:t xml:space="preserve">(Dawson et al.</w:t>
      </w:r>
      <w:r>
        <w:t xml:space="preserve"> </w:t>
      </w:r>
      <w:hyperlink w:anchor="ref-Dawson2011">
        <w:r>
          <w:rPr>
            <w:rStyle w:val="Hyperlink"/>
          </w:rPr>
          <w:t xml:space="preserve">2011</w:t>
        </w:r>
      </w:hyperlink>
      <w:r>
        <w:t xml:space="preserve">). The fourth</w:t>
      </w:r>
      <w:r>
        <w:t xml:space="preserve"> </w:t>
      </w:r>
      <w:r>
        <w:t xml:space="preserve">metric is the return time (</w:t>
      </w:r>
      <m:oMath>
        <m:sSub>
          <m:e>
            <m:r>
              <m:t>Δ</m:t>
            </m:r>
          </m:e>
          <m:sub>
            <m:r>
              <m:t>t</m:t>
            </m:r>
            <m:r>
              <m:t>i</m:t>
            </m:r>
            <m:r>
              <m:t>m</m:t>
            </m:r>
            <m:r>
              <m:t>e</m:t>
            </m:r>
          </m:sub>
        </m:sSub>
      </m:oMath>
      <w:r>
        <w:t xml:space="preserve">) or ecosystem sensitivity,</w:t>
      </w:r>
      <w:r>
        <w:t xml:space="preserve"> </w:t>
      </w:r>
      <w:r>
        <w:t xml:space="preserve">which is estimated by the number of steps of the transitory phase, where</w:t>
      </w:r>
      <w:r>
        <w:t xml:space="preserve"> </w:t>
      </w:r>
      <w:r>
        <w:t xml:space="preserve">each time step of the model is equal to 5 years. The last metric is the</w:t>
      </w:r>
      <w:r>
        <w:t xml:space="preserve"> </w:t>
      </w:r>
      <w:r>
        <w:t xml:space="preserve">cumulative amount of changes in the transitory phase, or ecosystem</w:t>
      </w:r>
      <w:r>
        <w:t xml:space="preserve"> </w:t>
      </w:r>
      <w:r>
        <w:t xml:space="preserve">vulnerability (Boulangeat et al.</w:t>
      </w:r>
      <w:r>
        <w:t xml:space="preserve"> </w:t>
      </w:r>
      <w:hyperlink w:anchor="ref-Boulangeat2018">
        <w:r>
          <w:rPr>
            <w:rStyle w:val="Hyperlink"/>
          </w:rPr>
          <w:t xml:space="preserve">2018</w:t>
        </w:r>
      </w:hyperlink>
      <w:r>
        <w:t xml:space="preserve">). It is defined as the sum</w:t>
      </w:r>
      <w:r>
        <w:t xml:space="preserve"> </w:t>
      </w:r>
      <w:r>
        <w:t xml:space="preserve">of all changes in the states after warming temperature and is obtained</w:t>
      </w:r>
      <w:r>
        <w:t xml:space="preserve"> </w:t>
      </w:r>
      <w:r>
        <w:t xml:space="preserve">by the integral of the states change over time (</w:t>
      </w:r>
      <m:oMath>
        <m:r>
          <m:t>∫</m:t>
        </m:r>
        <m:r>
          <m:t>S</m:t>
        </m:r>
        <m:r>
          <m:t>(</m:t>
        </m:r>
        <m:r>
          <m:t>t</m:t>
        </m:r>
        <m:r>
          <m:t>)</m:t>
        </m:r>
        <m:r>
          <m:t>d</m:t>
        </m:r>
        <m:r>
          <m:t>t</m:t>
        </m:r>
      </m:oMath>
      <w:r>
        <w:t xml:space="preserve">). These</w:t>
      </w:r>
      <w:r>
        <w:t xml:space="preserve"> </w:t>
      </w:r>
      <w:r>
        <w:t xml:space="preserve">five metrics together can summarize the multidimensionality of the</w:t>
      </w:r>
      <w:r>
        <w:t xml:space="preserve"> </w:t>
      </w:r>
      <w:r>
        <w:t xml:space="preserve">response of a system to external disturbances.</w:t>
      </w:r>
    </w:p>
    <w:p>
      <w:pPr>
        <w:pStyle w:val="BodyText"/>
      </w:pPr>
      <w:r>
        <w:t xml:space="preserve">We used five distinct simulation scenarios: natural dynamics without</w:t>
      </w:r>
      <w:r>
        <w:t xml:space="preserve"> </w:t>
      </w:r>
      <w:r>
        <w:t xml:space="preserve">forest management, 0.25% of plantation, 0.25% of enrichment planting,</w:t>
      </w:r>
      <w:r>
        <w:t xml:space="preserve"> </w:t>
      </w:r>
      <w:r>
        <w:t xml:space="preserve">1% of harvest and 0.25% of thinning, in an annual rate. The above</w:t>
      </w:r>
      <w:r>
        <w:t xml:space="preserve"> </w:t>
      </w:r>
      <w:r>
        <w:t xml:space="preserve">values were chosen to maintain a certain degree of reality. In the</w:t>
      </w:r>
      <w:r>
        <w:t xml:space="preserve"> </w:t>
      </w:r>
      <w:r>
        <w:t xml:space="preserve">Canadian province of Quebec, about 1% of the forest territory is</w:t>
      </w:r>
      <w:r>
        <w:t xml:space="preserve"> </w:t>
      </w:r>
      <w:r>
        <w:t xml:space="preserve">harvested annually. Of this 1% harvested, only 20 to 25% is followed</w:t>
      </w:r>
      <w:r>
        <w:t xml:space="preserve"> </w:t>
      </w:r>
      <w:r>
        <w:t xml:space="preserve">by planting. To our knowledge, enrichment planting and thinning of a</w:t>
      </w:r>
      <w:r>
        <w:t xml:space="preserve"> </w:t>
      </w:r>
      <w:r>
        <w:t xml:space="preserve">specific species are rarely used in Quebec and should not overpass the</w:t>
      </w:r>
      <w:r>
        <w:t xml:space="preserve"> </w:t>
      </w:r>
      <w:r>
        <w:t xml:space="preserve">other practices, hence we choose to analyse the same amount as the</w:t>
      </w:r>
      <w:r>
        <w:t xml:space="preserve"> </w:t>
      </w:r>
      <w:r>
        <w:t xml:space="preserve">plantation. To further quantify the effect of increasing the intensity</w:t>
      </w:r>
      <w:r>
        <w:t xml:space="preserve"> </w:t>
      </w:r>
      <w:r>
        <w:t xml:space="preserve">of forest management from 0 to 100% for each practice, we choose two</w:t>
      </w:r>
      <w:r>
        <w:t xml:space="preserve"> </w:t>
      </w:r>
      <w:r>
        <w:t xml:space="preserve">locations from the gradient of temperature in which forest management</w:t>
      </w:r>
      <w:r>
        <w:t xml:space="preserve"> </w:t>
      </w:r>
      <w:r>
        <w:t xml:space="preserve">had the most effect on the metrics of transient dynamics: -1 and</w:t>
      </w:r>
      <w:r>
        <w:t xml:space="preserve"> </w:t>
      </w:r>
      <w:r>
        <w:t xml:space="preserve">0</w:t>
      </w:r>
      <m:oMath>
        <m:sSup>
          <m:e>
            <m:r>
              <m:t>​</m:t>
            </m:r>
          </m:e>
          <m:sup>
            <m:r>
              <m:t>∘</m:t>
            </m:r>
          </m:sup>
        </m:sSup>
      </m:oMath>
      <w:r>
        <w:t xml:space="preserve">C of annual mean temperature which represents the leading</w:t>
      </w:r>
      <w:r>
        <w:t xml:space="preserve"> </w:t>
      </w:r>
      <w:r>
        <w:t xml:space="preserve">and trailing edge of the ecotone. To overcome the multidimensionality of</w:t>
      </w:r>
      <w:r>
        <w:t xml:space="preserve"> </w:t>
      </w:r>
      <w:r>
        <w:t xml:space="preserve">the simulations, we developed an online application to quantify the five</w:t>
      </w:r>
      <w:r>
        <w:t xml:space="preserve"> </w:t>
      </w:r>
      <w:r>
        <w:t xml:space="preserve">metrics of the transient dynamics for any location of the temperature</w:t>
      </w:r>
      <w:r>
        <w:t xml:space="preserve"> </w:t>
      </w:r>
      <w:r>
        <w:t xml:space="preserve">gradient, using any intensity of forest management, with three scenarios</w:t>
      </w:r>
      <w:r>
        <w:t xml:space="preserve"> </w:t>
      </w:r>
      <w:r>
        <w:t xml:space="preserve">of warming temperature: https://ielab-s.dbio.usherbrooke.ca/STM-managed.</w:t>
      </w:r>
    </w:p>
    <w:bookmarkStart w:id="51" w:name="Xfedbe246a78c01cc6dc333cfcdf820d8bbde15f"/>
    <w:p>
      <w:pPr>
        <w:pStyle w:val="Heading3"/>
      </w:pPr>
      <w:bookmarkStart w:id="50" w:name="Xfedbe246a78c01cc6dc333cfcdf820d8bbde15f"/>
      <w:r>
        <w:t xml:space="preserve">Analysis of the northward range shift after warming</w:t>
      </w:r>
      <w:r>
        <w:t xml:space="preserve"> </w:t>
      </w:r>
      <w:r>
        <w:t xml:space="preserve">temperature</w:t>
      </w:r>
      <w:bookmarkEnd w:id="50"/>
    </w:p>
    <w:bookmarkEnd w:id="51"/>
    <w:p>
      <w:pPr>
        <w:pStyle w:val="FirstParagraph"/>
      </w:pPr>
      <w:r>
        <w:t xml:space="preserve">We used a spatially explicit version of the model with an artificial</w:t>
      </w:r>
      <w:r>
        <w:t xml:space="preserve"> </w:t>
      </w:r>
      <w:r>
        <w:t xml:space="preserve">landscape (lattice) representing a latitudinal gradient between</w:t>
      </w:r>
      <w:r>
        <w:t xml:space="preserve"> </w:t>
      </w:r>
      <w:r>
        <w:t xml:space="preserve">temperate and boreal biomes, allowing us to account for explicit</w:t>
      </w:r>
      <w:r>
        <w:t xml:space="preserve"> </w:t>
      </w:r>
      <w:r>
        <w:t xml:space="preserve">dispersal limitations and stochastic dynamics, to test the capacity of</w:t>
      </w:r>
      <w:r>
        <w:t xml:space="preserve"> </w:t>
      </w:r>
      <w:r>
        <w:t xml:space="preserve">forest management to accelerate northward range shift of the</w:t>
      </w:r>
      <w:r>
        <w:t xml:space="preserve"> </w:t>
      </w:r>
      <w:r>
        <w:t xml:space="preserve">boreal-temperate ecotone. The latitudinal gradient of the landscape grid</w:t>
      </w:r>
      <w:r>
        <w:t xml:space="preserve"> </w:t>
      </w:r>
      <w:r>
        <w:t xml:space="preserve">is defined using the same annual mean temperature range of the spatially</w:t>
      </w:r>
      <w:r>
        <w:t xml:space="preserve"> </w:t>
      </w:r>
      <w:r>
        <w:t xml:space="preserve">implicit model (-2.61 to 5.07</w:t>
      </w:r>
      <m:oMath>
        <m:sSup>
          <m:e>
            <m:r>
              <m:t>​</m:t>
            </m:r>
          </m:e>
          <m:sup>
            <m:r>
              <m:t>∘</m:t>
            </m:r>
          </m:sup>
        </m:sSup>
      </m:oMath>
      <w:r>
        <w:t xml:space="preserve">C), with cells of 300 m</w:t>
      </w:r>
      <m:oMath>
        <m:sSup>
          <m:e>
            <m:r>
              <m:t>​</m:t>
            </m:r>
          </m:e>
          <m:sup>
            <m:r>
              <m:t>2</m:t>
            </m:r>
          </m:sup>
        </m:sSup>
      </m:oMath>
      <w:r>
        <w:t xml:space="preserve">,</w:t>
      </w:r>
      <w:r>
        <w:t xml:space="preserve"> </w:t>
      </w:r>
      <w:r>
        <w:t xml:space="preserve">to capture the whole ecotone from boreal to temperate dominant species,</w:t>
      </w:r>
      <w:r>
        <w:t xml:space="preserve"> </w:t>
      </w:r>
      <w:r>
        <w:t xml:space="preserve">with constant annual mean precipitation of 998.7 mm. Sensitivity</w:t>
      </w:r>
      <w:r>
        <w:t xml:space="preserve"> </w:t>
      </w:r>
      <w:r>
        <w:t xml:space="preserve">analysis showed that range shift after warming temperature increased</w:t>
      </w:r>
      <w:r>
        <w:t xml:space="preserve"> </w:t>
      </w:r>
      <w:r>
        <w:t xml:space="preserve">with larger grid cells (from 0.1 to 5 km</w:t>
      </w:r>
      <m:oMath>
        <m:sSup>
          <m:e>
            <m:r>
              <m:t>​</m:t>
            </m:r>
          </m:e>
          <m:sup>
            <m:r>
              <m:t>2</m:t>
            </m:r>
          </m:sup>
        </m:sSup>
      </m:oMath>
      <w:r>
        <w:t xml:space="preserve">), but the influence was</w:t>
      </w:r>
      <w:r>
        <w:t xml:space="preserve"> </w:t>
      </w:r>
      <w:r>
        <w:t xml:space="preserve">stronger in cells larger than 1 km</w:t>
      </w:r>
      <m:oMath>
        <m:sSup>
          <m:e>
            <m:r>
              <m:t>​</m:t>
            </m:r>
          </m:e>
          <m:sup>
            <m:r>
              <m:t>2</m:t>
            </m:r>
          </m:sup>
        </m:sSup>
      </m:oMath>
      <w:r>
        <w:t xml:space="preserve">. Although the smaller the cell</w:t>
      </w:r>
      <w:r>
        <w:t xml:space="preserve"> </w:t>
      </w:r>
      <w:r>
        <w:t xml:space="preserve">the better we model dispersion, smaller cells are computationally</w:t>
      </w:r>
      <w:r>
        <w:t xml:space="preserve"> </w:t>
      </w:r>
      <w:r>
        <w:t xml:space="preserve">expensive; therefore the size of 300 m</w:t>
      </w:r>
      <m:oMath>
        <m:sSup>
          <m:e>
            <m:r>
              <m:t>​</m:t>
            </m:r>
          </m:e>
          <m:sup>
            <m:r>
              <m:t>2</m:t>
            </m:r>
          </m:sup>
        </m:sSup>
      </m:oMath>
      <w:r>
        <w:t xml:space="preserve"> </w:t>
      </w:r>
      <w:r>
        <w:t xml:space="preserve">had a better compromise</w:t>
      </w:r>
      <w:r>
        <w:t xml:space="preserve"> </w:t>
      </w:r>
      <w:r>
        <w:t xml:space="preserve">between these two factors. Further, while the cell size affects the</w:t>
      </w:r>
      <w:r>
        <w:t xml:space="preserve"> </w:t>
      </w:r>
      <w:r>
        <w:t xml:space="preserve">absolute value of range shift, it does not affect the relative effect of</w:t>
      </w:r>
      <w:r>
        <w:t xml:space="preserve"> </w:t>
      </w:r>
      <w:r>
        <w:t xml:space="preserve">the different forest management strategies. The prevalence of each state</w:t>
      </w:r>
      <w:r>
        <w:t xml:space="preserve"> </w:t>
      </w:r>
      <w:r>
        <w:t xml:space="preserve">at time</w:t>
      </w:r>
      <w:r>
        <w:t xml:space="preserve"> </w:t>
      </w:r>
      <m:oMath>
        <m:r>
          <m:t>t</m:t>
        </m:r>
        <m:r>
          <m:t>+</m:t>
        </m:r>
        <m:r>
          <m:t>1</m:t>
        </m:r>
      </m:oMath>
      <w:r>
        <w:t xml:space="preserve"> </w:t>
      </w:r>
      <w:r>
        <w:t xml:space="preserve">was calculated considering the stand composition of</w:t>
      </w:r>
      <w:r>
        <w:t xml:space="preserve"> </w:t>
      </w:r>
      <w:r>
        <w:t xml:space="preserve">the eight neighbors’ cells and the temperature and precipitation</w:t>
      </w:r>
      <w:r>
        <w:t xml:space="preserve"> </w:t>
      </w:r>
      <w:r>
        <w:t xml:space="preserve">condition of the cell at time</w:t>
      </w:r>
      <w:r>
        <w:t xml:space="preserve"> </w:t>
      </w:r>
      <m:oMath>
        <m:r>
          <m:t>t</m:t>
        </m:r>
      </m:oMath>
      <w:r>
        <w:t xml:space="preserve">. The state of the current cell at</w:t>
      </w:r>
      <w:r>
        <w:t xml:space="preserve"> </w:t>
      </w:r>
      <w:r>
        <w:t xml:space="preserve">time</w:t>
      </w:r>
      <w:r>
        <w:t xml:space="preserve"> </w:t>
      </w:r>
      <m:oMath>
        <m:r>
          <m:t>t</m:t>
        </m:r>
        <m:r>
          <m:t>+</m:t>
        </m:r>
        <m:r>
          <m:t>1</m:t>
        </m:r>
      </m:oMath>
      <w:r>
        <w:t xml:space="preserve"> </w:t>
      </w:r>
      <w:r>
        <w:t xml:space="preserve">was then drawn from the matrix of transition</w:t>
      </w:r>
      <w:r>
        <w:t xml:space="preserve"> </w:t>
      </w:r>
      <w:r>
        <w:t xml:space="preserve">probabilities. The effect of warming temperature in the landscape</w:t>
      </w:r>
      <w:r>
        <w:t xml:space="preserve"> </w:t>
      </w:r>
      <w:r>
        <w:t xml:space="preserve">dynamics is included by increasing temperature of 0.09</w:t>
      </w:r>
      <w:r>
        <w:t xml:space="preserve"> </w:t>
      </w:r>
      <m:oMath>
        <m:sSup>
          <m:e>
            <m:r>
              <m:t>​</m:t>
            </m:r>
          </m:e>
          <m:sup>
            <m:r>
              <m:t>∘</m:t>
            </m:r>
          </m:sup>
        </m:sSup>
      </m:oMath>
      <w:r>
        <w:t xml:space="preserve">C for</w:t>
      </w:r>
      <w:r>
        <w:t xml:space="preserve"> </w:t>
      </w:r>
      <w:r>
        <w:t xml:space="preserve">each cell at each time step for the first 20 steps (100 years; RCP4.5).</w:t>
      </w:r>
      <w:r>
        <w:t xml:space="preserve"> </w:t>
      </w:r>
      <w:r>
        <w:t xml:space="preserve">Similar to the same approach, we further performed simulations using the</w:t>
      </w:r>
      <w:r>
        <w:t xml:space="preserve"> </w:t>
      </w:r>
      <w:r>
        <w:t xml:space="preserve">RCP8.5 scenario, and the results are shown in the Figure S5. The</w:t>
      </w:r>
      <w:r>
        <w:t xml:space="preserve"> </w:t>
      </w:r>
      <w:r>
        <w:t xml:space="preserve">spatially explicit version of the model was bind into an R package</w:t>
      </w:r>
      <w:r>
        <w:t xml:space="preserve"> </w:t>
      </w:r>
      <w:r>
        <w:t xml:space="preserve">stored on GitHub (Vieira</w:t>
      </w:r>
      <w:r>
        <w:t xml:space="preserve"> </w:t>
      </w:r>
      <w:hyperlink w:anchor="ref-STManaged2020">
        <w:r>
          <w:rPr>
            <w:rStyle w:val="Hyperlink"/>
          </w:rPr>
          <w:t xml:space="preserve">2020</w:t>
        </w:r>
      </w:hyperlink>
      <w:r>
        <w:t xml:space="preserve">).</w:t>
      </w:r>
      <w:r>
        <w:t xml:space="preserve"> </w:t>
      </w:r>
      <w:r>
        <w:t xml:space="preserve">We used the released version v2.0 to run the simulations for this</w:t>
      </w:r>
      <w:r>
        <w:t xml:space="preserve"> </w:t>
      </w:r>
      <w:r>
        <w:t xml:space="preserve">article.</w:t>
      </w:r>
    </w:p>
    <w:p>
      <w:pPr>
        <w:pStyle w:val="BodyText"/>
      </w:pPr>
      <w:r>
        <w:t xml:space="preserve">We ran three simulations to compare the relative importance of warming</w:t>
      </w:r>
      <w:r>
        <w:t xml:space="preserve"> </w:t>
      </w:r>
      <w:r>
        <w:t xml:space="preserve">temperature, forest management, and their interaction with the</w:t>
      </w:r>
      <w:r>
        <w:t xml:space="preserve"> </w:t>
      </w:r>
      <w:r>
        <w:t xml:space="preserve">equilibrium distribution in future climate conditions. The intensity of</w:t>
      </w:r>
      <w:r>
        <w:t xml:space="preserve"> </w:t>
      </w:r>
      <w:r>
        <w:t xml:space="preserve">the four management practices was the same as used in the first</w:t>
      </w:r>
      <w:r>
        <w:t xml:space="preserve"> </w:t>
      </w:r>
      <w:r>
        <w:t xml:space="preserve">approach. The model ran for 150 years under three different scenarios:</w:t>
      </w:r>
      <w:r>
        <w:t xml:space="preserve"> </w:t>
      </w:r>
      <w:r>
        <w:t xml:space="preserve">(i) only climate change, (ii) only one practice of forest management,</w:t>
      </w:r>
      <w:r>
        <w:t xml:space="preserve"> </w:t>
      </w:r>
      <w:r>
        <w:t xml:space="preserve">and (iii) climate change and one practice of forest management at a</w:t>
      </w:r>
      <w:r>
        <w:t xml:space="preserve"> </w:t>
      </w:r>
      <w:r>
        <w:t xml:space="preserve">time. These three simulations were then compared with current (</w:t>
      </w:r>
      <m:oMath>
        <m:sSub>
          <m:e>
            <m:r>
              <m:t>T</m:t>
            </m:r>
          </m:e>
          <m:sub>
            <m:r>
              <m:t>0</m:t>
            </m:r>
          </m:sub>
        </m:sSub>
      </m:oMath>
      <w:r>
        <w:t xml:space="preserve">)</w:t>
      </w:r>
      <w:r>
        <w:t xml:space="preserve"> </w:t>
      </w:r>
      <w:r>
        <w:t xml:space="preserve">and future (</w:t>
      </w:r>
      <m:oMath>
        <m:sSub>
          <m:e>
            <m:r>
              <m:t>T</m:t>
            </m:r>
          </m:e>
          <m:sub>
            <m:r>
              <m:t>1</m:t>
            </m:r>
          </m:sub>
        </m:sSub>
      </m:oMath>
      <w:r>
        <w:t xml:space="preserve">) forest distribution at equilibrium with the climate</w:t>
      </w:r>
      <w:r>
        <w:t xml:space="preserve"> </w:t>
      </w:r>
      <w:r>
        <w:t xml:space="preserve">as reference points. For each simulation, we quantified the boreal and</w:t>
      </w:r>
      <w:r>
        <w:t xml:space="preserve"> </w:t>
      </w:r>
      <w:r>
        <w:t xml:space="preserve">the mixed + temperate occupancy over the latitudinal gradient of mean</w:t>
      </w:r>
      <w:r>
        <w:t xml:space="preserve"> </w:t>
      </w:r>
      <w:r>
        <w:t xml:space="preserve">annual temperature. As the chosen time scale (150 years) and management</w:t>
      </w:r>
      <w:r>
        <w:t xml:space="preserve"> </w:t>
      </w:r>
      <w:r>
        <w:t xml:space="preserve">intensity may not be large enough to detect the response of forest to</w:t>
      </w:r>
      <w:r>
        <w:t xml:space="preserve"> </w:t>
      </w:r>
      <w:r>
        <w:t xml:space="preserve">warming temperature and forest management, we ran the same configuration</w:t>
      </w:r>
      <w:r>
        <w:t xml:space="preserve"> </w:t>
      </w:r>
      <w:r>
        <w:t xml:space="preserve">of simulations but increasing both time and management intensity. The</w:t>
      </w:r>
      <w:r>
        <w:t xml:space="preserve"> </w:t>
      </w:r>
      <w:r>
        <w:t xml:space="preserve">running time of each simulation was increased to 250, 500 and 1000 years</w:t>
      </w:r>
      <w:r>
        <w:t xml:space="preserve"> </w:t>
      </w:r>
      <w:r>
        <w:t xml:space="preserve">(Figures S3), and management intensity for all practices increased to 2,</w:t>
      </w:r>
      <w:r>
        <w:t xml:space="preserve"> </w:t>
      </w:r>
      <w:r>
        <w:t xml:space="preserve">5, 10 and 20% (Figure S4). We performed 15 replications varying the</w:t>
      </w:r>
      <w:r>
        <w:t xml:space="preserve"> </w:t>
      </w:r>
      <w:r>
        <w:t xml:space="preserve">initial landscape for each simulation, however, we found little</w:t>
      </w:r>
      <w:r>
        <w:t xml:space="preserve"> </w:t>
      </w:r>
      <w:r>
        <w:t xml:space="preserve">variation between replicates, and therefore choose to omit the</w:t>
      </w:r>
      <w:r>
        <w:t xml:space="preserve"> </w:t>
      </w:r>
      <w:r>
        <w:t xml:space="preserve">confidence intervals for the sake of simplicity.</w:t>
      </w:r>
    </w:p>
    <w:p>
      <w:pPr>
        <w:pStyle w:val="Heading1"/>
      </w:pPr>
      <w:bookmarkStart w:id="52" w:name="results"/>
      <w:r>
        <w:t xml:space="preserve">Results</w:t>
      </w:r>
      <w:bookmarkEnd w:id="52"/>
    </w:p>
    <w:bookmarkStart w:id="54" w:name="X24c23e864ca018a05ef67fed7e8d55862b4c29c"/>
    <w:p>
      <w:pPr>
        <w:pStyle w:val="Heading2"/>
      </w:pPr>
      <w:bookmarkStart w:id="53" w:name="X24c23e864ca018a05ef67fed7e8d55862b4c29c"/>
      <w:r>
        <w:t xml:space="preserve">Effect of Forest Management on Transient Dynamics After</w:t>
      </w:r>
      <w:r>
        <w:t xml:space="preserve"> </w:t>
      </w:r>
      <w:r>
        <w:t xml:space="preserve">Climate</w:t>
      </w:r>
      <w:r>
        <w:t xml:space="preserve"> </w:t>
      </w:r>
      <w:r>
        <w:t xml:space="preserve">Change</w:t>
      </w:r>
      <w:bookmarkEnd w:id="53"/>
    </w:p>
    <w:bookmarkEnd w:id="54"/>
    <w:p>
      <w:pPr>
        <w:pStyle w:val="FirstParagraph"/>
      </w:pPr>
      <w:r>
        <w:t xml:space="preserve">Plantation and enrichment planting of temperate species, which simulate</w:t>
      </w:r>
      <w:r>
        <w:t xml:space="preserve"> </w:t>
      </w:r>
      <w:r>
        <w:t xml:space="preserve">the payment of colonization credit, were the only two practices</w:t>
      </w:r>
      <w:r>
        <w:t xml:space="preserve"> </w:t>
      </w:r>
      <w:r>
        <w:t xml:space="preserve">affecting the transient dynamics after warming temperature (Figure</w:t>
      </w:r>
      <w:r>
        <w:t xml:space="preserve"> </w:t>
      </w:r>
      <w:hyperlink w:anchor="fig:num-res1">
        <w:r>
          <w:rPr>
            <w:rStyle w:val="Hyperlink"/>
          </w:rPr>
          <w:t xml:space="preserve">3</w:t>
        </w:r>
      </w:hyperlink>
      <w:r>
        <w:t xml:space="preserve">). When the system was perturbed with warming</w:t>
      </w:r>
      <w:r>
        <w:t xml:space="preserve"> </w:t>
      </w:r>
      <w:r>
        <w:t xml:space="preserve">temperature, enrichment planting promoted the shift of forest states to</w:t>
      </w:r>
      <w:r>
        <w:t xml:space="preserve"> </w:t>
      </w:r>
      <w:r>
        <w:t xml:space="preserve">a new equilibrium in the boreal region (Figure</w:t>
      </w:r>
      <w:r>
        <w:t xml:space="preserve"> </w:t>
      </w:r>
      <w:hyperlink w:anchor="fig:num-res1">
        <w:r>
          <w:rPr>
            <w:rStyle w:val="Hyperlink"/>
          </w:rPr>
          <w:t xml:space="preserve">3</w:t>
        </w:r>
      </w:hyperlink>
      <w:r>
        <w:t xml:space="preserve"> </w:t>
      </w:r>
      <w:r>
        <w:t xml:space="preserve">c).</w:t>
      </w:r>
      <w:r>
        <w:t xml:space="preserve"> </w:t>
      </w:r>
      <w:r>
        <w:t xml:space="preserve">Plantation and enrichment planting reduced by about 40 and 80%,</w:t>
      </w:r>
      <w:r>
        <w:t xml:space="preserve"> </w:t>
      </w:r>
      <w:r>
        <w:t xml:space="preserve">respectively, at around -1.5</w:t>
      </w:r>
      <m:oMath>
        <m:sSup>
          <m:e>
            <m:r>
              <m:t>​</m:t>
            </m:r>
          </m:e>
          <m:sup>
            <m:r>
              <m:t>∘</m:t>
            </m:r>
          </m:sup>
        </m:sSup>
      </m:oMath>
      <w:r>
        <w:t xml:space="preserve">C the time for the forest to</w:t>
      </w:r>
      <w:r>
        <w:t xml:space="preserve"> </w:t>
      </w:r>
      <w:r>
        <w:t xml:space="preserve">reach the new equilibrium after warming temperature (Figure</w:t>
      </w:r>
      <w:r>
        <w:t xml:space="preserve"> </w:t>
      </w:r>
      <w:hyperlink w:anchor="fig:num-res1">
        <w:r>
          <w:rPr>
            <w:rStyle w:val="Hyperlink"/>
          </w:rPr>
          <w:t xml:space="preserve">3</w:t>
        </w:r>
      </w:hyperlink>
      <w:r>
        <w:t xml:space="preserve"> </w:t>
      </w:r>
      <w:r>
        <w:t xml:space="preserve">e). The cumulative state changes (Figure</w:t>
      </w:r>
      <w:r>
        <w:t xml:space="preserve"> </w:t>
      </w:r>
      <w:hyperlink w:anchor="fig:num-res1">
        <w:r>
          <w:rPr>
            <w:rStyle w:val="Hyperlink"/>
          </w:rPr>
          <w:t xml:space="preserve">3</w:t>
        </w:r>
      </w:hyperlink>
      <w:r>
        <w:t xml:space="preserve"> </w:t>
      </w:r>
      <w:r>
        <w:t xml:space="preserve">f) integrate the changes in both exposure and</w:t>
      </w:r>
      <w:r>
        <w:t xml:space="preserve"> </w:t>
      </w:r>
      <w:r>
        <w:t xml:space="preserve">sensitivity. Forest management reduced considerably the cumulative state</w:t>
      </w:r>
      <w:r>
        <w:t xml:space="preserve"> </w:t>
      </w:r>
      <w:r>
        <w:t xml:space="preserve">changes in the boreal/mixed transition region by (i) reducing the time</w:t>
      </w:r>
      <w:r>
        <w:t xml:space="preserve"> </w:t>
      </w:r>
      <w:r>
        <w:t xml:space="preserve">to reach the new equilibrium, and slightly increased cumulative state</w:t>
      </w:r>
      <w:r>
        <w:t xml:space="preserve"> </w:t>
      </w:r>
      <w:r>
        <w:t xml:space="preserve">changes in the boreal region by (ii) increasing the shift of forest</w:t>
      </w:r>
      <w:r>
        <w:t xml:space="preserve"> </w:t>
      </w:r>
      <w:r>
        <w:t xml:space="preserve">states to a new equilibrium. In both boreal/mixed and mixed/temperate</w:t>
      </w:r>
      <w:r>
        <w:t xml:space="preserve"> </w:t>
      </w:r>
      <w:r>
        <w:t xml:space="preserve">transition regions, asymptotic resilience was close to zero (weak</w:t>
      </w:r>
      <w:r>
        <w:t xml:space="preserve"> </w:t>
      </w:r>
      <w:r>
        <w:t xml:space="preserve">resilience to perturbations) and initial resilience greater than zero</w:t>
      </w:r>
      <w:r>
        <w:t xml:space="preserve"> </w:t>
      </w:r>
      <w:r>
        <w:t xml:space="preserve">(smooth response to perturbations). Enrichment planting altered both</w:t>
      </w:r>
      <w:r>
        <w:t xml:space="preserve"> </w:t>
      </w:r>
      <w:r>
        <w:t xml:space="preserve">resilience metrics in the boreal/mixed transition region only, where</w:t>
      </w:r>
      <w:r>
        <w:t xml:space="preserve"> </w:t>
      </w:r>
      <w:r>
        <w:t xml:space="preserve">asymptotic resilience was increased (Figure</w:t>
      </w:r>
      <w:r>
        <w:t xml:space="preserve"> </w:t>
      </w:r>
      <w:hyperlink w:anchor="fig:num-res1">
        <w:r>
          <w:rPr>
            <w:rStyle w:val="Hyperlink"/>
          </w:rPr>
          <w:t xml:space="preserve">3</w:t>
        </w:r>
      </w:hyperlink>
      <w:r>
        <w:t xml:space="preserve"> </w:t>
      </w:r>
      <w:r>
        <w:t xml:space="preserve">b) and</w:t>
      </w:r>
      <w:r>
        <w:t xml:space="preserve"> </w:t>
      </w:r>
      <w:r>
        <w:t xml:space="preserve">initial resilience reduced (Figure</w:t>
      </w:r>
      <w:r>
        <w:t xml:space="preserve"> </w:t>
      </w:r>
      <w:hyperlink w:anchor="fig:num-res1">
        <w:r>
          <w:rPr>
            <w:rStyle w:val="Hyperlink"/>
          </w:rPr>
          <w:t xml:space="preserve">3</w:t>
        </w:r>
      </w:hyperlink>
      <w:r>
        <w:t xml:space="preserve"> </w:t>
      </w:r>
      <w:r>
        <w:t xml:space="preserve">d). Reducing</w:t>
      </w:r>
      <w:r>
        <w:t xml:space="preserve"> </w:t>
      </w:r>
      <w:r>
        <w:t xml:space="preserve">colonization credit through plantation and enrichment planting of</w:t>
      </w:r>
      <w:r>
        <w:t xml:space="preserve"> </w:t>
      </w:r>
      <w:r>
        <w:t xml:space="preserve">temperate species were effective in changing the transient dynamics</w:t>
      </w:r>
      <w:r>
        <w:t xml:space="preserve"> </w:t>
      </w:r>
      <w:r>
        <w:t xml:space="preserve">after warming temperature, helping forest to keep pace with climate</w:t>
      </w:r>
      <w:r>
        <w:t xml:space="preserve"> </w:t>
      </w:r>
      <w:r>
        <w:t xml:space="preserve">change.</w:t>
      </w:r>
    </w:p>
    <w:bookmarkStart w:id="57" w:name="fig:num-res1"/>
    <w:p>
      <w:pPr>
        <w:pStyle w:val="CaptionedFigure"/>
      </w:pPr>
      <w:bookmarkStart w:id="56" w:name="fig:num-res1"/>
      <w:r>
        <w:drawing>
          <wp:inline>
            <wp:extent cx="5875662" cy="6151084"/>
            <wp:effectExtent b="0" l="0" r="0" t="0"/>
            <wp:docPr descr="(a) Expected occupancy of boreal and mixed + temperate states at equilibrium with climate before (T_0) and after (T_1) warming temperature as a climatic reference. (b-f) Transient dynamics after warming temperature over the latitudinal gradient of annual mean temperature for five different scenarios: natural dynamics without forest management, 0.25% of plantation, 0.25% of enrichment planting, 1% of harvest and 0.25% of thinning. Transient dynamics are described by (b) asymptotic resilience or the rate in which the system recovery to equilibrium; (d) initial resilience or the reactivity of the system after warming temperature; (c) exposure or the shift of forest states to the new equilibrium; (d) sensitivity or the time for the state reach equilibrium after warming temperature; and (f) vulnerability or the cumulative amount of state changes after warming temperature." title="" id="1" name="Picture"/>
            <a:graphic>
              <a:graphicData uri="http://schemas.openxmlformats.org/drawingml/2006/picture">
                <pic:pic>
                  <pic:nvPicPr>
                    <pic:cNvPr descr="manuscript/img/num-result.png" id="0" name="Picture"/>
                    <pic:cNvPicPr>
                      <a:picLocks noChangeArrowheads="1" noChangeAspect="1"/>
                    </pic:cNvPicPr>
                  </pic:nvPicPr>
                  <pic:blipFill>
                    <a:blip r:embed="rId55"/>
                    <a:stretch>
                      <a:fillRect/>
                    </a:stretch>
                  </pic:blipFill>
                  <pic:spPr bwMode="auto">
                    <a:xfrm>
                      <a:off x="0" y="0"/>
                      <a:ext cx="5875662" cy="6151084"/>
                    </a:xfrm>
                    <a:prstGeom prst="rect">
                      <a:avLst/>
                    </a:prstGeom>
                    <a:noFill/>
                    <a:ln w="9525">
                      <a:noFill/>
                      <a:headEnd/>
                      <a:tailEnd/>
                    </a:ln>
                  </pic:spPr>
                </pic:pic>
              </a:graphicData>
            </a:graphic>
          </wp:inline>
        </w:drawing>
      </w:r>
      <w:bookmarkEnd w:id="56"/>
    </w:p>
    <w:p>
      <w:pPr>
        <w:pStyle w:val="ImageCaption"/>
      </w:pPr>
      <w:r>
        <w:t xml:space="preserve">(a) Expected occupancy of boreal and mixed + temperate states</w:t>
      </w:r>
      <w:r>
        <w:t xml:space="preserve"> </w:t>
      </w:r>
      <w:r>
        <w:t xml:space="preserve">at equilibrium with climate before (</w:t>
      </w:r>
      <m:oMath>
        <m:sSub>
          <m:e>
            <m:r>
              <m:t>T</m:t>
            </m:r>
          </m:e>
          <m:sub>
            <m:r>
              <m:t>0</m:t>
            </m:r>
          </m:sub>
        </m:sSub>
      </m:oMath>
      <w:r>
        <w:t xml:space="preserve">) and after (</w:t>
      </w:r>
      <m:oMath>
        <m:sSub>
          <m:e>
            <m:r>
              <m:t>T</m:t>
            </m:r>
          </m:e>
          <m:sub>
            <m:r>
              <m:t>1</m:t>
            </m:r>
          </m:sub>
        </m:sSub>
      </m:oMath>
      <w:r>
        <w:t xml:space="preserve">) warming</w:t>
      </w:r>
      <w:r>
        <w:t xml:space="preserve"> </w:t>
      </w:r>
      <w:r>
        <w:t xml:space="preserve">temperature as a climatic reference. (b-f) Transient dynamics after</w:t>
      </w:r>
      <w:r>
        <w:t xml:space="preserve"> </w:t>
      </w:r>
      <w:r>
        <w:t xml:space="preserve">warming temperature over the latitudinal gradient of annual mean</w:t>
      </w:r>
      <w:r>
        <w:t xml:space="preserve"> </w:t>
      </w:r>
      <w:r>
        <w:t xml:space="preserve">temperature for five different scenarios: natural dynamics without</w:t>
      </w:r>
      <w:r>
        <w:t xml:space="preserve"> </w:t>
      </w:r>
      <w:r>
        <w:t xml:space="preserve">forest management, 0.25% of plantation, 0.25% of enrichment planting,</w:t>
      </w:r>
      <w:r>
        <w:t xml:space="preserve"> </w:t>
      </w:r>
      <w:r>
        <w:t xml:space="preserve">1% of harvest and 0.25% of thinning. Transient dynamics are described</w:t>
      </w:r>
      <w:r>
        <w:t xml:space="preserve"> </w:t>
      </w:r>
      <w:r>
        <w:t xml:space="preserve">by (b) asymptotic resilience or the rate in which the system recovery to</w:t>
      </w:r>
      <w:r>
        <w:t xml:space="preserve"> </w:t>
      </w:r>
      <w:r>
        <w:t xml:space="preserve">equilibrium; (d) initial resilience or the reactivity of the system</w:t>
      </w:r>
      <w:r>
        <w:t xml:space="preserve"> </w:t>
      </w:r>
      <w:r>
        <w:t xml:space="preserve">after warming temperature; (c) exposure or the shift of forest states to</w:t>
      </w:r>
      <w:r>
        <w:t xml:space="preserve"> </w:t>
      </w:r>
      <w:r>
        <w:t xml:space="preserve">the new equilibrium; (d) sensitivity or the time for the state reach</w:t>
      </w:r>
      <w:r>
        <w:t xml:space="preserve"> </w:t>
      </w:r>
      <w:r>
        <w:t xml:space="preserve">equilibrium after warming temperature; and (f) vulnerability or the</w:t>
      </w:r>
      <w:r>
        <w:t xml:space="preserve"> </w:t>
      </w:r>
      <w:r>
        <w:t xml:space="preserve">cumulative amount of state changes after warming</w:t>
      </w:r>
      <w:r>
        <w:t xml:space="preserve"> </w:t>
      </w:r>
      <w:r>
        <w:t xml:space="preserve">temperature.</w:t>
      </w:r>
    </w:p>
    <w:bookmarkEnd w:id="57"/>
    <w:p>
      <w:pPr>
        <w:pStyle w:val="BodyText"/>
      </w:pPr>
      <w:r>
        <w:t xml:space="preserve">All management practices altered the transient dynamics after warming</w:t>
      </w:r>
      <w:r>
        <w:t xml:space="preserve"> </w:t>
      </w:r>
      <w:r>
        <w:t xml:space="preserve">temperature, with the greatest impacts at the edge of temperate/mixed</w:t>
      </w:r>
      <w:r>
        <w:t xml:space="preserve"> </w:t>
      </w:r>
      <w:r>
        <w:t xml:space="preserve">tree distribution and slightly into the boreal forest (Figure</w:t>
      </w:r>
      <w:r>
        <w:t xml:space="preserve"> </w:t>
      </w:r>
      <w:hyperlink w:anchor="fig:num-res1">
        <w:r>
          <w:rPr>
            <w:rStyle w:val="Hyperlink"/>
          </w:rPr>
          <w:t xml:space="preserve">3</w:t>
        </w:r>
      </w:hyperlink>
      <w:r>
        <w:t xml:space="preserve">). Plantation and enrichment planting had non-linear</w:t>
      </w:r>
      <w:r>
        <w:t xml:space="preserve"> </w:t>
      </w:r>
      <w:r>
        <w:t xml:space="preserve">response to management intensity in the boreal region (Figure 4); while</w:t>
      </w:r>
      <w:r>
        <w:t xml:space="preserve"> </w:t>
      </w:r>
      <w:r>
        <w:t xml:space="preserve">enrichment planting and thinning had non-linear responses in the</w:t>
      </w:r>
      <w:r>
        <w:t xml:space="preserve"> </w:t>
      </w:r>
      <w:r>
        <w:t xml:space="preserve">temperate/mixed region. Overall, increasing plantation and enrichment</w:t>
      </w:r>
      <w:r>
        <w:t xml:space="preserve"> </w:t>
      </w:r>
      <w:r>
        <w:t xml:space="preserve">planting intensity increased exposure and asymptotic resilience and</w:t>
      </w:r>
      <w:r>
        <w:t xml:space="preserve"> </w:t>
      </w:r>
      <w:r>
        <w:t xml:space="preserve">reduced sensitivity at both spatial regions. Harvest of boreal species</w:t>
      </w:r>
      <w:r>
        <w:t xml:space="preserve"> </w:t>
      </w:r>
      <w:r>
        <w:t xml:space="preserve">also increased exposure but reduced asymptotic resilience and increased</w:t>
      </w:r>
      <w:r>
        <w:t xml:space="preserve"> </w:t>
      </w:r>
      <w:r>
        <w:t xml:space="preserve">sensitivity. Surprisingly, thinning of boreal species had a negative</w:t>
      </w:r>
      <w:r>
        <w:t xml:space="preserve"> </w:t>
      </w:r>
      <w:r>
        <w:t xml:space="preserve">effect reducing asymptotic resilience and increased sensitivity at the</w:t>
      </w:r>
      <w:r>
        <w:t xml:space="preserve"> </w:t>
      </w:r>
      <w:r>
        <w:t xml:space="preserve">boreal/mixed transition region. In conclusion, increasing management</w:t>
      </w:r>
      <w:r>
        <w:t xml:space="preserve"> </w:t>
      </w:r>
      <w:r>
        <w:t xml:space="preserve">intensity can accelerate forest response to climate change by reducing</w:t>
      </w:r>
      <w:r>
        <w:t xml:space="preserve"> </w:t>
      </w:r>
      <w:r>
        <w:t xml:space="preserve">colonization credit but can delay this response by reducing extinction</w:t>
      </w:r>
      <w:r>
        <w:t xml:space="preserve"> </w:t>
      </w:r>
      <w:r>
        <w:t xml:space="preserve">debt. For the sake of simplicity, initial resilience and cumulative</w:t>
      </w:r>
      <w:r>
        <w:t xml:space="preserve"> </w:t>
      </w:r>
      <w:r>
        <w:t xml:space="preserve">state changes are omitted in the Figure</w:t>
      </w:r>
      <w:r>
        <w:t xml:space="preserve"> </w:t>
      </w:r>
      <w:hyperlink w:anchor="fig:num-res2">
        <w:r>
          <w:rPr>
            <w:rStyle w:val="Hyperlink"/>
          </w:rPr>
          <w:t xml:space="preserve">4</w:t>
        </w:r>
      </w:hyperlink>
      <w:r>
        <w:t xml:space="preserve"> </w:t>
      </w:r>
      <w:r>
        <w:t xml:space="preserve">and can be</w:t>
      </w:r>
      <w:r>
        <w:t xml:space="preserve"> </w:t>
      </w:r>
      <w:r>
        <w:t xml:space="preserve">found in the supporting information (Figure S1).</w:t>
      </w:r>
    </w:p>
    <w:bookmarkStart w:id="60" w:name="fig:num-res2"/>
    <w:p>
      <w:pPr>
        <w:pStyle w:val="CaptionedFigure"/>
      </w:pPr>
      <w:bookmarkStart w:id="59" w:name="fig:num-res2"/>
      <w:r>
        <w:drawing>
          <wp:inline>
            <wp:extent cx="5875662" cy="6151084"/>
            <wp:effectExtent b="0" l="0" r="0" t="0"/>
            <wp:docPr descr="Transient dynamics (metrics described in Figure 3) following warming temperature along with the increasing management intensity for plantation, harvest, thinning and enrichment planting. Climatic condition is fixed at the boreal (annual mean temperature of -1; left panels) and the boreal/mixed transition (annual mean temperature of 0; right panels) regions." title="" id="1" name="Picture"/>
            <a:graphic>
              <a:graphicData uri="http://schemas.openxmlformats.org/drawingml/2006/picture">
                <pic:pic>
                  <pic:nvPicPr>
                    <pic:cNvPr descr="manuscript/img/num-result_2.png" id="0" name="Picture"/>
                    <pic:cNvPicPr>
                      <a:picLocks noChangeArrowheads="1" noChangeAspect="1"/>
                    </pic:cNvPicPr>
                  </pic:nvPicPr>
                  <pic:blipFill>
                    <a:blip r:embed="rId58"/>
                    <a:stretch>
                      <a:fillRect/>
                    </a:stretch>
                  </pic:blipFill>
                  <pic:spPr bwMode="auto">
                    <a:xfrm>
                      <a:off x="0" y="0"/>
                      <a:ext cx="5875662" cy="6151084"/>
                    </a:xfrm>
                    <a:prstGeom prst="rect">
                      <a:avLst/>
                    </a:prstGeom>
                    <a:noFill/>
                    <a:ln w="9525">
                      <a:noFill/>
                      <a:headEnd/>
                      <a:tailEnd/>
                    </a:ln>
                  </pic:spPr>
                </pic:pic>
              </a:graphicData>
            </a:graphic>
          </wp:inline>
        </w:drawing>
      </w:r>
      <w:bookmarkEnd w:id="59"/>
    </w:p>
    <w:p>
      <w:pPr>
        <w:pStyle w:val="ImageCaption"/>
      </w:pPr>
      <w:r>
        <w:t xml:space="preserve">Transient dynamics (metrics described in Figure</w:t>
      </w:r>
      <w:r>
        <w:t xml:space="preserve"> </w:t>
      </w:r>
      <w:hyperlink w:anchor="fig:num-res1">
        <w:r>
          <w:rPr>
            <w:rStyle w:val="Hyperlink"/>
          </w:rPr>
          <w:t xml:space="preserve">3</w:t>
        </w:r>
      </w:hyperlink>
      <w:r>
        <w:t xml:space="preserve">) following warming temperature along with the</w:t>
      </w:r>
      <w:r>
        <w:t xml:space="preserve"> </w:t>
      </w:r>
      <w:r>
        <w:t xml:space="preserve">increasing management intensity for plantation, harvest, thinning and</w:t>
      </w:r>
      <w:r>
        <w:t xml:space="preserve"> </w:t>
      </w:r>
      <w:r>
        <w:t xml:space="preserve">enrichment planting. Climatic condition is fixed at the boreal (annual</w:t>
      </w:r>
      <w:r>
        <w:t xml:space="preserve"> </w:t>
      </w:r>
      <w:r>
        <w:t xml:space="preserve">mean temperature of -1; left panels) and the boreal/mixed transition</w:t>
      </w:r>
      <w:r>
        <w:t xml:space="preserve"> </w:t>
      </w:r>
      <w:r>
        <w:t xml:space="preserve">(annual mean temperature of 0; right panels)</w:t>
      </w:r>
      <w:r>
        <w:t xml:space="preserve"> </w:t>
      </w:r>
      <w:r>
        <w:t xml:space="preserve">regions.</w:t>
      </w:r>
    </w:p>
    <w:bookmarkEnd w:id="60"/>
    <w:bookmarkStart w:id="62" w:name="X7f64d72e94872ed9c39a77fdaf63323152439b0"/>
    <w:p>
      <w:pPr>
        <w:pStyle w:val="Heading2"/>
      </w:pPr>
      <w:bookmarkStart w:id="61" w:name="X7f64d72e94872ed9c39a77fdaf63323152439b0"/>
      <w:r>
        <w:t xml:space="preserve">Effect of Forest Management on Range Limits Shift Under</w:t>
      </w:r>
      <w:r>
        <w:t xml:space="preserve"> </w:t>
      </w:r>
      <w:r>
        <w:t xml:space="preserve">Climate</w:t>
      </w:r>
      <w:r>
        <w:t xml:space="preserve"> </w:t>
      </w:r>
      <w:r>
        <w:t xml:space="preserve">Change</w:t>
      </w:r>
      <w:bookmarkEnd w:id="61"/>
    </w:p>
    <w:bookmarkEnd w:id="62"/>
    <w:p>
      <w:pPr>
        <w:pStyle w:val="FirstParagraph"/>
      </w:pPr>
      <w:r>
        <w:t xml:space="preserve">We investigated how forest management affects the range limit shift of</w:t>
      </w:r>
      <w:r>
        <w:t xml:space="preserve"> </w:t>
      </w:r>
      <w:r>
        <w:t xml:space="preserve">the boreal trailing edge and the temperate + mixed leading edge using</w:t>
      </w:r>
      <w:r>
        <w:t xml:space="preserve"> </w:t>
      </w:r>
      <w:r>
        <w:t xml:space="preserve">spatially explicit simulations accounting for dispersal limitations and</w:t>
      </w:r>
      <w:r>
        <w:t xml:space="preserve"> </w:t>
      </w:r>
      <w:r>
        <w:t xml:space="preserve">stochastic dynamics (Figure</w:t>
      </w:r>
      <w:r>
        <w:t xml:space="preserve"> </w:t>
      </w:r>
      <w:hyperlink w:anchor="fig:sim-result">
        <w:r>
          <w:rPr>
            <w:rStyle w:val="Hyperlink"/>
          </w:rPr>
          <w:t xml:space="preserve">5</w:t>
        </w:r>
      </w:hyperlink>
      <w:r>
        <w:t xml:space="preserve">). After 150 years with</w:t>
      </w:r>
      <w:r>
        <w:t xml:space="preserve"> </w:t>
      </w:r>
      <w:r>
        <w:t xml:space="preserve">only forest management (</w:t>
      </w:r>
      <m:oMath>
        <m:sSub>
          <m:e>
            <m:r>
              <m:t>T</m:t>
            </m:r>
          </m:e>
          <m:sub>
            <m:r>
              <m:t>150</m:t>
            </m:r>
          </m:sub>
        </m:sSub>
      </m:oMath>
      <w:r>
        <w:t xml:space="preserve"> </w:t>
      </w:r>
      <w:r>
        <w:t xml:space="preserve">+ FM), both the boreal trailing edge</w:t>
      </w:r>
      <w:r>
        <w:t xml:space="preserve"> </w:t>
      </w:r>
      <w:r>
        <w:t xml:space="preserve">and the temperate leading edge slightly shifted southwards. After 150</w:t>
      </w:r>
      <w:r>
        <w:t xml:space="preserve"> </w:t>
      </w:r>
      <w:r>
        <w:t xml:space="preserve">years with temperature warming in the first 100 years (RCP 4.5), both</w:t>
      </w:r>
      <w:r>
        <w:t xml:space="preserve"> </w:t>
      </w:r>
      <w:r>
        <w:t xml:space="preserve">the boreal and temperate range limit shifted northward. However, boreal</w:t>
      </w:r>
      <w:r>
        <w:t xml:space="preserve"> </w:t>
      </w:r>
      <w:r>
        <w:t xml:space="preserve">receded to a certain extent, and the smooth transition to temperate</w:t>
      </w:r>
      <w:r>
        <w:t xml:space="preserve"> </w:t>
      </w:r>
      <w:r>
        <w:t xml:space="preserve">through mixed was reduced to an abrupt transition (</w:t>
      </w:r>
      <m:oMath>
        <m:sSub>
          <m:e>
            <m:r>
              <m:t>T</m:t>
            </m:r>
          </m:e>
          <m:sub>
            <m:r>
              <m:t>150</m:t>
            </m:r>
          </m:sub>
        </m:sSub>
        <m:r>
          <m:t>+</m:t>
        </m:r>
        <m:r>
          <m:t>C</m:t>
        </m:r>
        <m:r>
          <m:t>C</m:t>
        </m:r>
      </m:oMath>
      <w:r>
        <w:t xml:space="preserve">).</w:t>
      </w:r>
      <w:r>
        <w:t xml:space="preserve"> </w:t>
      </w:r>
      <w:r>
        <w:t xml:space="preserve">Lastly, with both warming temperature and forest management interacting,</w:t>
      </w:r>
      <w:r>
        <w:t xml:space="preserve"> </w:t>
      </w:r>
      <w:r>
        <w:t xml:space="preserve">enrichment planting of temperate species was the only practice to</w:t>
      </w:r>
      <w:r>
        <w:t xml:space="preserve"> </w:t>
      </w:r>
      <w:r>
        <w:t xml:space="preserve">increase both the boreal and the temperate northward shift. Plantation</w:t>
      </w:r>
      <w:r>
        <w:t xml:space="preserve"> </w:t>
      </w:r>
      <w:r>
        <w:t xml:space="preserve">had a very small effect close to the transition limit, harvest reduced</w:t>
      </w:r>
      <w:r>
        <w:t xml:space="preserve"> </w:t>
      </w:r>
      <w:r>
        <w:t xml:space="preserve">the proportion of boreal states but had no effect on range shifts, and</w:t>
      </w:r>
      <w:r>
        <w:t xml:space="preserve"> </w:t>
      </w:r>
      <w:r>
        <w:t xml:space="preserve">thinning also did not have any effect on range limits. Reducing</w:t>
      </w:r>
      <w:r>
        <w:t xml:space="preserve"> </w:t>
      </w:r>
      <w:r>
        <w:t xml:space="preserve">colonization credit, through enrichment planting, increased the</w:t>
      </w:r>
      <w:r>
        <w:t xml:space="preserve"> </w:t>
      </w:r>
      <w:r>
        <w:t xml:space="preserve">northward shift of forest states only when interacting with climate</w:t>
      </w:r>
      <w:r>
        <w:t xml:space="preserve"> </w:t>
      </w:r>
      <w:r>
        <w:t xml:space="preserve">change, creating a smooth transition from boreal to mixed state.</w:t>
      </w:r>
    </w:p>
    <w:bookmarkStart w:id="65" w:name="fig:sim-result"/>
    <w:p>
      <w:pPr>
        <w:pStyle w:val="CaptionedFigure"/>
      </w:pPr>
      <w:bookmarkStart w:id="64" w:name="fig:sim-result"/>
      <w:r>
        <w:drawing>
          <wp:inline>
            <wp:extent cx="5943600" cy="7217228"/>
            <wp:effectExtent b="0" l="0" r="0" t="0"/>
            <wp:docPr descr="Boreal (left panels) and temperate plus mixed (right panels) occupancy along the latitudinal gradient of the boreal-temperate ecotone. Light and dark shaded areas are a reference of the state occupancy at equilibrium before and after warming temperature, respectively. Each line is a different simulation to differentiate the isolated and interacting effects of climate change (CC) and forest management (FM). The results are the mean of 15 replicates. Confidence intervals are omitted for simplicity as we found little variation between replicates. Management intensity was set to 0.25% for plantation, thinning and enrichment planting, and 1% for harvest. The climate change scenario was RCP 4.5." title="" id="1" name="Picture"/>
            <a:graphic>
              <a:graphicData uri="http://schemas.openxmlformats.org/drawingml/2006/picture">
                <pic:pic>
                  <pic:nvPicPr>
                    <pic:cNvPr descr="manuscript/img/sim-result_RCP4.5.png" id="0" name="Picture"/>
                    <pic:cNvPicPr>
                      <a:picLocks noChangeArrowheads="1" noChangeAspect="1"/>
                    </pic:cNvPicPr>
                  </pic:nvPicPr>
                  <pic:blipFill>
                    <a:blip r:embed="rId63"/>
                    <a:stretch>
                      <a:fillRect/>
                    </a:stretch>
                  </pic:blipFill>
                  <pic:spPr bwMode="auto">
                    <a:xfrm>
                      <a:off x="0" y="0"/>
                      <a:ext cx="5943600" cy="7217228"/>
                    </a:xfrm>
                    <a:prstGeom prst="rect">
                      <a:avLst/>
                    </a:prstGeom>
                    <a:noFill/>
                    <a:ln w="9525">
                      <a:noFill/>
                      <a:headEnd/>
                      <a:tailEnd/>
                    </a:ln>
                  </pic:spPr>
                </pic:pic>
              </a:graphicData>
            </a:graphic>
          </wp:inline>
        </w:drawing>
      </w:r>
      <w:bookmarkEnd w:id="64"/>
    </w:p>
    <w:p>
      <w:pPr>
        <w:pStyle w:val="ImageCaption"/>
      </w:pPr>
      <w:r>
        <w:t xml:space="preserve">Boreal (left panels) and temperate plus mixed (right panels)</w:t>
      </w:r>
      <w:r>
        <w:t xml:space="preserve"> </w:t>
      </w:r>
      <w:r>
        <w:t xml:space="preserve">occupancy along the latitudinal gradient of the boreal-temperate</w:t>
      </w:r>
      <w:r>
        <w:t xml:space="preserve"> </w:t>
      </w:r>
      <w:r>
        <w:t xml:space="preserve">ecotone. Light and dark shaded areas are a reference of the state</w:t>
      </w:r>
      <w:r>
        <w:t xml:space="preserve"> </w:t>
      </w:r>
      <w:r>
        <w:t xml:space="preserve">occupancy at equilibrium before and after warming temperature,</w:t>
      </w:r>
      <w:r>
        <w:t xml:space="preserve"> </w:t>
      </w:r>
      <w:r>
        <w:t xml:space="preserve">respectively. Each line is a different simulation to differentiate the</w:t>
      </w:r>
      <w:r>
        <w:t xml:space="preserve"> </w:t>
      </w:r>
      <w:r>
        <w:t xml:space="preserve">isolated and interacting effects of climate change (CC) and forest</w:t>
      </w:r>
      <w:r>
        <w:t xml:space="preserve"> </w:t>
      </w:r>
      <w:r>
        <w:t xml:space="preserve">management (FM). The results are the mean of 15 replicates. Confidence</w:t>
      </w:r>
      <w:r>
        <w:t xml:space="preserve"> </w:t>
      </w:r>
      <w:r>
        <w:t xml:space="preserve">intervals are omitted for simplicity as we found little variation</w:t>
      </w:r>
      <w:r>
        <w:t xml:space="preserve"> </w:t>
      </w:r>
      <w:r>
        <w:t xml:space="preserve">between replicates. Management intensity was set to 0.25% for</w:t>
      </w:r>
      <w:r>
        <w:t xml:space="preserve"> </w:t>
      </w:r>
      <w:r>
        <w:t xml:space="preserve">plantation, thinning and enrichment planting, and 1% for harvest. The</w:t>
      </w:r>
      <w:r>
        <w:t xml:space="preserve"> </w:t>
      </w:r>
      <w:r>
        <w:t xml:space="preserve">climate change scenario was RCP 4.5.</w:t>
      </w:r>
    </w:p>
    <w:bookmarkEnd w:id="65"/>
    <w:p>
      <w:pPr>
        <w:pStyle w:val="BodyText"/>
      </w:pPr>
      <w:r>
        <w:t xml:space="preserve">Simulation time and management intensity of figure</w:t>
      </w:r>
      <w:r>
        <w:t xml:space="preserve"> </w:t>
      </w:r>
      <w:hyperlink w:anchor="fig:sim-result">
        <w:r>
          <w:rPr>
            <w:rStyle w:val="Hyperlink"/>
          </w:rPr>
          <w:t xml:space="preserve">5</w:t>
        </w:r>
      </w:hyperlink>
      <w:r>
        <w:t xml:space="preserve"> </w:t>
      </w:r>
      <w:r>
        <w:t xml:space="preserve">were kept small for the sake of realism, but we further tested how</w:t>
      </w:r>
      <w:r>
        <w:t xml:space="preserve"> </w:t>
      </w:r>
      <w:r>
        <w:t xml:space="preserve">increasing management intensity and time of simulation will affect range</w:t>
      </w:r>
      <w:r>
        <w:t xml:space="preserve"> </w:t>
      </w:r>
      <w:r>
        <w:t xml:space="preserve">limits shift of boreal and temperate stands. These simulations better</w:t>
      </w:r>
      <w:r>
        <w:t xml:space="preserve"> </w:t>
      </w:r>
      <w:r>
        <w:t xml:space="preserve">reveal differences between scenarios. Increasing simulation time up to</w:t>
      </w:r>
      <w:r>
        <w:t xml:space="preserve"> </w:t>
      </w:r>
      <w:r>
        <w:t xml:space="preserve">1000 years was just enough for both boreal and temperate range limits to</w:t>
      </w:r>
      <w:r>
        <w:t xml:space="preserve"> </w:t>
      </w:r>
      <w:r>
        <w:t xml:space="preserve">reach the expected equilibrium, and reduce colonization credit with</w:t>
      </w:r>
      <w:r>
        <w:t xml:space="preserve"> </w:t>
      </w:r>
      <w:r>
        <w:t xml:space="preserve">0.25% of plantation and enrichment planting of temperate species</w:t>
      </w:r>
      <w:r>
        <w:t xml:space="preserve"> </w:t>
      </w:r>
      <w:r>
        <w:t xml:space="preserve">(Figure S3). Increasing management intensity of up to 20% per year had</w:t>
      </w:r>
      <w:r>
        <w:t xml:space="preserve"> </w:t>
      </w:r>
      <w:r>
        <w:t xml:space="preserve">different effects according to the four practices. Plantation and</w:t>
      </w:r>
      <w:r>
        <w:t xml:space="preserve"> </w:t>
      </w:r>
      <w:r>
        <w:t xml:space="preserve">enrichment planting at such intensity increased northward range limits</w:t>
      </w:r>
      <w:r>
        <w:t xml:space="preserve"> </w:t>
      </w:r>
      <w:r>
        <w:t xml:space="preserve">shift linearly, and overpassed the expected equilibrium with future</w:t>
      </w:r>
      <w:r>
        <w:t xml:space="preserve"> </w:t>
      </w:r>
      <w:r>
        <w:t xml:space="preserve">warming temperature (Figure S4). Harvest of boreal species at high</w:t>
      </w:r>
      <w:r>
        <w:t xml:space="preserve"> </w:t>
      </w:r>
      <w:r>
        <w:t xml:space="preserve">intensity reduced the proportion of boreal and increased the proportion</w:t>
      </w:r>
      <w:r>
        <w:t xml:space="preserve"> </w:t>
      </w:r>
      <w:r>
        <w:t xml:space="preserve">of regeneration state but did not break the abrupt transition into a</w:t>
      </w:r>
      <w:r>
        <w:t xml:space="preserve"> </w:t>
      </w:r>
      <w:r>
        <w:t xml:space="preserve">smooth shift between boreal and mixed states. Thinning of boreal species</w:t>
      </w:r>
      <w:r>
        <w:t xml:space="preserve"> </w:t>
      </w:r>
      <w:r>
        <w:t xml:space="preserve">increased the transition from mixed to temperate stands but did not have</w:t>
      </w:r>
      <w:r>
        <w:t xml:space="preserve"> </w:t>
      </w:r>
      <w:r>
        <w:t xml:space="preserve">any effect on range limits shift.</w:t>
      </w:r>
    </w:p>
    <w:p>
      <w:pPr>
        <w:pStyle w:val="Heading1"/>
      </w:pPr>
      <w:bookmarkStart w:id="66" w:name="discussion"/>
      <w:r>
        <w:t xml:space="preserve">Discussion</w:t>
      </w:r>
      <w:bookmarkEnd w:id="66"/>
    </w:p>
    <w:p>
      <w:pPr>
        <w:pStyle w:val="FirstParagraph"/>
      </w:pPr>
      <w:r>
        <w:t xml:space="preserve">There is an increasing need to investigate how forest biomes will</w:t>
      </w:r>
      <w:r>
        <w:t xml:space="preserve"> </w:t>
      </w:r>
      <w:r>
        <w:t xml:space="preserve">respond to warming temperature, and how forest management can mitigate</w:t>
      </w:r>
      <w:r>
        <w:t xml:space="preserve"> </w:t>
      </w:r>
      <w:r>
        <w:t xml:space="preserve">the negative impacts of this perturbation. We developed a simple and</w:t>
      </w:r>
      <w:r>
        <w:t xml:space="preserve"> </w:t>
      </w:r>
      <w:r>
        <w:t xml:space="preserve">informative modelling framework based on the metapopulation theory that</w:t>
      </w:r>
      <w:r>
        <w:t xml:space="preserve"> </w:t>
      </w:r>
      <w:r>
        <w:t xml:space="preserve">let us to (i) establish the link between forest management and the</w:t>
      </w:r>
      <w:r>
        <w:t xml:space="preserve"> </w:t>
      </w:r>
      <w:r>
        <w:t xml:space="preserve">ecological processes setting range limits, and to (ii) investigate the</w:t>
      </w:r>
      <w:r>
        <w:t xml:space="preserve"> </w:t>
      </w:r>
      <w:r>
        <w:t xml:space="preserve">effect of forest management on the response of the boreal-temperate</w:t>
      </w:r>
      <w:r>
        <w:t xml:space="preserve"> </w:t>
      </w:r>
      <w:r>
        <w:t xml:space="preserve">ecotone to climate change. Our study suggest that all management</w:t>
      </w:r>
      <w:r>
        <w:t xml:space="preserve"> </w:t>
      </w:r>
      <w:r>
        <w:t xml:space="preserve">practices are expected to impact forest dynamics in the short term</w:t>
      </w:r>
      <w:r>
        <w:t xml:space="preserve"> </w:t>
      </w:r>
      <w:r>
        <w:t xml:space="preserve">(transient phase). However, to reduce the period of transient dynamics</w:t>
      </w:r>
      <w:r>
        <w:t xml:space="preserve"> </w:t>
      </w:r>
      <w:r>
        <w:t xml:space="preserve">after warming temperature and increase range limit shifts at large</w:t>
      </w:r>
      <w:r>
        <w:t xml:space="preserve"> </w:t>
      </w:r>
      <w:r>
        <w:t xml:space="preserve">spatial scale in the long term, only planting temperate tree stands and</w:t>
      </w:r>
      <w:r>
        <w:t xml:space="preserve"> </w:t>
      </w:r>
      <w:r>
        <w:t xml:space="preserve">enrichment planting of temperate trees in boreal stands are likely to</w:t>
      </w:r>
      <w:r>
        <w:t xml:space="preserve"> </w:t>
      </w:r>
      <w:r>
        <w:t xml:space="preserve">play a role by paying the colonization credit. Our results, based on two</w:t>
      </w:r>
      <w:r>
        <w:t xml:space="preserve"> </w:t>
      </w:r>
      <w:r>
        <w:t xml:space="preserve">complementary simulation techniques, suggest that forest management</w:t>
      </w:r>
      <w:r>
        <w:t xml:space="preserve"> </w:t>
      </w:r>
      <w:r>
        <w:t xml:space="preserve">could help the boreal/temperate ecotone keep pace with climate change.</w:t>
      </w:r>
      <w:r>
        <w:t xml:space="preserve"> </w:t>
      </w:r>
      <w:r>
        <w:t xml:space="preserve">This theoretical investigation supported by long-term data provides new</w:t>
      </w:r>
      <w:r>
        <w:t xml:space="preserve"> </w:t>
      </w:r>
      <w:r>
        <w:t xml:space="preserve">expectations to design future experiments testing the potential of</w:t>
      </w:r>
      <w:r>
        <w:t xml:space="preserve"> </w:t>
      </w:r>
      <w:r>
        <w:t xml:space="preserve">forest management to adapt to climate change. It should guide future</w:t>
      </w:r>
      <w:r>
        <w:t xml:space="preserve"> </w:t>
      </w:r>
      <w:r>
        <w:t xml:space="preserve">managers to take into account both natural and anthropogenic</w:t>
      </w:r>
      <w:r>
        <w:t xml:space="preserve"> </w:t>
      </w:r>
      <w:r>
        <w:t xml:space="preserve">perturbations on forest dynamics.</w:t>
      </w:r>
    </w:p>
    <w:p>
      <w:pPr>
        <w:pStyle w:val="BodyText"/>
      </w:pPr>
      <w:r>
        <w:rPr>
          <w:i/>
          <w:b/>
        </w:rPr>
        <w:t xml:space="preserve">How plantation and enrichment planting can reduce</w:t>
      </w:r>
      <w:r>
        <w:rPr>
          <w:i/>
          <w:b/>
        </w:rPr>
        <w:t xml:space="preserve"> </w:t>
      </w:r>
      <w:r>
        <w:rPr>
          <w:i/>
          <w:b/>
        </w:rPr>
        <w:t xml:space="preserve">colonization credit?</w:t>
      </w:r>
    </w:p>
    <w:p>
      <w:pPr>
        <w:pStyle w:val="BodyText"/>
      </w:pPr>
      <w:r>
        <w:t xml:space="preserve">Although climate change is expected to drive a shift in forest</w:t>
      </w:r>
      <w:r>
        <w:t xml:space="preserve"> </w:t>
      </w:r>
      <w:r>
        <w:t xml:space="preserve">composition by favoring temperate over boreal trees, the</w:t>
      </w:r>
      <w:r>
        <w:t xml:space="preserve"> </w:t>
      </w:r>
      <w:r>
        <w:t xml:space="preserve">boreal-temperate ecotone is lagging behind climate change (Talluto et</w:t>
      </w:r>
      <w:r>
        <w:t xml:space="preserve"> </w:t>
      </w:r>
      <w:r>
        <w:t xml:space="preserve">al.</w:t>
      </w:r>
      <w:r>
        <w:t xml:space="preserve"> </w:t>
      </w:r>
      <w:hyperlink w:anchor="ref-Talluto2017">
        <w:r>
          <w:rPr>
            <w:rStyle w:val="Hyperlink"/>
          </w:rPr>
          <w:t xml:space="preserve">2017</w:t>
        </w:r>
      </w:hyperlink>
      <w:r>
        <w:t xml:space="preserve">; Vissault et al.</w:t>
      </w:r>
      <w:r>
        <w:t xml:space="preserve"> </w:t>
      </w:r>
      <w:hyperlink w:anchor="ref-Vissault2020">
        <w:r>
          <w:rPr>
            <w:rStyle w:val="Hyperlink"/>
          </w:rPr>
          <w:t xml:space="preserve">2020</w:t>
        </w:r>
      </w:hyperlink>
      <w:r>
        <w:t xml:space="preserve">). Our results suggest that</w:t>
      </w:r>
      <w:r>
        <w:t xml:space="preserve"> </w:t>
      </w:r>
      <w:r>
        <w:t xml:space="preserve">plantation and enrichment planting of temperate species on the boreal</w:t>
      </w:r>
      <w:r>
        <w:t xml:space="preserve"> </w:t>
      </w:r>
      <w:r>
        <w:t xml:space="preserve">region can reduce this lag by reducing the transient period and</w:t>
      </w:r>
      <w:r>
        <w:t xml:space="preserve"> </w:t>
      </w:r>
      <w:r>
        <w:t xml:space="preserve">increasing the northward range shift of the boreal-temperate ecotone. To</w:t>
      </w:r>
      <w:r>
        <w:t xml:space="preserve"> </w:t>
      </w:r>
      <w:r>
        <w:t xml:space="preserve">date few empirical studies have tested how assisted migration increases</w:t>
      </w:r>
      <w:r>
        <w:t xml:space="preserve"> </w:t>
      </w:r>
      <w:r>
        <w:t xml:space="preserve">northward range shift of trees. For instance, modelling the plantation</w:t>
      </w:r>
      <w:r>
        <w:t xml:space="preserve"> </w:t>
      </w:r>
      <w:r>
        <w:t xml:space="preserve">of tree species more suitable to future climate is predicted to increase</w:t>
      </w:r>
      <w:r>
        <w:t xml:space="preserve"> </w:t>
      </w:r>
      <w:r>
        <w:t xml:space="preserve">resilience indicators such as carbon stocks and tree species diversity</w:t>
      </w:r>
      <w:r>
        <w:t xml:space="preserve"> </w:t>
      </w:r>
      <w:r>
        <w:t xml:space="preserve">(Hof, Dymond, and Mladenoff</w:t>
      </w:r>
      <w:r>
        <w:t xml:space="preserve"> </w:t>
      </w:r>
      <w:hyperlink w:anchor="ref-Hof2017">
        <w:r>
          <w:rPr>
            <w:rStyle w:val="Hyperlink"/>
          </w:rPr>
          <w:t xml:space="preserve">2017</w:t>
        </w:r>
      </w:hyperlink>
      <w:r>
        <w:t xml:space="preserve">), and</w:t>
      </w:r>
      <w:r>
        <w:t xml:space="preserve"> </w:t>
      </w:r>
      <w:r>
        <w:t xml:space="preserve">therefore plantation is assumed to increase tree range shift under</w:t>
      </w:r>
      <w:r>
        <w:t xml:space="preserve"> </w:t>
      </w:r>
      <w:r>
        <w:t xml:space="preserve">climate change. Using the same rationale, simulating the plantation of</w:t>
      </w:r>
      <w:r>
        <w:t xml:space="preserve"> </w:t>
      </w:r>
      <w:r>
        <w:t xml:space="preserve">climate suitable tree species have been shown to increase both biomass</w:t>
      </w:r>
      <w:r>
        <w:t xml:space="preserve"> </w:t>
      </w:r>
      <w:r>
        <w:t xml:space="preserve">productivity and species diversity in multiple scenarios of climate</w:t>
      </w:r>
      <w:r>
        <w:t xml:space="preserve"> </w:t>
      </w:r>
      <w:r>
        <w:t xml:space="preserve">change (Duveneck and Scheller</w:t>
      </w:r>
      <w:r>
        <w:t xml:space="preserve"> </w:t>
      </w:r>
      <w:hyperlink w:anchor="ref-Duveneck2015">
        <w:r>
          <w:rPr>
            <w:rStyle w:val="Hyperlink"/>
          </w:rPr>
          <w:t xml:space="preserve">2015</w:t>
        </w:r>
      </w:hyperlink>
      <w:r>
        <w:t xml:space="preserve">). We found enrichment</w:t>
      </w:r>
      <w:r>
        <w:t xml:space="preserve"> </w:t>
      </w:r>
      <w:r>
        <w:t xml:space="preserve">planting slightly increased asymptotic resilience, which means a faster</w:t>
      </w:r>
      <w:r>
        <w:t xml:space="preserve"> </w:t>
      </w:r>
      <w:r>
        <w:t xml:space="preserve">recovery to equilibrium after climate change (Figure</w:t>
      </w:r>
      <w:r>
        <w:t xml:space="preserve"> </w:t>
      </w:r>
      <w:hyperlink w:anchor="fig:num-res1">
        <w:r>
          <w:rPr>
            <w:rStyle w:val="Hyperlink"/>
          </w:rPr>
          <w:t xml:space="preserve">3</w:t>
        </w:r>
      </w:hyperlink>
      <w:r>
        <w:t xml:space="preserve">). This is similar to simulations of species</w:t>
      </w:r>
      <w:r>
        <w:t xml:space="preserve"> </w:t>
      </w:r>
      <w:r>
        <w:t xml:space="preserve">composition change over time, from which resistance and resilience have</w:t>
      </w:r>
      <w:r>
        <w:t xml:space="preserve"> </w:t>
      </w:r>
      <w:r>
        <w:t xml:space="preserve">been explicitly assessed, suggesting that forest management had limited</w:t>
      </w:r>
      <w:r>
        <w:t xml:space="preserve"> </w:t>
      </w:r>
      <w:r>
        <w:t xml:space="preserve">ability to increase these indicators in the face of climate change</w:t>
      </w:r>
      <w:r>
        <w:t xml:space="preserve"> </w:t>
      </w:r>
      <w:r>
        <w:t xml:space="preserve">(Duveneck and Scheller</w:t>
      </w:r>
      <w:r>
        <w:t xml:space="preserve"> </w:t>
      </w:r>
      <w:hyperlink w:anchor="ref-Duveneck2016">
        <w:r>
          <w:rPr>
            <w:rStyle w:val="Hyperlink"/>
          </w:rPr>
          <w:t xml:space="preserve">2016</w:t>
        </w:r>
      </w:hyperlink>
      <w:r>
        <w:t xml:space="preserve">).</w:t>
      </w:r>
    </w:p>
    <w:p>
      <w:pPr>
        <w:pStyle w:val="BodyText"/>
      </w:pPr>
      <w:r>
        <w:rPr>
          <w:i/>
          <w:b/>
        </w:rPr>
        <w:t xml:space="preserve">Why is enrichment planting practice more efficient than</w:t>
      </w:r>
      <w:r>
        <w:rPr>
          <w:i/>
          <w:b/>
        </w:rPr>
        <w:t xml:space="preserve"> </w:t>
      </w:r>
      <w:r>
        <w:rPr>
          <w:i/>
          <w:b/>
        </w:rPr>
        <w:t xml:space="preserve">planting?</w:t>
      </w:r>
    </w:p>
    <w:p>
      <w:pPr>
        <w:pStyle w:val="BodyText"/>
      </w:pPr>
      <w:r>
        <w:t xml:space="preserve">Enrichment planting of temperate trees into boreal areas had a stronger</w:t>
      </w:r>
      <w:r>
        <w:t xml:space="preserve"> </w:t>
      </w:r>
      <w:r>
        <w:t xml:space="preserve">effect on both reducing the transient period and increasing range shift</w:t>
      </w:r>
      <w:r>
        <w:t xml:space="preserve"> </w:t>
      </w:r>
      <w:r>
        <w:t xml:space="preserve">when compared with planting. This is due to three different mechanisms.</w:t>
      </w:r>
      <w:r>
        <w:t xml:space="preserve"> </w:t>
      </w:r>
      <w:r>
        <w:t xml:space="preserve">First, it is related to the prevalence of the different forest states</w:t>
      </w:r>
      <w:r>
        <w:t xml:space="preserve"> </w:t>
      </w:r>
      <w:r>
        <w:t xml:space="preserve">and the dependence of the management scenarios to these values. The</w:t>
      </w:r>
      <w:r>
        <w:t xml:space="preserve"> </w:t>
      </w:r>
      <w:r>
        <w:t xml:space="preserve">intensity of forest management in the model is relative to the state</w:t>
      </w:r>
      <w:r>
        <w:t xml:space="preserve"> </w:t>
      </w:r>
      <w:r>
        <w:t xml:space="preserve">abundance; hence 0.25% of boreal stands being enriched is much higher</w:t>
      </w:r>
      <w:r>
        <w:t xml:space="preserve"> </w:t>
      </w:r>
      <w:r>
        <w:t xml:space="preserve">than 0.25% of regeneration stands being planted. That explains the need</w:t>
      </w:r>
      <w:r>
        <w:t xml:space="preserve"> </w:t>
      </w:r>
      <w:r>
        <w:t xml:space="preserve">to increase planting intensity beyond 0.25% to increase the boreal</w:t>
      </w:r>
      <w:r>
        <w:t xml:space="preserve"> </w:t>
      </w:r>
      <w:r>
        <w:t xml:space="preserve">northward range shift (Figure S4). Second, management practices are not</w:t>
      </w:r>
      <w:r>
        <w:t xml:space="preserve"> </w:t>
      </w:r>
      <w:r>
        <w:t xml:space="preserve">spatially organized. While enrichment planting is necessarily applied on</w:t>
      </w:r>
      <w:r>
        <w:t xml:space="preserve"> </w:t>
      </w:r>
      <w:r>
        <w:t xml:space="preserve">boreal stands, planting is applied in regeneration stands that are</w:t>
      </w:r>
      <w:r>
        <w:t xml:space="preserve"> </w:t>
      </w:r>
      <w:r>
        <w:t xml:space="preserve">distributed across the landscape. The third mechanism is however</w:t>
      </w:r>
      <w:r>
        <w:t xml:space="preserve"> </w:t>
      </w:r>
      <w:r>
        <w:t xml:space="preserve">independent from the design of the management scenarios. The number of</w:t>
      </w:r>
      <w:r>
        <w:t xml:space="preserve"> </w:t>
      </w:r>
      <w:r>
        <w:t xml:space="preserve">transitions to reach the expected state at equilibrium with climate</w:t>
      </w:r>
      <w:r>
        <w:t xml:space="preserve"> </w:t>
      </w:r>
      <w:r>
        <w:t xml:space="preserve">depends on the management practice; enrichment planting needs only one</w:t>
      </w:r>
      <w:r>
        <w:t xml:space="preserve"> </w:t>
      </w:r>
      <w:r>
        <w:t xml:space="preserve">transition (B -&gt; M) while planting temperate species needs</w:t>
      </w:r>
      <w:r>
        <w:t xml:space="preserve"> </w:t>
      </w:r>
      <w:r>
        <w:t xml:space="preserve">two (R -&gt; T -&gt; M). These results suggest that</w:t>
      </w:r>
      <w:r>
        <w:t xml:space="preserve"> </w:t>
      </w:r>
      <w:r>
        <w:t xml:space="preserve">enrichment planting in local gaps has the best potential compared to</w:t>
      </w:r>
      <w:r>
        <w:t xml:space="preserve"> </w:t>
      </w:r>
      <w:r>
        <w:t xml:space="preserve">plantation to assist forest keep pace with climate change. Similarly,</w:t>
      </w:r>
      <w:r>
        <w:t xml:space="preserve"> </w:t>
      </w:r>
      <w:r>
        <w:t xml:space="preserve">tree recruitment of northern temperate forests was more effective in the</w:t>
      </w:r>
      <w:r>
        <w:t xml:space="preserve"> </w:t>
      </w:r>
      <w:r>
        <w:t xml:space="preserve">presence of local canopy gaps compared to recruitment on open areas</w:t>
      </w:r>
      <w:r>
        <w:t xml:space="preserve"> </w:t>
      </w:r>
      <w:r>
        <w:t xml:space="preserve">after clearcut (LePage et al.</w:t>
      </w:r>
      <w:r>
        <w:t xml:space="preserve"> </w:t>
      </w:r>
      <w:hyperlink w:anchor="ref-LePage2000">
        <w:r>
          <w:rPr>
            <w:rStyle w:val="Hyperlink"/>
          </w:rPr>
          <w:t xml:space="preserve">2000</w:t>
        </w:r>
      </w:hyperlink>
      <w:r>
        <w:t xml:space="preserve">).</w:t>
      </w:r>
      <w:r>
        <w:t xml:space="preserve"> </w:t>
      </w:r>
      <w:r>
        <w:t xml:space="preserve">It means enrichment planting in local gaps is expected to be more</w:t>
      </w:r>
      <w:r>
        <w:t xml:space="preserve"> </w:t>
      </w:r>
      <w:r>
        <w:t xml:space="preserve">effective, but this practice alone may not be as effective as expressed</w:t>
      </w:r>
      <w:r>
        <w:t xml:space="preserve"> </w:t>
      </w:r>
      <w:r>
        <w:t xml:space="preserve">here because empty places are needed to perform this practice.</w:t>
      </w:r>
      <w:r>
        <w:t xml:space="preserve"> </w:t>
      </w:r>
      <w:r>
        <w:t xml:space="preserve">Naturally, canopy gaps in mixed forests facilitate the establishment of</w:t>
      </w:r>
      <w:r>
        <w:t xml:space="preserve"> </w:t>
      </w:r>
      <w:r>
        <w:t xml:space="preserve">temperate species (Leithead, Anand, and Silva</w:t>
      </w:r>
      <w:r>
        <w:t xml:space="preserve"> </w:t>
      </w:r>
      <w:hyperlink w:anchor="ref-Leithead2010">
        <w:r>
          <w:rPr>
            <w:rStyle w:val="Hyperlink"/>
          </w:rPr>
          <w:t xml:space="preserve">2010</w:t>
        </w:r>
      </w:hyperlink>
      <w:r>
        <w:t xml:space="preserve">). Therefore, enrichment</w:t>
      </w:r>
      <w:r>
        <w:t xml:space="preserve"> </w:t>
      </w:r>
      <w:r>
        <w:t xml:space="preserve">planting may be more effective when associated with other practices such</w:t>
      </w:r>
      <w:r>
        <w:t xml:space="preserve"> </w:t>
      </w:r>
      <w:r>
        <w:t xml:space="preserve">as thinning.</w:t>
      </w:r>
    </w:p>
    <w:p>
      <w:pPr>
        <w:pStyle w:val="BodyText"/>
      </w:pPr>
      <w:r>
        <w:rPr>
          <w:i/>
          <w:b/>
        </w:rPr>
        <w:t xml:space="preserve">Why does reducing colonization credit increase range shift</w:t>
      </w:r>
      <w:r>
        <w:rPr>
          <w:i/>
          <w:b/>
        </w:rPr>
        <w:t xml:space="preserve"> </w:t>
      </w:r>
      <w:r>
        <w:rPr>
          <w:i/>
          <w:b/>
        </w:rPr>
        <w:t xml:space="preserve">but reducing extinction debt does not?</w:t>
      </w:r>
    </w:p>
    <w:p>
      <w:pPr>
        <w:pStyle w:val="BodyText"/>
      </w:pPr>
      <w:r>
        <w:t xml:space="preserve">Reducing extinction debt by increasing the frequency of disturbance</w:t>
      </w:r>
      <w:r>
        <w:t xml:space="preserve"> </w:t>
      </w:r>
      <w:r>
        <w:t xml:space="preserve">(natural or anthropogenic) is expected to drive range shift by</w:t>
      </w:r>
      <w:r>
        <w:t xml:space="preserve"> </w:t>
      </w:r>
      <w:r>
        <w:t xml:space="preserve">eliminating maladapted species that would persist for a long period, and</w:t>
      </w:r>
      <w:r>
        <w:t xml:space="preserve"> </w:t>
      </w:r>
      <w:r>
        <w:t xml:space="preserve">then create colonization opportunities for advancing species (Renwick</w:t>
      </w:r>
      <w:r>
        <w:t xml:space="preserve"> </w:t>
      </w:r>
      <w:r>
        <w:t xml:space="preserve">and Rocca</w:t>
      </w:r>
      <w:r>
        <w:t xml:space="preserve"> </w:t>
      </w:r>
      <w:hyperlink w:anchor="ref-Renwick2015">
        <w:r>
          <w:rPr>
            <w:rStyle w:val="Hyperlink"/>
          </w:rPr>
          <w:t xml:space="preserve">2015</w:t>
        </w:r>
      </w:hyperlink>
      <w:r>
        <w:t xml:space="preserve">; Kuparinen,</w:t>
      </w:r>
      <w:r>
        <w:t xml:space="preserve"> </w:t>
      </w:r>
      <w:r>
        <w:t xml:space="preserve">Savolainen, and Schurr</w:t>
      </w:r>
      <w:r>
        <w:t xml:space="preserve"> </w:t>
      </w:r>
      <w:hyperlink w:anchor="ref-Kuparinen2010">
        <w:r>
          <w:rPr>
            <w:rStyle w:val="Hyperlink"/>
          </w:rPr>
          <w:t xml:space="preserve">2010</w:t>
        </w:r>
      </w:hyperlink>
      <w:r>
        <w:t xml:space="preserve">). For</w:t>
      </w:r>
      <w:r>
        <w:t xml:space="preserve"> </w:t>
      </w:r>
      <w:r>
        <w:t xml:space="preserve">instance, moderate disturbance has been shown to amplify compositional</w:t>
      </w:r>
      <w:r>
        <w:t xml:space="preserve"> </w:t>
      </w:r>
      <w:r>
        <w:t xml:space="preserve">shift to warm-adapted species in the boreal-temperate ecotone of Quebec</w:t>
      </w:r>
      <w:r>
        <w:t xml:space="preserve"> </w:t>
      </w:r>
      <w:r>
        <w:t xml:space="preserve">(Brice et al.</w:t>
      </w:r>
      <w:r>
        <w:t xml:space="preserve"> </w:t>
      </w:r>
      <w:hyperlink w:anchor="ref-Brice2019">
        <w:r>
          <w:rPr>
            <w:rStyle w:val="Hyperlink"/>
          </w:rPr>
          <w:t xml:space="preserve">2019</w:t>
        </w:r>
      </w:hyperlink>
      <w:r>
        <w:t xml:space="preserve">). Here</w:t>
      </w:r>
      <w:r>
        <w:t xml:space="preserve"> </w:t>
      </w:r>
      <w:r>
        <w:t xml:space="preserve">intensifying disturbance by increasing harvest of boreal stands did not</w:t>
      </w:r>
      <w:r>
        <w:t xml:space="preserve"> </w:t>
      </w:r>
      <w:r>
        <w:t xml:space="preserve">affect the rate of northward range shift after warming temperature. This</w:t>
      </w:r>
      <w:r>
        <w:t xml:space="preserve"> </w:t>
      </w:r>
      <w:r>
        <w:t xml:space="preserve">result corroborates with Vanderwel and Purves</w:t>
      </w:r>
      <w:r>
        <w:t xml:space="preserve"> </w:t>
      </w:r>
      <w:r>
        <w:t xml:space="preserve">(</w:t>
      </w:r>
      <w:hyperlink w:anchor="ref-Vanderwel2014">
        <w:r>
          <w:rPr>
            <w:rStyle w:val="Hyperlink"/>
          </w:rPr>
          <w:t xml:space="preserve">2014</w:t>
        </w:r>
      </w:hyperlink>
      <w:r>
        <w:t xml:space="preserve">) in which harvest of boreal</w:t>
      </w:r>
      <w:r>
        <w:t xml:space="preserve"> </w:t>
      </w:r>
      <w:r>
        <w:t xml:space="preserve">species amplifies transitions to early-successional forest type, but</w:t>
      </w:r>
      <w:r>
        <w:t xml:space="preserve"> </w:t>
      </w:r>
      <w:r>
        <w:t xml:space="preserve">have no effect on the range shift of boreal conifers. Similarly,</w:t>
      </w:r>
      <w:r>
        <w:t xml:space="preserve"> </w:t>
      </w:r>
      <w:r>
        <w:t xml:space="preserve">moderate disturbances increased the probability of transition from mixed</w:t>
      </w:r>
      <w:r>
        <w:t xml:space="preserve"> </w:t>
      </w:r>
      <w:r>
        <w:t xml:space="preserve">to temperate stands, but had a small effect on the transition from</w:t>
      </w:r>
      <w:r>
        <w:t xml:space="preserve"> </w:t>
      </w:r>
      <w:r>
        <w:t xml:space="preserve">boreal to mixed (Brice et al.</w:t>
      </w:r>
      <w:r>
        <w:t xml:space="preserve"> </w:t>
      </w:r>
      <w:hyperlink w:anchor="ref-Brice2020">
        <w:r>
          <w:rPr>
            <w:rStyle w:val="Hyperlink"/>
          </w:rPr>
          <w:t xml:space="preserve">2020</w:t>
        </w:r>
      </w:hyperlink>
      <w:r>
        <w:t xml:space="preserve">).</w:t>
      </w:r>
      <w:r>
        <w:t xml:space="preserve"> </w:t>
      </w:r>
      <w:r>
        <w:t xml:space="preserve">Such lack of effect on range shift when reducing extinction debt may be</w:t>
      </w:r>
      <w:r>
        <w:t xml:space="preserve"> </w:t>
      </w:r>
      <w:r>
        <w:t xml:space="preserve">explained by source-sink dynamics that, despite the increase in the</w:t>
      </w:r>
      <w:r>
        <w:t xml:space="preserve"> </w:t>
      </w:r>
      <w:r>
        <w:t xml:space="preserve">extinction rate of patches due to harvest, increases the likelihood of</w:t>
      </w:r>
      <w:r>
        <w:t xml:space="preserve"> </w:t>
      </w:r>
      <w:r>
        <w:t xml:space="preserve">harvested boreal stands becoming boreal in the future. Furthermore,</w:t>
      </w:r>
      <w:r>
        <w:t xml:space="preserve"> </w:t>
      </w:r>
      <w:r>
        <w:t xml:space="preserve">limited dispersal may contributes to a lack of temperate colonization in</w:t>
      </w:r>
      <w:r>
        <w:t xml:space="preserve"> </w:t>
      </w:r>
      <w:r>
        <w:t xml:space="preserve">harvested patches. The likelihood of harvested patches becoming boreal</w:t>
      </w:r>
      <w:r>
        <w:t xml:space="preserve"> </w:t>
      </w:r>
      <w:r>
        <w:t xml:space="preserve">again may reduce if there is a demographic limit in the persistent</w:t>
      </w:r>
      <w:r>
        <w:t xml:space="preserve"> </w:t>
      </w:r>
      <w:r>
        <w:t xml:space="preserve">boreal species (</w:t>
      </w:r>
      <w:r>
        <w:rPr>
          <w:i/>
        </w:rPr>
        <w:t xml:space="preserve">e.g.</w:t>
      </w:r>
      <w:r>
        <w:t xml:space="preserve"> </w:t>
      </w:r>
      <w:r>
        <w:t xml:space="preserve">physiological responses Reich et al.</w:t>
      </w:r>
      <w:r>
        <w:t xml:space="preserve"> </w:t>
      </w:r>
      <w:r>
        <w:t xml:space="preserve">(</w:t>
      </w:r>
      <w:hyperlink w:anchor="ref-Reich2015">
        <w:r>
          <w:rPr>
            <w:rStyle w:val="Hyperlink"/>
          </w:rPr>
          <w:t xml:space="preserve">2015</w:t>
        </w:r>
      </w:hyperlink>
      <w:r>
        <w:t xml:space="preserve">)), and further intensified if</w:t>
      </w:r>
      <w:r>
        <w:t xml:space="preserve"> </w:t>
      </w:r>
      <w:r>
        <w:t xml:space="preserve">species better adapted to the new climate arrive (</w:t>
      </w:r>
      <w:r>
        <w:rPr>
          <w:i/>
        </w:rPr>
        <w:t xml:space="preserve">e.g.</w:t>
      </w:r>
      <w:r>
        <w:t xml:space="preserve"> </w:t>
      </w:r>
      <w:r>
        <w:t xml:space="preserve">plantation), in which competitive exclusion will eliminate the less</w:t>
      </w:r>
      <w:r>
        <w:t xml:space="preserve"> </w:t>
      </w:r>
      <w:r>
        <w:t xml:space="preserve">adapted species.</w:t>
      </w:r>
    </w:p>
    <w:p>
      <w:pPr>
        <w:pStyle w:val="BodyText"/>
      </w:pPr>
      <w:r>
        <w:rPr>
          <w:i/>
          <w:b/>
        </w:rPr>
        <w:t xml:space="preserve">Thinning increases temperate tree range expansion, but</w:t>
      </w:r>
      <w:r>
        <w:rPr>
          <w:i/>
          <w:b/>
        </w:rPr>
        <w:t xml:space="preserve"> </w:t>
      </w:r>
      <w:r>
        <w:rPr>
          <w:i/>
          <w:b/>
        </w:rPr>
        <w:t xml:space="preserve">does not affect boreal stands</w:t>
      </w:r>
    </w:p>
    <w:p>
      <w:pPr>
        <w:pStyle w:val="BodyText"/>
      </w:pPr>
      <w:r>
        <w:t xml:space="preserve">We explored the hypothesis that selective harvesting of boreal tree</w:t>
      </w:r>
      <w:r>
        <w:t xml:space="preserve"> </w:t>
      </w:r>
      <w:r>
        <w:t xml:space="preserve">species (thinning) on the mixed region would increase the proportion of</w:t>
      </w:r>
      <w:r>
        <w:t xml:space="preserve"> </w:t>
      </w:r>
      <w:r>
        <w:t xml:space="preserve">temperate species, and therefore increase the regional pool to favor the</w:t>
      </w:r>
      <w:r>
        <w:t xml:space="preserve"> </w:t>
      </w:r>
      <w:r>
        <w:t xml:space="preserve">colonization of temperate trees into the boreal region. Thinning indeed</w:t>
      </w:r>
      <w:r>
        <w:t xml:space="preserve"> </w:t>
      </w:r>
      <w:r>
        <w:t xml:space="preserve">increased the proportion of temperate stands in the mixed region,</w:t>
      </w:r>
      <w:r>
        <w:t xml:space="preserve"> </w:t>
      </w:r>
      <w:r>
        <w:t xml:space="preserve">because it helps competitive exclusion. Such expansion of the temperate</w:t>
      </w:r>
      <w:r>
        <w:t xml:space="preserve"> </w:t>
      </w:r>
      <w:r>
        <w:t xml:space="preserve">range limits in response to harvest of boreal species corroborates with</w:t>
      </w:r>
      <w:r>
        <w:t xml:space="preserve"> </w:t>
      </w:r>
      <w:r>
        <w:t xml:space="preserve">literature, where harvest has increased temperate species in the mixed</w:t>
      </w:r>
      <w:r>
        <w:t xml:space="preserve"> </w:t>
      </w:r>
      <w:r>
        <w:t xml:space="preserve">region of Quebec (Boulanger et al.</w:t>
      </w:r>
      <w:r>
        <w:t xml:space="preserve"> </w:t>
      </w:r>
      <w:hyperlink w:anchor="ref-Boulanger2019">
        <w:r>
          <w:rPr>
            <w:rStyle w:val="Hyperlink"/>
          </w:rPr>
          <w:t xml:space="preserve">2019</w:t>
        </w:r>
      </w:hyperlink>
      <w:r>
        <w:t xml:space="preserve">; Brice et al.</w:t>
      </w:r>
      <w:r>
        <w:t xml:space="preserve"> </w:t>
      </w:r>
      <w:hyperlink w:anchor="ref-Brice2020">
        <w:r>
          <w:rPr>
            <w:rStyle w:val="Hyperlink"/>
          </w:rPr>
          <w:t xml:space="preserve">2020</w:t>
        </w:r>
      </w:hyperlink>
      <w:r>
        <w:t xml:space="preserve">). However, thinning did not have</w:t>
      </w:r>
      <w:r>
        <w:t xml:space="preserve"> </w:t>
      </w:r>
      <w:r>
        <w:t xml:space="preserve">any effect on the range limit of boreal stands. In other words,</w:t>
      </w:r>
      <w:r>
        <w:t xml:space="preserve"> </w:t>
      </w:r>
      <w:r>
        <w:t xml:space="preserve">temperate trees did not colonize boreal stands, even with increasing</w:t>
      </w:r>
      <w:r>
        <w:t xml:space="preserve"> </w:t>
      </w:r>
      <w:r>
        <w:t xml:space="preserve">source pools. Such lack of temperate progression onto on the boreal</w:t>
      </w:r>
      <w:r>
        <w:t xml:space="preserve"> </w:t>
      </w:r>
      <w:r>
        <w:t xml:space="preserve">region may be explained by the difficulty of temperate trees to settle</w:t>
      </w:r>
      <w:r>
        <w:t xml:space="preserve"> </w:t>
      </w:r>
      <w:r>
        <w:t xml:space="preserve">in boreal stands due to priority effects and unfavourable substrates</w:t>
      </w:r>
      <w:r>
        <w:t xml:space="preserve"> </w:t>
      </w:r>
      <w:r>
        <w:t xml:space="preserve">(Solarik et al.</w:t>
      </w:r>
      <w:r>
        <w:t xml:space="preserve"> </w:t>
      </w:r>
      <w:hyperlink w:anchor="ref-Solarik2018">
        <w:r>
          <w:rPr>
            <w:rStyle w:val="Hyperlink"/>
          </w:rPr>
          <w:t xml:space="preserve">2018</w:t>
        </w:r>
      </w:hyperlink>
      <w:r>
        <w:t xml:space="preserve">,</w:t>
      </w:r>
      <w:r>
        <w:t xml:space="preserve"> </w:t>
      </w:r>
      <w:hyperlink w:anchor="ref-Solarik2020">
        <w:r>
          <w:rPr>
            <w:rStyle w:val="Hyperlink"/>
          </w:rPr>
          <w:t xml:space="preserve">2020</w:t>
        </w:r>
      </w:hyperlink>
      <w:r>
        <w:t xml:space="preserve">). This effect is included in</w:t>
      </w:r>
      <w:r>
        <w:t xml:space="preserve"> </w:t>
      </w:r>
      <w:r>
        <w:t xml:space="preserve">the model indirectly through the succession (mean</w:t>
      </w:r>
      <w:r>
        <w:t xml:space="preserve"> </w:t>
      </w:r>
      <m:oMath>
        <m:sSub>
          <m:e>
            <m:r>
              <m:t>β</m:t>
            </m:r>
          </m:e>
          <m:sub>
            <m:r>
              <m:t>T</m:t>
            </m:r>
          </m:sub>
        </m:sSub>
      </m:oMath>
      <w:r>
        <w:t xml:space="preserve"> </w:t>
      </w:r>
      <w:r>
        <w:t xml:space="preserve">= 0.62)</w:t>
      </w:r>
      <w:r>
        <w:t xml:space="preserve"> </w:t>
      </w:r>
      <w:r>
        <w:t xml:space="preserve">and colonization (mean</w:t>
      </w:r>
      <w:r>
        <w:t xml:space="preserve"> </w:t>
      </w:r>
      <m:oMath>
        <m:sSub>
          <m:e>
            <m:r>
              <m:t>α</m:t>
            </m:r>
          </m:e>
          <m:sub>
            <m:r>
              <m:t>T</m:t>
            </m:r>
          </m:sub>
        </m:sSub>
      </m:oMath>
      <w:r>
        <w:t xml:space="preserve"> </w:t>
      </w:r>
      <w:r>
        <w:t xml:space="preserve">= 0.99) parameters associated with</w:t>
      </w:r>
      <w:r>
        <w:t xml:space="preserve"> </w:t>
      </w:r>
      <w:r>
        <w:t xml:space="preserve">the temperate stand. This may be the result of plant-soil feedbacks, or</w:t>
      </w:r>
      <w:r>
        <w:t xml:space="preserve"> </w:t>
      </w:r>
      <w:r>
        <w:t xml:space="preserve">the importance of gaps for temperate tree regeneration. For instance,</w:t>
      </w:r>
      <w:r>
        <w:t xml:space="preserve"> </w:t>
      </w:r>
      <w:r>
        <w:t xml:space="preserve">regeneration of temperate species such as red maple and red oak have</w:t>
      </w:r>
      <w:r>
        <w:t xml:space="preserve"> </w:t>
      </w:r>
      <w:r>
        <w:t xml:space="preserve">been shown to be facilitated in gaps, while boreal species showed no</w:t>
      </w:r>
      <w:r>
        <w:t xml:space="preserve"> </w:t>
      </w:r>
      <w:r>
        <w:t xml:space="preserve">difference (Leithead, Anand, and Silva</w:t>
      </w:r>
      <w:r>
        <w:t xml:space="preserve"> </w:t>
      </w:r>
      <w:hyperlink w:anchor="ref-Leithead2010">
        <w:r>
          <w:rPr>
            <w:rStyle w:val="Hyperlink"/>
          </w:rPr>
          <w:t xml:space="preserve">2010</w:t>
        </w:r>
      </w:hyperlink>
      <w:r>
        <w:t xml:space="preserve">).</w:t>
      </w:r>
    </w:p>
    <w:p>
      <w:pPr>
        <w:pStyle w:val="BodyText"/>
      </w:pPr>
      <w:r>
        <w:rPr>
          <w:i/>
          <w:b/>
        </w:rPr>
        <w:t xml:space="preserve">Limitations and future perspectives</w:t>
      </w:r>
    </w:p>
    <w:p>
      <w:pPr>
        <w:pStyle w:val="BodyText"/>
      </w:pPr>
      <w:r>
        <w:t xml:space="preserve">We have argued that plantation and enrichment planting may have the</w:t>
      </w:r>
      <w:r>
        <w:t xml:space="preserve"> </w:t>
      </w:r>
      <w:r>
        <w:t xml:space="preserve">potential to reduce colonization credit and therefore help forests to</w:t>
      </w:r>
      <w:r>
        <w:t xml:space="preserve"> </w:t>
      </w:r>
      <w:r>
        <w:t xml:space="preserve">keep pace with climate change. However, further experiments are</w:t>
      </w:r>
      <w:r>
        <w:t xml:space="preserve"> </w:t>
      </w:r>
      <w:r>
        <w:t xml:space="preserve">necessary as the four simulated practices in our study are an</w:t>
      </w:r>
      <w:r>
        <w:t xml:space="preserve"> </w:t>
      </w:r>
      <w:r>
        <w:t xml:space="preserve">approximation of real management practices. For instance, we simulated</w:t>
      </w:r>
      <w:r>
        <w:t xml:space="preserve"> </w:t>
      </w:r>
      <w:r>
        <w:t xml:space="preserve">thinning as selective logging boreal species in favor of temperate,</w:t>
      </w:r>
      <w:r>
        <w:t xml:space="preserve"> </w:t>
      </w:r>
      <w:r>
        <w:t xml:space="preserve">while in practice, thinning generally focuses on reducing stand density</w:t>
      </w:r>
      <w:r>
        <w:t xml:space="preserve"> </w:t>
      </w:r>
      <w:r>
        <w:t xml:space="preserve">regardless of the species being thinned. Such density reduction is</w:t>
      </w:r>
      <w:r>
        <w:t xml:space="preserve"> </w:t>
      </w:r>
      <w:r>
        <w:t xml:space="preserve">tricky to address with our model because local abundances are not</w:t>
      </w:r>
      <w:r>
        <w:t xml:space="preserve"> </w:t>
      </w:r>
      <w:r>
        <w:t xml:space="preserve">accounted for. There is generally a mismatch between our simulations at</w:t>
      </w:r>
      <w:r>
        <w:t xml:space="preserve"> </w:t>
      </w:r>
      <w:r>
        <w:t xml:space="preserve">the community stand resolution with the management practices that occur</w:t>
      </w:r>
      <w:r>
        <w:t xml:space="preserve"> </w:t>
      </w:r>
      <w:r>
        <w:t xml:space="preserve">at the population level. Aware of that, we call for studies taking</w:t>
      </w:r>
      <w:r>
        <w:t xml:space="preserve"> </w:t>
      </w:r>
      <w:r>
        <w:t xml:space="preserve">account of forest dynamics at several organizational scales to</w:t>
      </w:r>
      <w:r>
        <w:t xml:space="preserve"> </w:t>
      </w:r>
      <w:r>
        <w:t xml:space="preserve">complement our results with the inclusion of more details on local</w:t>
      </w:r>
      <w:r>
        <w:t xml:space="preserve"> </w:t>
      </w:r>
      <w:r>
        <w:t xml:space="preserve">management practices. Demographic models are useful to predict local</w:t>
      </w:r>
      <w:r>
        <w:t xml:space="preserve"> </w:t>
      </w:r>
      <w:r>
        <w:t xml:space="preserve">mechanisms such as species interaction scale up to determining species</w:t>
      </w:r>
      <w:r>
        <w:t xml:space="preserve"> </w:t>
      </w:r>
      <w:r>
        <w:t xml:space="preserve">range limits at the metapopulation level (Ara’ujo and Rozenfeld</w:t>
      </w:r>
      <w:r>
        <w:t xml:space="preserve"> </w:t>
      </w:r>
      <w:hyperlink w:anchor="ref-Araujo2014">
        <w:r>
          <w:rPr>
            <w:rStyle w:val="Hyperlink"/>
          </w:rPr>
          <w:t xml:space="preserve">2013</w:t>
        </w:r>
      </w:hyperlink>
      <w:r>
        <w:t xml:space="preserve">; Normand et al.</w:t>
      </w:r>
      <w:r>
        <w:t xml:space="preserve"> </w:t>
      </w:r>
      <w:hyperlink w:anchor="ref-Normand2014">
        <w:r>
          <w:rPr>
            <w:rStyle w:val="Hyperlink"/>
          </w:rPr>
          <w:t xml:space="preserve">2014</w:t>
        </w:r>
      </w:hyperlink>
      <w:r>
        <w:t xml:space="preserve">). However, these models are</w:t>
      </w:r>
      <w:r>
        <w:t xml:space="preserve"> </w:t>
      </w:r>
      <w:r>
        <w:t xml:space="preserve">limited in the literature when compared with models at the</w:t>
      </w:r>
      <w:r>
        <w:t xml:space="preserve"> </w:t>
      </w:r>
      <w:r>
        <w:t xml:space="preserve">metapopulation level (Hylander and Ehrl’en</w:t>
      </w:r>
      <w:r>
        <w:t xml:space="preserve"> </w:t>
      </w:r>
      <w:hyperlink w:anchor="ref-Hylander2013">
        <w:r>
          <w:rPr>
            <w:rStyle w:val="Hyperlink"/>
          </w:rPr>
          <w:t xml:space="preserve">2013</w:t>
        </w:r>
      </w:hyperlink>
      <w:r>
        <w:t xml:space="preserve">). In our context, demographic</w:t>
      </w:r>
      <w:r>
        <w:t xml:space="preserve"> </w:t>
      </w:r>
      <w:r>
        <w:t xml:space="preserve">models can test the effect of forest management in the growth, mortality</w:t>
      </w:r>
      <w:r>
        <w:t xml:space="preserve"> </w:t>
      </w:r>
      <w:r>
        <w:t xml:space="preserve">and regeneration processes, and a landscape-level model such as ours</w:t>
      </w:r>
      <w:r>
        <w:t xml:space="preserve"> </w:t>
      </w:r>
      <w:r>
        <w:t xml:space="preserve">helps better understanding how the effect of management practices scales</w:t>
      </w:r>
      <w:r>
        <w:t xml:space="preserve"> </w:t>
      </w:r>
      <w:r>
        <w:t xml:space="preserve">up to a larger spatial scale. We should also cautiously interpret the</w:t>
      </w:r>
      <w:r>
        <w:t xml:space="preserve"> </w:t>
      </w:r>
      <w:r>
        <w:t xml:space="preserve">effect of climate change as simulated here. Although it is predicted</w:t>
      </w:r>
      <w:r>
        <w:t xml:space="preserve"> </w:t>
      </w:r>
      <w:r>
        <w:t xml:space="preserve">that drought intensity will increase in the future and may drive how the</w:t>
      </w:r>
      <w:r>
        <w:t xml:space="preserve"> </w:t>
      </w:r>
      <w:r>
        <w:t xml:space="preserve">forest will respond to climate change (Greenwood et al.</w:t>
      </w:r>
      <w:r>
        <w:t xml:space="preserve"> </w:t>
      </w:r>
      <w:hyperlink w:anchor="ref-Greenwood2017">
        <w:r>
          <w:rPr>
            <w:rStyle w:val="Hyperlink"/>
          </w:rPr>
          <w:t xml:space="preserve">2017</w:t>
        </w:r>
      </w:hyperlink>
      <w:r>
        <w:t xml:space="preserve">), we have simulated only</w:t>
      </w:r>
      <w:r>
        <w:t xml:space="preserve"> </w:t>
      </w:r>
      <w:r>
        <w:t xml:space="preserve">warming temperature, while precipitation remained constant. Some studies</w:t>
      </w:r>
      <w:r>
        <w:t xml:space="preserve"> </w:t>
      </w:r>
      <w:r>
        <w:t xml:space="preserve">have shown tree species to be more sensitive to an increase in drought</w:t>
      </w:r>
      <w:r>
        <w:t xml:space="preserve"> </w:t>
      </w:r>
      <w:r>
        <w:t xml:space="preserve">rather than temperature (</w:t>
      </w:r>
      <w:r>
        <w:rPr>
          <w:i/>
        </w:rPr>
        <w:t xml:space="preserve">e.g.</w:t>
      </w:r>
      <w:r>
        <w:t xml:space="preserve"> </w:t>
      </w:r>
      <w:r>
        <w:t xml:space="preserve">white spruce Andalo, Beaulieu, and</w:t>
      </w:r>
      <w:r>
        <w:t xml:space="preserve"> </w:t>
      </w:r>
      <w:r>
        <w:t xml:space="preserve">Bousquet</w:t>
      </w:r>
      <w:r>
        <w:t xml:space="preserve"> </w:t>
      </w:r>
      <w:hyperlink w:anchor="ref-Andalo2005">
        <w:r>
          <w:rPr>
            <w:rStyle w:val="Hyperlink"/>
          </w:rPr>
          <w:t xml:space="preserve">2005</w:t>
        </w:r>
      </w:hyperlink>
      <w:r>
        <w:t xml:space="preserve">). Drought is, however,</w:t>
      </w:r>
      <w:r>
        <w:t xml:space="preserve"> </w:t>
      </w:r>
      <w:r>
        <w:t xml:space="preserve">more a pulse disturbance (or shock) and should be investigated fully</w:t>
      </w:r>
      <w:r>
        <w:t xml:space="preserve"> </w:t>
      </w:r>
      <w:r>
        <w:t xml:space="preserve">with different frequencies and intensities. The present study rather</w:t>
      </w:r>
      <w:r>
        <w:t xml:space="preserve"> </w:t>
      </w:r>
      <w:r>
        <w:t xml:space="preserve">shows how communities could adapt to a continuous change in the</w:t>
      </w:r>
      <w:r>
        <w:t xml:space="preserve"> </w:t>
      </w:r>
      <w:r>
        <w:t xml:space="preserve">environment and how management could help.</w:t>
      </w:r>
    </w:p>
    <w:p>
      <w:pPr>
        <w:pStyle w:val="BodyText"/>
      </w:pPr>
      <w:r>
        <w:t xml:space="preserve">We have demonstrated here that management practices could help forest</w:t>
      </w:r>
      <w:r>
        <w:t xml:space="preserve"> </w:t>
      </w:r>
      <w:r>
        <w:t xml:space="preserve">communities to cope with a fast change in climate along latitude.</w:t>
      </w:r>
      <w:r>
        <w:t xml:space="preserve"> </w:t>
      </w:r>
      <w:r>
        <w:t xml:space="preserve">However, we can expect that the spatial distribution of different</w:t>
      </w:r>
      <w:r>
        <w:t xml:space="preserve"> </w:t>
      </w:r>
      <w:r>
        <w:t xml:space="preserve">practices would interact and change the final outcomes. For instance,</w:t>
      </w:r>
      <w:r>
        <w:t xml:space="preserve"> </w:t>
      </w:r>
      <w:r>
        <w:t xml:space="preserve">creating gaps with a selective harvest of boreal stands nearby the mixed</w:t>
      </w:r>
      <w:r>
        <w:t xml:space="preserve"> </w:t>
      </w:r>
      <w:r>
        <w:t xml:space="preserve">distribution or the temperate tree plantations may create a synergy.</w:t>
      </w:r>
      <w:r>
        <w:t xml:space="preserve"> </w:t>
      </w:r>
      <w:r>
        <w:t xml:space="preserve">Furthermore, we have simulated here the effect of four management</w:t>
      </w:r>
      <w:r>
        <w:t xml:space="preserve"> </w:t>
      </w:r>
      <w:r>
        <w:t xml:space="preserve">practices alone, while the interaction between them may have an even</w:t>
      </w:r>
      <w:r>
        <w:t xml:space="preserve"> </w:t>
      </w:r>
      <w:r>
        <w:t xml:space="preserve">greater effect. Our simulations show no effect of plantation and harvest</w:t>
      </w:r>
      <w:r>
        <w:t xml:space="preserve"> </w:t>
      </w:r>
      <w:r>
        <w:t xml:space="preserve">on the northward range shift of the boreal-temperate ecotone at a short</w:t>
      </w:r>
      <w:r>
        <w:t xml:space="preserve"> </w:t>
      </w:r>
      <w:r>
        <w:t xml:space="preserve">time scale of 150 years (figure</w:t>
      </w:r>
      <w:r>
        <w:t xml:space="preserve"> </w:t>
      </w:r>
      <w:hyperlink w:anchor="fig:sim-result">
        <w:r>
          <w:rPr>
            <w:rStyle w:val="Hyperlink"/>
          </w:rPr>
          <w:t xml:space="preserve">5</w:t>
        </w:r>
      </w:hyperlink>
      <w:r>
        <w:t xml:space="preserve">). However, planting</w:t>
      </w:r>
      <w:r>
        <w:t xml:space="preserve"> </w:t>
      </w:r>
      <w:r>
        <w:t xml:space="preserve">temperate trees after harvesting boreal stands may overcome the</w:t>
      </w:r>
      <w:r>
        <w:t xml:space="preserve"> </w:t>
      </w:r>
      <w:r>
        <w:t xml:space="preserve">limitations of these two practices when applied individually, and</w:t>
      </w:r>
      <w:r>
        <w:t xml:space="preserve"> </w:t>
      </w:r>
      <w:r>
        <w:t xml:space="preserve">therefore increase the northward range shift. Interacting management</w:t>
      </w:r>
      <w:r>
        <w:t xml:space="preserve"> </w:t>
      </w:r>
      <w:r>
        <w:t xml:space="preserve">practices such as harvest and plantation, and applying these practices</w:t>
      </w:r>
      <w:r>
        <w:t xml:space="preserve"> </w:t>
      </w:r>
      <w:r>
        <w:t xml:space="preserve">in particular locations may increase the potential of forest management</w:t>
      </w:r>
      <w:r>
        <w:t xml:space="preserve"> </w:t>
      </w:r>
      <w:r>
        <w:t xml:space="preserve">to help forest keep pace with climate change. We propose future studies</w:t>
      </w:r>
      <w:r>
        <w:t xml:space="preserve"> </w:t>
      </w:r>
      <w:r>
        <w:t xml:space="preserve">should focus on the interaction between the management practices, and</w:t>
      </w:r>
      <w:r>
        <w:t xml:space="preserve"> </w:t>
      </w:r>
      <w:r>
        <w:t xml:space="preserve">how the spatial distribution of these practices alter the shift in tree</w:t>
      </w:r>
      <w:r>
        <w:t xml:space="preserve"> </w:t>
      </w:r>
      <w:r>
        <w:t xml:space="preserve">range limit.</w:t>
      </w:r>
    </w:p>
    <w:p>
      <w:pPr>
        <w:pStyle w:val="Heading1"/>
      </w:pPr>
      <w:bookmarkStart w:id="67" w:name="references"/>
      <w:r>
        <w:t xml:space="preserve">References</w:t>
      </w:r>
      <w:bookmarkEnd w:id="67"/>
    </w:p>
    <w:bookmarkStart w:id="68" w:name="refs"/>
    <w:bookmarkEnd w:id="68"/>
    <w:p>
      <w:pPr>
        <w:pStyle w:val="FirstParagraph"/>
      </w:pPr>
      <w:bookmarkStart w:id="69" w:name="ref-Aitken2008"/>
      <w:bookmarkEnd w:id="69"/>
      <w:r>
        <w:t xml:space="preserve"> </w:t>
      </w:r>
      <w:r>
        <w:t xml:space="preserve">Aitken, Sally N., Sam Yeaman, Jason A. Holliday, Tongli Wang, and Sierra</w:t>
      </w:r>
      <w:r>
        <w:t xml:space="preserve"> </w:t>
      </w:r>
      <w:r>
        <w:t xml:space="preserve">Curtis-McLane. 2008.</w:t>
      </w:r>
      <w:r>
        <w:t xml:space="preserve"> </w:t>
      </w:r>
      <w:r>
        <w:t xml:space="preserve">“</w:t>
      </w:r>
      <w:r>
        <w:t xml:space="preserve">Adaptation, migration or extirpation: climate</w:t>
      </w:r>
      <w:r>
        <w:t xml:space="preserve"> </w:t>
      </w:r>
      <w:r>
        <w:t xml:space="preserve">change outcomes for tree populations.</w:t>
      </w:r>
      <w:r>
        <w:t xml:space="preserve">”</w:t>
      </w:r>
      <w:r>
        <w:t xml:space="preserve"> </w:t>
      </w:r>
      <w:r>
        <w:rPr>
          <w:i/>
        </w:rPr>
        <w:t xml:space="preserve">Evolutionary Applications</w:t>
      </w:r>
      <w:r>
        <w:t xml:space="preserve"> </w:t>
      </w:r>
      <w:r>
        <w:t xml:space="preserve">1 (1): 95–111.</w:t>
      </w:r>
      <w:r>
        <w:t xml:space="preserve"> </w:t>
      </w:r>
      <w:hyperlink r:id="rId70">
        <w:r>
          <w:rPr>
            <w:rStyle w:val="Hyperlink"/>
          </w:rPr>
          <w:t xml:space="preserve">https://doi.org/10.1111/j.1752-4571.2007.00013.x</w:t>
        </w:r>
      </w:hyperlink>
      <w:r>
        <w:t xml:space="preserve">.</w:t>
      </w:r>
    </w:p>
    <w:p>
      <w:pPr>
        <w:pStyle w:val="BodyText"/>
      </w:pPr>
      <w:bookmarkStart w:id="71" w:name="ref-Ameztegui2018"/>
      <w:bookmarkEnd w:id="71"/>
      <w:r>
        <w:t xml:space="preserve"> </w:t>
      </w:r>
      <w:r>
        <w:t xml:space="preserve">Ameztegui, Aitor, Kevin A. Solarik, John R. Parkins, Daniel Houle,</w:t>
      </w:r>
      <w:r>
        <w:t xml:space="preserve"> </w:t>
      </w:r>
      <w:r>
        <w:t xml:space="preserve">Christian Messier, and Dominique Gravel. 2018.</w:t>
      </w:r>
      <w:r>
        <w:t xml:space="preserve"> </w:t>
      </w:r>
      <w:r>
        <w:t xml:space="preserve">“</w:t>
      </w:r>
      <w:r>
        <w:t xml:space="preserve">Perceptions of climate</w:t>
      </w:r>
      <w:r>
        <w:t xml:space="preserve"> </w:t>
      </w:r>
      <w:r>
        <w:t xml:space="preserve">change across the Canadian forest sector: The key factors of</w:t>
      </w:r>
      <w:r>
        <w:t xml:space="preserve"> </w:t>
      </w:r>
      <w:r>
        <w:t xml:space="preserve">institutional and geographical environment.</w:t>
      </w:r>
      <w:r>
        <w:t xml:space="preserve">”</w:t>
      </w:r>
      <w:r>
        <w:t xml:space="preserve"> </w:t>
      </w:r>
      <w:r>
        <w:rPr>
          <w:i/>
        </w:rPr>
        <w:t xml:space="preserve">PLoS ONE</w:t>
      </w:r>
      <w:r>
        <w:t xml:space="preserve"> </w:t>
      </w:r>
      <w:r>
        <w:t xml:space="preserve">13 (6):</w:t>
      </w:r>
      <w:r>
        <w:t xml:space="preserve"> </w:t>
      </w:r>
      <w:r>
        <w:t xml:space="preserve">1–18.</w:t>
      </w:r>
      <w:r>
        <w:t xml:space="preserve"> </w:t>
      </w:r>
      <w:hyperlink r:id="rId72">
        <w:r>
          <w:rPr>
            <w:rStyle w:val="Hyperlink"/>
          </w:rPr>
          <w:t xml:space="preserve">https://doi.org/10.1371/journal.pone.0197689</w:t>
        </w:r>
      </w:hyperlink>
      <w:r>
        <w:t xml:space="preserve">.</w:t>
      </w:r>
    </w:p>
    <w:p>
      <w:pPr>
        <w:pStyle w:val="BodyText"/>
      </w:pPr>
      <w:bookmarkStart w:id="73" w:name="ref-Andalo2005"/>
      <w:bookmarkEnd w:id="73"/>
      <w:r>
        <w:t xml:space="preserve"> </w:t>
      </w:r>
      <w:r>
        <w:t xml:space="preserve">Andalo, Christophe, Jean Beaulieu, and Jean Bousquet. 2005.</w:t>
      </w:r>
      <w:r>
        <w:t xml:space="preserve"> </w:t>
      </w:r>
      <w:r>
        <w:t xml:space="preserve">“</w:t>
      </w:r>
      <w:r>
        <w:t xml:space="preserve">The impact</w:t>
      </w:r>
      <w:r>
        <w:t xml:space="preserve"> </w:t>
      </w:r>
      <w:r>
        <w:t xml:space="preserve">of climate change on growth of local white spruce populations in Québec,</w:t>
      </w:r>
      <w:r>
        <w:t xml:space="preserve"> </w:t>
      </w:r>
      <w:r>
        <w:t xml:space="preserve">Canada.</w:t>
      </w:r>
      <w:r>
        <w:t xml:space="preserve">”</w:t>
      </w:r>
      <w:r>
        <w:t xml:space="preserve"> </w:t>
      </w:r>
      <w:r>
        <w:rPr>
          <w:i/>
        </w:rPr>
        <w:t xml:space="preserve">Forest Ecology and Management</w:t>
      </w:r>
      <w:r>
        <w:t xml:space="preserve"> </w:t>
      </w:r>
      <w:r>
        <w:t xml:space="preserve">205 (1-3): 169–82.</w:t>
      </w:r>
      <w:r>
        <w:t xml:space="preserve"> </w:t>
      </w:r>
      <w:hyperlink r:id="rId74">
        <w:r>
          <w:rPr>
            <w:rStyle w:val="Hyperlink"/>
          </w:rPr>
          <w:t xml:space="preserve">https://doi.org/10.1016/j.foreco.2004.10.045</w:t>
        </w:r>
      </w:hyperlink>
      <w:r>
        <w:t xml:space="preserve">.</w:t>
      </w:r>
    </w:p>
    <w:p>
      <w:pPr>
        <w:pStyle w:val="BodyText"/>
      </w:pPr>
      <w:bookmarkStart w:id="75" w:name="ref-Araujo2014"/>
      <w:bookmarkEnd w:id="75"/>
      <w:r>
        <w:t xml:space="preserve"> </w:t>
      </w:r>
      <w:r>
        <w:t xml:space="preserve">Ara’ujo, Miguel B., and Alejandro Rozenfeld. 2013.</w:t>
      </w:r>
      <w:r>
        <w:t xml:space="preserve"> </w:t>
      </w:r>
      <w:r>
        <w:t xml:space="preserve">“</w:t>
      </w:r>
      <w:r>
        <w:t xml:space="preserve">The geographic</w:t>
      </w:r>
      <w:r>
        <w:t xml:space="preserve"> </w:t>
      </w:r>
      <w:r>
        <w:t xml:space="preserve">scaling of biotic interactions.</w:t>
      </w:r>
      <w:r>
        <w:t xml:space="preserve">”</w:t>
      </w:r>
      <w:r>
        <w:t xml:space="preserve"> </w:t>
      </w:r>
      <w:r>
        <w:rPr>
          <w:i/>
        </w:rPr>
        <w:t xml:space="preserve">Ecography</w:t>
      </w:r>
      <w:r>
        <w:t xml:space="preserve"> </w:t>
      </w:r>
      <w:r>
        <w:t xml:space="preserve">37 (5): no–no.</w:t>
      </w:r>
      <w:r>
        <w:t xml:space="preserve"> </w:t>
      </w:r>
      <w:hyperlink r:id="rId76">
        <w:r>
          <w:rPr>
            <w:rStyle w:val="Hyperlink"/>
          </w:rPr>
          <w:t xml:space="preserve">https://doi.org/10.1111/j.1600-0587.2013.00643.x</w:t>
        </w:r>
      </w:hyperlink>
      <w:r>
        <w:t xml:space="preserve">.</w:t>
      </w:r>
    </w:p>
    <w:p>
      <w:pPr>
        <w:pStyle w:val="BodyText"/>
      </w:pPr>
      <w:bookmarkStart w:id="77" w:name="ref-Arnoldi2016"/>
      <w:bookmarkEnd w:id="77"/>
      <w:r>
        <w:t xml:space="preserve"> </w:t>
      </w:r>
      <w:r>
        <w:t xml:space="preserve">Arnoldi, J. F., M. Loreau, and B. Haegeman. 2016.</w:t>
      </w:r>
      <w:r>
        <w:t xml:space="preserve"> </w:t>
      </w:r>
      <w:r>
        <w:t xml:space="preserve">“</w:t>
      </w:r>
      <w:r>
        <w:t xml:space="preserve">Resilience,</w:t>
      </w:r>
      <w:r>
        <w:t xml:space="preserve"> </w:t>
      </w:r>
      <w:r>
        <w:t xml:space="preserve">reactivity and variability: A mathematical comparison of ecological</w:t>
      </w:r>
      <w:r>
        <w:t xml:space="preserve"> </w:t>
      </w:r>
      <w:r>
        <w:t xml:space="preserve">stability measures.</w:t>
      </w:r>
      <w:r>
        <w:t xml:space="preserve">”</w:t>
      </w:r>
      <w:r>
        <w:t xml:space="preserve"> </w:t>
      </w:r>
      <w:r>
        <w:rPr>
          <w:i/>
        </w:rPr>
        <w:t xml:space="preserve">Journal of Theoretical Biology</w:t>
      </w:r>
      <w:r>
        <w:t xml:space="preserve"> </w:t>
      </w:r>
      <w:r>
        <w:t xml:space="preserve">389: 47–59.</w:t>
      </w:r>
      <w:r>
        <w:t xml:space="preserve"> </w:t>
      </w:r>
      <w:hyperlink r:id="rId78">
        <w:r>
          <w:rPr>
            <w:rStyle w:val="Hyperlink"/>
          </w:rPr>
          <w:t xml:space="preserve">https://doi.org/10.1016/j.jtbi.2015.10.012</w:t>
        </w:r>
      </w:hyperlink>
      <w:r>
        <w:t xml:space="preserve">.</w:t>
      </w:r>
    </w:p>
    <w:p>
      <w:pPr>
        <w:pStyle w:val="BodyText"/>
      </w:pPr>
      <w:bookmarkStart w:id="79" w:name="ref-Becknell2015"/>
      <w:bookmarkEnd w:id="79"/>
      <w:r>
        <w:t xml:space="preserve"> </w:t>
      </w:r>
      <w:r>
        <w:t xml:space="preserve">Becknell, J M, a R Desai, M C Dietze, C a Schultz, G Starr, P a Duffy, J</w:t>
      </w:r>
      <w:r>
        <w:t xml:space="preserve"> </w:t>
      </w:r>
      <w:r>
        <w:t xml:space="preserve">F Franklin, et al. 2015.</w:t>
      </w:r>
      <w:r>
        <w:t xml:space="preserve"> </w:t>
      </w:r>
      <w:r>
        <w:t xml:space="preserve">“</w:t>
      </w:r>
      <w:r>
        <w:t xml:space="preserve">Assessing Interactions Among Changing</w:t>
      </w:r>
      <w:r>
        <w:t xml:space="preserve"> </w:t>
      </w:r>
      <w:r>
        <w:t xml:space="preserve">Climate, Management, and Disturbance in Forests: A Macrosystems</w:t>
      </w:r>
      <w:r>
        <w:t xml:space="preserve"> </w:t>
      </w:r>
      <w:r>
        <w:t xml:space="preserve">Approach.</w:t>
      </w:r>
      <w:r>
        <w:t xml:space="preserve">”</w:t>
      </w:r>
      <w:r>
        <w:t xml:space="preserve"> </w:t>
      </w:r>
      <w:r>
        <w:rPr>
          <w:i/>
        </w:rPr>
        <w:t xml:space="preserve">BioScience</w:t>
      </w:r>
      <w:r>
        <w:t xml:space="preserve"> </w:t>
      </w:r>
      <w:r>
        <w:t xml:space="preserve">65 (3): 263–74.</w:t>
      </w:r>
      <w:r>
        <w:t xml:space="preserve"> </w:t>
      </w:r>
      <w:hyperlink r:id="rId80">
        <w:r>
          <w:rPr>
            <w:rStyle w:val="Hyperlink"/>
          </w:rPr>
          <w:t xml:space="preserve">https://doi.org/10.1093/biosci/biu234</w:t>
        </w:r>
      </w:hyperlink>
      <w:r>
        <w:t xml:space="preserve">.</w:t>
      </w:r>
    </w:p>
    <w:p>
      <w:pPr>
        <w:pStyle w:val="BodyText"/>
      </w:pPr>
      <w:bookmarkStart w:id="81" w:name="ref-Bianchi2018"/>
      <w:bookmarkEnd w:id="81"/>
      <w:r>
        <w:t xml:space="preserve"> </w:t>
      </w:r>
      <w:r>
        <w:t xml:space="preserve">Bianchi, Simone, Sophie Hale, Christine Cahalan, Catia Arcangeli, and</w:t>
      </w:r>
      <w:r>
        <w:t xml:space="preserve"> </w:t>
      </w:r>
      <w:r>
        <w:t xml:space="preserve">James Gibbons. 2018.</w:t>
      </w:r>
      <w:r>
        <w:t xml:space="preserve"> </w:t>
      </w:r>
      <w:r>
        <w:t xml:space="preserve">“</w:t>
      </w:r>
      <w:r>
        <w:t xml:space="preserve">Light-growth responses of Sitka spruce, Douglas</w:t>
      </w:r>
      <w:r>
        <w:t xml:space="preserve"> </w:t>
      </w:r>
      <w:r>
        <w:t xml:space="preserve">fir and western hemlock regeneration under continuous cover forestry.</w:t>
      </w:r>
      <w:r>
        <w:t xml:space="preserve">”</w:t>
      </w:r>
      <w:r>
        <w:t xml:space="preserve"> </w:t>
      </w:r>
      <w:r>
        <w:rPr>
          <w:i/>
        </w:rPr>
        <w:t xml:space="preserve">Forest Ecology and Management</w:t>
      </w:r>
      <w:r>
        <w:t xml:space="preserve"> </w:t>
      </w:r>
      <w:r>
        <w:t xml:space="preserve">422 (February): 241–52.</w:t>
      </w:r>
      <w:r>
        <w:t xml:space="preserve"> </w:t>
      </w:r>
      <w:hyperlink r:id="rId82">
        <w:r>
          <w:rPr>
            <w:rStyle w:val="Hyperlink"/>
          </w:rPr>
          <w:t xml:space="preserve">https://doi.org/10.1016/j.foreco.2018.04.027</w:t>
        </w:r>
      </w:hyperlink>
      <w:r>
        <w:t xml:space="preserve">.</w:t>
      </w:r>
    </w:p>
    <w:p>
      <w:pPr>
        <w:pStyle w:val="BodyText"/>
      </w:pPr>
      <w:bookmarkStart w:id="83" w:name="ref-Boulangeat2018"/>
      <w:bookmarkEnd w:id="83"/>
      <w:r>
        <w:t xml:space="preserve"> </w:t>
      </w:r>
      <w:r>
        <w:t xml:space="preserve">Boulangeat, Isabelle, Jens Christian Svenning, Tanguy Daufresne, Mathieu</w:t>
      </w:r>
      <w:r>
        <w:t xml:space="preserve"> </w:t>
      </w:r>
      <w:r>
        <w:t xml:space="preserve">Leblond, and Dominique Gravel. 2018.</w:t>
      </w:r>
      <w:r>
        <w:t xml:space="preserve"> </w:t>
      </w:r>
      <w:r>
        <w:t xml:space="preserve">“</w:t>
      </w:r>
      <w:r>
        <w:t xml:space="preserve">The transient response of</w:t>
      </w:r>
      <w:r>
        <w:t xml:space="preserve"> </w:t>
      </w:r>
      <w:r>
        <w:t xml:space="preserve">ecosystems to climate change is amplified by trophic interactions.</w:t>
      </w:r>
      <w:r>
        <w:t xml:space="preserve">”</w:t>
      </w:r>
      <w:r>
        <w:t xml:space="preserve"> </w:t>
      </w:r>
      <w:r>
        <w:rPr>
          <w:i/>
        </w:rPr>
        <w:t xml:space="preserve">Oikos</w:t>
      </w:r>
      <w:r>
        <w:t xml:space="preserve">, 1–12.</w:t>
      </w:r>
      <w:r>
        <w:t xml:space="preserve"> </w:t>
      </w:r>
      <w:hyperlink r:id="rId84">
        <w:r>
          <w:rPr>
            <w:rStyle w:val="Hyperlink"/>
          </w:rPr>
          <w:t xml:space="preserve">https://doi.org/10.1111/oik.05052</w:t>
        </w:r>
      </w:hyperlink>
      <w:r>
        <w:t xml:space="preserve">.</w:t>
      </w:r>
    </w:p>
    <w:p>
      <w:pPr>
        <w:pStyle w:val="BodyText"/>
      </w:pPr>
      <w:bookmarkStart w:id="85" w:name="ref-Boulanger2019"/>
      <w:bookmarkEnd w:id="85"/>
      <w:r>
        <w:t xml:space="preserve"> </w:t>
      </w:r>
      <w:r>
        <w:t xml:space="preserve">Boulanger, Yan, Dominique Arseneault, Yan Boucher, Sylvie Gauthier,</w:t>
      </w:r>
      <w:r>
        <w:t xml:space="preserve"> </w:t>
      </w:r>
      <w:r>
        <w:t xml:space="preserve">Dominic Cyr, Anthony R. Taylor, David T. Price, and S’ebastien Dupuis.</w:t>
      </w:r>
      <w:r>
        <w:t xml:space="preserve"> </w:t>
      </w:r>
      <w:r>
        <w:t xml:space="preserve">2019.</w:t>
      </w:r>
      <w:r>
        <w:t xml:space="preserve"> </w:t>
      </w:r>
      <w:r>
        <w:t xml:space="preserve">“</w:t>
      </w:r>
      <w:r>
        <w:t xml:space="preserve">Climate change will affect the ability of forest management to</w:t>
      </w:r>
      <w:r>
        <w:t xml:space="preserve"> </w:t>
      </w:r>
      <w:r>
        <w:t xml:space="preserve">reduce gaps between current and presettlement forest composition in</w:t>
      </w:r>
      <w:r>
        <w:t xml:space="preserve"> </w:t>
      </w:r>
      <w:r>
        <w:t xml:space="preserve">southeastern Canada.</w:t>
      </w:r>
      <w:r>
        <w:t xml:space="preserve">”</w:t>
      </w:r>
      <w:r>
        <w:t xml:space="preserve"> </w:t>
      </w:r>
      <w:r>
        <w:rPr>
          <w:i/>
        </w:rPr>
        <w:t xml:space="preserve">Landscape Ecology</w:t>
      </w:r>
      <w:r>
        <w:t xml:space="preserve"> </w:t>
      </w:r>
      <w:r>
        <w:t xml:space="preserve">34 (1): 159–74.</w:t>
      </w:r>
      <w:r>
        <w:t xml:space="preserve"> </w:t>
      </w:r>
      <w:hyperlink r:id="rId86">
        <w:r>
          <w:rPr>
            <w:rStyle w:val="Hyperlink"/>
          </w:rPr>
          <w:t xml:space="preserve">https://doi.org/10.1007/s10980-018-0761-6</w:t>
        </w:r>
      </w:hyperlink>
      <w:r>
        <w:t xml:space="preserve">.</w:t>
      </w:r>
    </w:p>
    <w:p>
      <w:pPr>
        <w:pStyle w:val="BodyText"/>
      </w:pPr>
      <w:bookmarkStart w:id="87" w:name="ref-Brice2019"/>
      <w:bookmarkEnd w:id="87"/>
      <w:r>
        <w:t xml:space="preserve"> </w:t>
      </w:r>
      <w:r>
        <w:t xml:space="preserve">Brice, Marie-H’el‘ene, Kevin Cazelles, Pierre Legendre, and</w:t>
      </w:r>
      <w:r>
        <w:t xml:space="preserve"> </w:t>
      </w:r>
      <w:r>
        <w:t xml:space="preserve">Marie-Jos’ee Fortin. 2019.</w:t>
      </w:r>
      <w:r>
        <w:t xml:space="preserve"> </w:t>
      </w:r>
      <w:r>
        <w:t xml:space="preserve">“</w:t>
      </w:r>
      <w:r>
        <w:t xml:space="preserve">Disturbances amplify tree community</w:t>
      </w:r>
      <w:r>
        <w:t xml:space="preserve"> </w:t>
      </w:r>
      <w:r>
        <w:t xml:space="preserve">responses to climate change in the temperate–boreal ecotone.</w:t>
      </w:r>
      <w:r>
        <w:t xml:space="preserve">”</w:t>
      </w:r>
      <w:r>
        <w:t xml:space="preserve"> </w:t>
      </w:r>
      <w:r>
        <w:rPr>
          <w:i/>
        </w:rPr>
        <w:t xml:space="preserve">Global Ecology and Biogeography</w:t>
      </w:r>
      <w:r>
        <w:t xml:space="preserve"> </w:t>
      </w:r>
      <w:r>
        <w:t xml:space="preserve">28 (11): 1668–81.</w:t>
      </w:r>
      <w:r>
        <w:t xml:space="preserve"> </w:t>
      </w:r>
      <w:hyperlink r:id="rId88">
        <w:r>
          <w:rPr>
            <w:rStyle w:val="Hyperlink"/>
          </w:rPr>
          <w:t xml:space="preserve">https://doi.org/10.1111/geb.12971</w:t>
        </w:r>
      </w:hyperlink>
      <w:r>
        <w:t xml:space="preserve">.</w:t>
      </w:r>
    </w:p>
    <w:p>
      <w:pPr>
        <w:pStyle w:val="BodyText"/>
      </w:pPr>
      <w:bookmarkStart w:id="89" w:name="ref-Brice2020"/>
      <w:bookmarkEnd w:id="89"/>
      <w:r>
        <w:t xml:space="preserve"> </w:t>
      </w:r>
      <w:r>
        <w:t xml:space="preserve">Brice, Marie-H’el‘ene, Steve Vissault, Willian Vieira, Dominique</w:t>
      </w:r>
      <w:r>
        <w:t xml:space="preserve"> </w:t>
      </w:r>
      <w:r>
        <w:t xml:space="preserve">Gravel, Pierre Legendre, and Marie-Jos’ee Fortin. 2020.</w:t>
      </w:r>
      <w:r>
        <w:t xml:space="preserve"> </w:t>
      </w:r>
      <w:r>
        <w:t xml:space="preserve">“</w:t>
      </w:r>
      <w:r>
        <w:t xml:space="preserve">Moderate</w:t>
      </w:r>
      <w:r>
        <w:t xml:space="preserve"> </w:t>
      </w:r>
      <w:r>
        <w:t xml:space="preserve">disturbances accelerate forest transition dynamics under climate change</w:t>
      </w:r>
      <w:r>
        <w:t xml:space="preserve"> </w:t>
      </w:r>
      <w:r>
        <w:t xml:space="preserve">in the temperate–boreal ecotone of eastern North America.</w:t>
      </w:r>
      <w:r>
        <w:t xml:space="preserve">”</w:t>
      </w:r>
      <w:r>
        <w:t xml:space="preserve"> </w:t>
      </w:r>
      <w:r>
        <w:rPr>
          <w:i/>
        </w:rPr>
        <w:t xml:space="preserve">Global Change Biology</w:t>
      </w:r>
      <w:r>
        <w:t xml:space="preserve">, June, gcb.15143.</w:t>
      </w:r>
      <w:r>
        <w:t xml:space="preserve"> </w:t>
      </w:r>
      <w:hyperlink r:id="rId90">
        <w:r>
          <w:rPr>
            <w:rStyle w:val="Hyperlink"/>
          </w:rPr>
          <w:t xml:space="preserve">https://doi.org/10.1111/gcb.15143</w:t>
        </w:r>
      </w:hyperlink>
      <w:r>
        <w:t xml:space="preserve">.</w:t>
      </w:r>
    </w:p>
    <w:p>
      <w:pPr>
        <w:pStyle w:val="BodyText"/>
      </w:pPr>
      <w:bookmarkStart w:id="91" w:name="ref-Butterfield2019"/>
      <w:bookmarkEnd w:id="91"/>
      <w:r>
        <w:t xml:space="preserve"> </w:t>
      </w:r>
      <w:r>
        <w:t xml:space="preserve">Butterfield, Bradley J., Camille A. Holmgren, R. Scott Anderson, and</w:t>
      </w:r>
      <w:r>
        <w:t xml:space="preserve"> </w:t>
      </w:r>
      <w:r>
        <w:t xml:space="preserve">Julio L. Betancourt. 2019.</w:t>
      </w:r>
      <w:r>
        <w:t xml:space="preserve"> </w:t>
      </w:r>
      <w:r>
        <w:t xml:space="preserve">“</w:t>
      </w:r>
      <w:r>
        <w:t xml:space="preserve">Life history traits predict colonization</w:t>
      </w:r>
      <w:r>
        <w:t xml:space="preserve"> </w:t>
      </w:r>
      <w:r>
        <w:t xml:space="preserve">and extinction lags of desert plant species since the Last Glacial</w:t>
      </w:r>
      <w:r>
        <w:t xml:space="preserve"> </w:t>
      </w:r>
      <w:r>
        <w:t xml:space="preserve">Maximum.</w:t>
      </w:r>
      <w:r>
        <w:t xml:space="preserve">”</w:t>
      </w:r>
      <w:r>
        <w:t xml:space="preserve"> </w:t>
      </w:r>
      <w:r>
        <w:rPr>
          <w:i/>
        </w:rPr>
        <w:t xml:space="preserve">Ecology</w:t>
      </w:r>
      <w:r>
        <w:t xml:space="preserve"> </w:t>
      </w:r>
      <w:r>
        <w:t xml:space="preserve">100 (10): ecy.2817.</w:t>
      </w:r>
      <w:r>
        <w:t xml:space="preserve"> </w:t>
      </w:r>
      <w:hyperlink r:id="rId92">
        <w:r>
          <w:rPr>
            <w:rStyle w:val="Hyperlink"/>
          </w:rPr>
          <w:t xml:space="preserve">https://doi.org/10.1002/ecy.2817</w:t>
        </w:r>
      </w:hyperlink>
      <w:r>
        <w:t xml:space="preserve">.</w:t>
      </w:r>
    </w:p>
    <w:p>
      <w:pPr>
        <w:pStyle w:val="BodyText"/>
      </w:pPr>
      <w:bookmarkStart w:id="93" w:name="ref-Chen2011"/>
      <w:bookmarkEnd w:id="93"/>
      <w:r>
        <w:t xml:space="preserve"> </w:t>
      </w:r>
      <w:r>
        <w:t xml:space="preserve">Chen, I-Ching Ching, Jane K. Hill, Ralf Ohlemüller, David B. Roy, and</w:t>
      </w:r>
      <w:r>
        <w:t xml:space="preserve"> </w:t>
      </w:r>
      <w:r>
        <w:t xml:space="preserve">Chris D. Thomas. 2011.</w:t>
      </w:r>
      <w:r>
        <w:t xml:space="preserve"> </w:t>
      </w:r>
      <w:r>
        <w:t xml:space="preserve">“</w:t>
      </w:r>
      <w:r>
        <w:t xml:space="preserve">Rapid range shifts of species associated with</w:t>
      </w:r>
      <w:r>
        <w:t xml:space="preserve"> </w:t>
      </w:r>
      <w:r>
        <w:t xml:space="preserve">high levels of climate warming.</w:t>
      </w:r>
      <w:r>
        <w:t xml:space="preserve">”</w:t>
      </w:r>
      <w:r>
        <w:t xml:space="preserve"> </w:t>
      </w:r>
      <w:r>
        <w:rPr>
          <w:i/>
        </w:rPr>
        <w:t xml:space="preserve">Science</w:t>
      </w:r>
      <w:r>
        <w:t xml:space="preserve"> </w:t>
      </w:r>
      <w:r>
        <w:t xml:space="preserve">333 (6045): 1024–6.</w:t>
      </w:r>
      <w:r>
        <w:t xml:space="preserve"> </w:t>
      </w:r>
      <w:hyperlink r:id="rId94">
        <w:r>
          <w:rPr>
            <w:rStyle w:val="Hyperlink"/>
          </w:rPr>
          <w:t xml:space="preserve">https://doi.org/10.1126/science.1206432</w:t>
        </w:r>
      </w:hyperlink>
      <w:r>
        <w:t xml:space="preserve">.</w:t>
      </w:r>
    </w:p>
    <w:p>
      <w:pPr>
        <w:pStyle w:val="BodyText"/>
      </w:pPr>
      <w:bookmarkStart w:id="95" w:name="ref-Cristofoli2010"/>
      <w:bookmarkEnd w:id="95"/>
      <w:r>
        <w:t xml:space="preserve"> </w:t>
      </w:r>
      <w:r>
        <w:t xml:space="preserve">Cristofoli, Sara, Julien Piqueray, Marc Dufrêne, Jean Philippe Bizoux,</w:t>
      </w:r>
      <w:r>
        <w:t xml:space="preserve"> </w:t>
      </w:r>
      <w:r>
        <w:t xml:space="preserve">and Gr’egory Mahy. 2010.</w:t>
      </w:r>
      <w:r>
        <w:t xml:space="preserve"> </w:t>
      </w:r>
      <w:r>
        <w:t xml:space="preserve">“</w:t>
      </w:r>
      <w:r>
        <w:t xml:space="preserve">Colonization Credit in Restored Wet</w:t>
      </w:r>
      <w:r>
        <w:t xml:space="preserve"> </w:t>
      </w:r>
      <w:r>
        <w:t xml:space="preserve">Heathlands.</w:t>
      </w:r>
      <w:r>
        <w:t xml:space="preserve">”</w:t>
      </w:r>
      <w:r>
        <w:t xml:space="preserve"> </w:t>
      </w:r>
      <w:r>
        <w:rPr>
          <w:i/>
        </w:rPr>
        <w:t xml:space="preserve">Restoration Ecology</w:t>
      </w:r>
      <w:r>
        <w:t xml:space="preserve"> </w:t>
      </w:r>
      <w:r>
        <w:t xml:space="preserve">18 (5): 645–55.</w:t>
      </w:r>
      <w:r>
        <w:t xml:space="preserve"> </w:t>
      </w:r>
      <w:hyperlink r:id="rId96">
        <w:r>
          <w:rPr>
            <w:rStyle w:val="Hyperlink"/>
          </w:rPr>
          <w:t xml:space="preserve">https://doi.org/10.1111/j.1526-100X.2008.00495.x</w:t>
        </w:r>
      </w:hyperlink>
      <w:r>
        <w:t xml:space="preserve">.</w:t>
      </w:r>
    </w:p>
    <w:p>
      <w:pPr>
        <w:pStyle w:val="BodyText"/>
      </w:pPr>
      <w:bookmarkStart w:id="97" w:name="ref-Dawson2011"/>
      <w:bookmarkEnd w:id="97"/>
      <w:r>
        <w:t xml:space="preserve"> </w:t>
      </w:r>
      <w:r>
        <w:t xml:space="preserve">Dawson, Terence P., Stephen T Jackson, Joanna I House, Iain Colin</w:t>
      </w:r>
      <w:r>
        <w:t xml:space="preserve"> </w:t>
      </w:r>
      <w:r>
        <w:t xml:space="preserve">Prentice, and Georgina M. Mace. 2011.</w:t>
      </w:r>
      <w:r>
        <w:t xml:space="preserve"> </w:t>
      </w:r>
      <w:r>
        <w:t xml:space="preserve">“</w:t>
      </w:r>
      <w:r>
        <w:t xml:space="preserve">Supporting Online Material for</w:t>
      </w:r>
      <w:r>
        <w:t xml:space="preserve"> </w:t>
      </w:r>
      <w:r>
        <w:t xml:space="preserve">Beyond Predictions : Biodiversity Conservation in a Changing Climate.</w:t>
      </w:r>
      <w:r>
        <w:t xml:space="preserve">”</w:t>
      </w:r>
      <w:r>
        <w:t xml:space="preserve"> </w:t>
      </w:r>
      <w:r>
        <w:rPr>
          <w:i/>
        </w:rPr>
        <w:t xml:space="preserve">Science</w:t>
      </w:r>
      <w:r>
        <w:t xml:space="preserve"> </w:t>
      </w:r>
      <w:r>
        <w:t xml:space="preserve">86 (53).</w:t>
      </w:r>
      <w:r>
        <w:t xml:space="preserve"> </w:t>
      </w:r>
      <w:hyperlink r:id="rId98">
        <w:r>
          <w:rPr>
            <w:rStyle w:val="Hyperlink"/>
          </w:rPr>
          <w:t xml:space="preserve">https://doi.org/10.1126/science.1200303</w:t>
        </w:r>
      </w:hyperlink>
      <w:r>
        <w:t xml:space="preserve">.</w:t>
      </w:r>
    </w:p>
    <w:p>
      <w:pPr>
        <w:pStyle w:val="BodyText"/>
      </w:pPr>
      <w:bookmarkStart w:id="99" w:name="ref-Dullinger2012"/>
      <w:bookmarkEnd w:id="99"/>
      <w:r>
        <w:t xml:space="preserve"> </w:t>
      </w:r>
      <w:r>
        <w:t xml:space="preserve">Dullinger, Stefan, Andreas Gattringer, Wilfried Thuiller, Dietmar Moser,</w:t>
      </w:r>
      <w:r>
        <w:t xml:space="preserve"> </w:t>
      </w:r>
      <w:r>
        <w:t xml:space="preserve">Niklaus E. Zimmermann, Antoine Guisan, Wolfgang Willner, et al. 2012.</w:t>
      </w:r>
      <w:r>
        <w:t xml:space="preserve"> </w:t>
      </w:r>
      <w:r>
        <w:t xml:space="preserve">“</w:t>
      </w:r>
      <w:r>
        <w:t xml:space="preserve">Extinction debt of high-mountain plants under twenty-first-century</w:t>
      </w:r>
      <w:r>
        <w:t xml:space="preserve"> </w:t>
      </w:r>
      <w:r>
        <w:t xml:space="preserve">climate change.</w:t>
      </w:r>
      <w:r>
        <w:t xml:space="preserve">”</w:t>
      </w:r>
      <w:r>
        <w:t xml:space="preserve"> </w:t>
      </w:r>
      <w:r>
        <w:rPr>
          <w:i/>
        </w:rPr>
        <w:t xml:space="preserve">Nature Climate Change</w:t>
      </w:r>
      <w:r>
        <w:t xml:space="preserve"> </w:t>
      </w:r>
      <w:r>
        <w:t xml:space="preserve">2 (8): 619–22.</w:t>
      </w:r>
      <w:r>
        <w:t xml:space="preserve"> </w:t>
      </w:r>
      <w:hyperlink r:id="rId100">
        <w:r>
          <w:rPr>
            <w:rStyle w:val="Hyperlink"/>
          </w:rPr>
          <w:t xml:space="preserve">https://doi.org/10.1038/nclimate1514</w:t>
        </w:r>
      </w:hyperlink>
      <w:r>
        <w:t xml:space="preserve">.</w:t>
      </w:r>
    </w:p>
    <w:p>
      <w:pPr>
        <w:pStyle w:val="BodyText"/>
      </w:pPr>
      <w:bookmarkStart w:id="101" w:name="ref-Duveneck2015"/>
      <w:bookmarkEnd w:id="101"/>
      <w:r>
        <w:t xml:space="preserve"> </w:t>
      </w:r>
      <w:r>
        <w:t xml:space="preserve">Duveneck, Matthew J., and Robert M. Scheller. 2015.</w:t>
      </w:r>
      <w:r>
        <w:t xml:space="preserve"> </w:t>
      </w:r>
      <w:r>
        <w:t xml:space="preserve">“</w:t>
      </w:r>
      <w:r>
        <w:t xml:space="preserve">Climate-suitable</w:t>
      </w:r>
      <w:r>
        <w:t xml:space="preserve"> </w:t>
      </w:r>
      <w:r>
        <w:t xml:space="preserve">planting as a strategy for maintaining forest productivity and</w:t>
      </w:r>
      <w:r>
        <w:t xml:space="preserve"> </w:t>
      </w:r>
      <w:r>
        <w:t xml:space="preserve">functional diversity.</w:t>
      </w:r>
      <w:r>
        <w:t xml:space="preserve">”</w:t>
      </w:r>
      <w:r>
        <w:t xml:space="preserve"> </w:t>
      </w:r>
      <w:r>
        <w:rPr>
          <w:i/>
        </w:rPr>
        <w:t xml:space="preserve">Ecological Applications</w:t>
      </w:r>
      <w:r>
        <w:t xml:space="preserve"> </w:t>
      </w:r>
      <w:r>
        <w:t xml:space="preserve">25 (6): 1653–68.</w:t>
      </w:r>
      <w:r>
        <w:t xml:space="preserve"> </w:t>
      </w:r>
      <w:hyperlink r:id="rId102">
        <w:r>
          <w:rPr>
            <w:rStyle w:val="Hyperlink"/>
          </w:rPr>
          <w:t xml:space="preserve">https://doi.org/10.1890/14-0738.1</w:t>
        </w:r>
      </w:hyperlink>
      <w:r>
        <w:t xml:space="preserve">.</w:t>
      </w:r>
    </w:p>
    <w:p>
      <w:pPr>
        <w:pStyle w:val="BodyText"/>
      </w:pPr>
      <w:bookmarkStart w:id="103" w:name="ref-Duveneck2016"/>
      <w:bookmarkEnd w:id="103"/>
      <w:r>
        <w:t xml:space="preserve"> </w:t>
      </w:r>
      <w:r>
        <w:t xml:space="preserve">———. 2016.</w:t>
      </w:r>
      <w:r>
        <w:t xml:space="preserve"> </w:t>
      </w:r>
      <w:r>
        <w:t xml:space="preserve">“</w:t>
      </w:r>
      <w:r>
        <w:t xml:space="preserve">Measuring and managing resistance and resilience</w:t>
      </w:r>
      <w:r>
        <w:t xml:space="preserve"> </w:t>
      </w:r>
      <w:r>
        <w:t xml:space="preserve">under climate change in northern Great Lake forests (USA).</w:t>
      </w:r>
      <w:r>
        <w:t xml:space="preserve">”</w:t>
      </w:r>
      <w:r>
        <w:t xml:space="preserve"> </w:t>
      </w:r>
      <w:r>
        <w:rPr>
          <w:i/>
        </w:rPr>
        <w:t xml:space="preserve">Landscape Ecology</w:t>
      </w:r>
      <w:r>
        <w:t xml:space="preserve"> </w:t>
      </w:r>
      <w:r>
        <w:t xml:space="preserve">31 (3): 669–86.</w:t>
      </w:r>
      <w:r>
        <w:t xml:space="preserve"> </w:t>
      </w:r>
      <w:hyperlink r:id="rId104">
        <w:r>
          <w:rPr>
            <w:rStyle w:val="Hyperlink"/>
          </w:rPr>
          <w:t xml:space="preserve">https://doi.org/10.1007/s10980-015-0273-6</w:t>
        </w:r>
      </w:hyperlink>
      <w:r>
        <w:t xml:space="preserve">.</w:t>
      </w:r>
    </w:p>
    <w:p>
      <w:pPr>
        <w:pStyle w:val="BodyText"/>
      </w:pPr>
      <w:bookmarkStart w:id="105" w:name="ref-Ezard2010"/>
      <w:bookmarkEnd w:id="105"/>
      <w:r>
        <w:t xml:space="preserve"> </w:t>
      </w:r>
      <w:r>
        <w:t xml:space="preserve">Ezard, Thomas H. G., James M. Bullock, Harmony J. Dalgleish, Alexandre</w:t>
      </w:r>
      <w:r>
        <w:t xml:space="preserve"> </w:t>
      </w:r>
      <w:r>
        <w:t xml:space="preserve">Millon, Fanie Pelletier, Arpat Ozgul, and David N. Koons. 2010.</w:t>
      </w:r>
      <w:r>
        <w:t xml:space="preserve"> </w:t>
      </w:r>
      <w:r>
        <w:t xml:space="preserve">“</w:t>
      </w:r>
      <w:r>
        <w:t xml:space="preserve">Matrix</w:t>
      </w:r>
      <w:r>
        <w:t xml:space="preserve"> </w:t>
      </w:r>
      <w:r>
        <w:t xml:space="preserve">models for a changeable world: The importance of transient dynamics in</w:t>
      </w:r>
      <w:r>
        <w:t xml:space="preserve"> </w:t>
      </w:r>
      <w:r>
        <w:t xml:space="preserve">population management.</w:t>
      </w:r>
      <w:r>
        <w:t xml:space="preserve">”</w:t>
      </w:r>
      <w:r>
        <w:t xml:space="preserve"> </w:t>
      </w:r>
      <w:r>
        <w:rPr>
          <w:i/>
        </w:rPr>
        <w:t xml:space="preserve">Journal of Applied Ecology</w:t>
      </w:r>
      <w:r>
        <w:t xml:space="preserve"> </w:t>
      </w:r>
      <w:r>
        <w:t xml:space="preserve">47 (3):</w:t>
      </w:r>
      <w:r>
        <w:t xml:space="preserve"> </w:t>
      </w:r>
      <w:r>
        <w:t xml:space="preserve">515–23.</w:t>
      </w:r>
      <w:r>
        <w:t xml:space="preserve"> </w:t>
      </w:r>
      <w:hyperlink r:id="rId106">
        <w:r>
          <w:rPr>
            <w:rStyle w:val="Hyperlink"/>
          </w:rPr>
          <w:t xml:space="preserve">https://doi.org/10.1111/j.1365-2664.2010.01801.x</w:t>
        </w:r>
      </w:hyperlink>
      <w:r>
        <w:t xml:space="preserve">.</w:t>
      </w:r>
    </w:p>
    <w:p>
      <w:pPr>
        <w:pStyle w:val="BodyText"/>
      </w:pPr>
      <w:bookmarkStart w:id="107" w:name="ref-Gravel2020"/>
      <w:bookmarkEnd w:id="107"/>
      <w:r>
        <w:t xml:space="preserve"> </w:t>
      </w:r>
      <w:r>
        <w:t xml:space="preserve">Gravel, Dominique, and François Massol. 2020.</w:t>
      </w:r>
      <w:r>
        <w:t xml:space="preserve"> </w:t>
      </w:r>
      <w:r>
        <w:t xml:space="preserve">“</w:t>
      </w:r>
      <w:r>
        <w:t xml:space="preserve">Toward a general theory</w:t>
      </w:r>
      <w:r>
        <w:t xml:space="preserve"> </w:t>
      </w:r>
      <w:r>
        <w:t xml:space="preserve">of metacommunity ecology.</w:t>
      </w:r>
      <w:r>
        <w:t xml:space="preserve">”</w:t>
      </w:r>
      <w:r>
        <w:t xml:space="preserve"> </w:t>
      </w:r>
      <w:r>
        <w:t xml:space="preserve">In</w:t>
      </w:r>
      <w:r>
        <w:t xml:space="preserve"> </w:t>
      </w:r>
      <w:r>
        <w:rPr>
          <w:i/>
        </w:rPr>
        <w:t xml:space="preserve">Theoretical Ecology: Concepts and</w:t>
      </w:r>
      <w:r>
        <w:rPr>
          <w:i/>
        </w:rPr>
        <w:t xml:space="preserve"> </w:t>
      </w:r>
      <w:r>
        <w:rPr>
          <w:i/>
        </w:rPr>
        <w:t xml:space="preserve">Applications</w:t>
      </w:r>
      <w:r>
        <w:t xml:space="preserve">, edited by Kevin S. McCann and Gabriel Gellner. Oxford</w:t>
      </w:r>
      <w:r>
        <w:t xml:space="preserve"> </w:t>
      </w:r>
      <w:r>
        <w:t xml:space="preserve">University Press.</w:t>
      </w:r>
    </w:p>
    <w:p>
      <w:pPr>
        <w:pStyle w:val="BodyText"/>
      </w:pPr>
      <w:bookmarkStart w:id="108" w:name="ref-Gray2011"/>
      <w:bookmarkEnd w:id="108"/>
      <w:r>
        <w:t xml:space="preserve"> </w:t>
      </w:r>
      <w:r>
        <w:t xml:space="preserve">Gray, Laura K., Tim Gylander, Michael S. Mbogga, Pei Yu Chen, and</w:t>
      </w:r>
      <w:r>
        <w:t xml:space="preserve"> </w:t>
      </w:r>
      <w:r>
        <w:t xml:space="preserve">Andreas Hamann. 2011.</w:t>
      </w:r>
      <w:r>
        <w:t xml:space="preserve"> </w:t>
      </w:r>
      <w:r>
        <w:t xml:space="preserve">“</w:t>
      </w:r>
      <w:r>
        <w:t xml:space="preserve">Assisted migration to address climate change:</w:t>
      </w:r>
      <w:r>
        <w:t xml:space="preserve"> </w:t>
      </w:r>
      <w:r>
        <w:t xml:space="preserve">Recommendations for aspen reforestation in western Canada.</w:t>
      </w:r>
      <w:r>
        <w:t xml:space="preserve">”</w:t>
      </w:r>
      <w:r>
        <w:t xml:space="preserve"> </w:t>
      </w:r>
      <w:r>
        <w:rPr>
          <w:i/>
        </w:rPr>
        <w:t xml:space="preserve">Ecological Applications</w:t>
      </w:r>
      <w:r>
        <w:t xml:space="preserve"> </w:t>
      </w:r>
      <w:r>
        <w:t xml:space="preserve">21 (5): 1591–1603.</w:t>
      </w:r>
      <w:r>
        <w:t xml:space="preserve"> </w:t>
      </w:r>
      <w:hyperlink r:id="rId109">
        <w:r>
          <w:rPr>
            <w:rStyle w:val="Hyperlink"/>
          </w:rPr>
          <w:t xml:space="preserve">https://doi.org/10.1890/10-1054.1</w:t>
        </w:r>
      </w:hyperlink>
      <w:r>
        <w:t xml:space="preserve">.</w:t>
      </w:r>
    </w:p>
    <w:p>
      <w:pPr>
        <w:pStyle w:val="BodyText"/>
      </w:pPr>
      <w:bookmarkStart w:id="110" w:name="ref-Greenwood2017"/>
      <w:bookmarkEnd w:id="110"/>
      <w:r>
        <w:t xml:space="preserve"> </w:t>
      </w:r>
      <w:r>
        <w:t xml:space="preserve">Greenwood, Sarah, Paloma Ruiz-Benito, Jordi Martínez-Vilalta, Francisco</w:t>
      </w:r>
      <w:r>
        <w:t xml:space="preserve"> </w:t>
      </w:r>
      <w:r>
        <w:t xml:space="preserve">Lloret, Thomas Kitzberger, Craig D. Allen, Rod Fensham, et al. 2017.</w:t>
      </w:r>
      <w:r>
        <w:t xml:space="preserve"> </w:t>
      </w:r>
      <w:r>
        <w:t xml:space="preserve">“</w:t>
      </w:r>
      <w:r>
        <w:t xml:space="preserve">Tree mortality across biomes is promoted by drought intensity, lower</w:t>
      </w:r>
      <w:r>
        <w:t xml:space="preserve"> </w:t>
      </w:r>
      <w:r>
        <w:t xml:space="preserve">wood density and higher specific leaf area.</w:t>
      </w:r>
      <w:r>
        <w:t xml:space="preserve">”</w:t>
      </w:r>
      <w:r>
        <w:t xml:space="preserve"> </w:t>
      </w:r>
      <w:r>
        <w:rPr>
          <w:i/>
        </w:rPr>
        <w:t xml:space="preserve">Ecology Letters</w:t>
      </w:r>
      <w:r>
        <w:t xml:space="preserve"> </w:t>
      </w:r>
      <w:r>
        <w:t xml:space="preserve">20</w:t>
      </w:r>
      <w:r>
        <w:t xml:space="preserve"> </w:t>
      </w:r>
      <w:r>
        <w:t xml:space="preserve">(4): 539–53.</w:t>
      </w:r>
      <w:r>
        <w:t xml:space="preserve"> </w:t>
      </w:r>
      <w:hyperlink r:id="rId111">
        <w:r>
          <w:rPr>
            <w:rStyle w:val="Hyperlink"/>
          </w:rPr>
          <w:t xml:space="preserve">https://doi.org/10.1111/ele.12748</w:t>
        </w:r>
      </w:hyperlink>
      <w:r>
        <w:t xml:space="preserve">.</w:t>
      </w:r>
    </w:p>
    <w:p>
      <w:pPr>
        <w:pStyle w:val="BodyText"/>
      </w:pPr>
      <w:bookmarkStart w:id="112" w:name="ref-Hanski1998"/>
      <w:bookmarkEnd w:id="112"/>
      <w:r>
        <w:t xml:space="preserve"> </w:t>
      </w:r>
      <w:r>
        <w:t xml:space="preserve">Hanski, Ilkka. 1998.</w:t>
      </w:r>
      <w:r>
        <w:t xml:space="preserve"> </w:t>
      </w:r>
      <w:r>
        <w:t xml:space="preserve">“</w:t>
      </w:r>
      <w:r>
        <w:t xml:space="preserve">Metapopulation dynamics.</w:t>
      </w:r>
      <w:r>
        <w:t xml:space="preserve">”</w:t>
      </w:r>
      <w:r>
        <w:t xml:space="preserve"> </w:t>
      </w:r>
      <w:r>
        <w:rPr>
          <w:i/>
        </w:rPr>
        <w:t xml:space="preserve">Nature</w:t>
      </w:r>
      <w:r>
        <w:t xml:space="preserve"> </w:t>
      </w:r>
      <w:r>
        <w:t xml:space="preserve">396</w:t>
      </w:r>
      <w:r>
        <w:t xml:space="preserve"> </w:t>
      </w:r>
      <w:r>
        <w:t xml:space="preserve">(6706): 41–49.</w:t>
      </w:r>
      <w:r>
        <w:t xml:space="preserve"> </w:t>
      </w:r>
      <w:hyperlink r:id="rId113">
        <w:r>
          <w:rPr>
            <w:rStyle w:val="Hyperlink"/>
          </w:rPr>
          <w:t xml:space="preserve">https://doi.org/10.1038/23876</w:t>
        </w:r>
      </w:hyperlink>
      <w:r>
        <w:t xml:space="preserve">.</w:t>
      </w:r>
    </w:p>
    <w:p>
      <w:pPr>
        <w:pStyle w:val="BodyText"/>
      </w:pPr>
      <w:bookmarkStart w:id="114" w:name="ref-Harsch2009"/>
      <w:bookmarkEnd w:id="114"/>
      <w:r>
        <w:t xml:space="preserve"> </w:t>
      </w:r>
      <w:r>
        <w:t xml:space="preserve">Harsch, Melanie A., Philip E. Hulme, Matt S. McGlone, and Richard P.</w:t>
      </w:r>
      <w:r>
        <w:t xml:space="preserve"> </w:t>
      </w:r>
      <w:r>
        <w:t xml:space="preserve">Duncan. 2009.</w:t>
      </w:r>
      <w:r>
        <w:t xml:space="preserve"> </w:t>
      </w:r>
      <w:r>
        <w:t xml:space="preserve">“</w:t>
      </w:r>
      <w:r>
        <w:t xml:space="preserve">Are treelines advancing? A global meta-analysis of</w:t>
      </w:r>
      <w:r>
        <w:t xml:space="preserve"> </w:t>
      </w:r>
      <w:r>
        <w:t xml:space="preserve">treeline response to climate warming.</w:t>
      </w:r>
      <w:r>
        <w:t xml:space="preserve">”</w:t>
      </w:r>
      <w:r>
        <w:t xml:space="preserve"> </w:t>
      </w:r>
      <w:r>
        <w:rPr>
          <w:i/>
        </w:rPr>
        <w:t xml:space="preserve">Ecology Letters</w:t>
      </w:r>
      <w:r>
        <w:t xml:space="preserve"> </w:t>
      </w:r>
      <w:r>
        <w:t xml:space="preserve">12 (10):</w:t>
      </w:r>
      <w:r>
        <w:t xml:space="preserve"> </w:t>
      </w:r>
      <w:r>
        <w:t xml:space="preserve">1040–9.</w:t>
      </w:r>
      <w:r>
        <w:t xml:space="preserve"> </w:t>
      </w:r>
      <w:hyperlink r:id="rId115">
        <w:r>
          <w:rPr>
            <w:rStyle w:val="Hyperlink"/>
          </w:rPr>
          <w:t xml:space="preserve">https://doi.org/10.1111/j.1461-0248.2009.01355.x</w:t>
        </w:r>
      </w:hyperlink>
      <w:r>
        <w:t xml:space="preserve">.</w:t>
      </w:r>
    </w:p>
    <w:p>
      <w:pPr>
        <w:pStyle w:val="BodyText"/>
      </w:pPr>
      <w:bookmarkStart w:id="116" w:name="ref-Hastings2004"/>
      <w:bookmarkEnd w:id="116"/>
      <w:r>
        <w:t xml:space="preserve"> </w:t>
      </w:r>
      <w:r>
        <w:t xml:space="preserve">Hastings, Alan. 2004.</w:t>
      </w:r>
      <w:r>
        <w:t xml:space="preserve"> </w:t>
      </w:r>
      <w:r>
        <w:t xml:space="preserve">“</w:t>
      </w:r>
      <w:r>
        <w:t xml:space="preserve">Transients: The key to long-term ecological</w:t>
      </w:r>
      <w:r>
        <w:t xml:space="preserve"> </w:t>
      </w:r>
      <w:r>
        <w:t xml:space="preserve">understanding?</w:t>
      </w:r>
      <w:r>
        <w:t xml:space="preserve">”</w:t>
      </w:r>
      <w:r>
        <w:t xml:space="preserve"> </w:t>
      </w:r>
      <w:r>
        <w:rPr>
          <w:i/>
        </w:rPr>
        <w:t xml:space="preserve">Trends in Ecology and Evolution</w:t>
      </w:r>
      <w:r>
        <w:t xml:space="preserve"> </w:t>
      </w:r>
      <w:r>
        <w:t xml:space="preserve">19 (1): 39–45.</w:t>
      </w:r>
      <w:r>
        <w:t xml:space="preserve"> </w:t>
      </w:r>
      <w:hyperlink r:id="rId117">
        <w:r>
          <w:rPr>
            <w:rStyle w:val="Hyperlink"/>
          </w:rPr>
          <w:t xml:space="preserve">https://doi.org/10.1016/j.tree.2003.09.007</w:t>
        </w:r>
      </w:hyperlink>
      <w:r>
        <w:t xml:space="preserve">.</w:t>
      </w:r>
    </w:p>
    <w:p>
      <w:pPr>
        <w:pStyle w:val="BodyText"/>
      </w:pPr>
      <w:bookmarkStart w:id="118" w:name="ref-Hof2017"/>
      <w:bookmarkEnd w:id="118"/>
      <w:r>
        <w:t xml:space="preserve"> </w:t>
      </w:r>
      <w:r>
        <w:t xml:space="preserve">Hof, Anouschka R., Caren C. Dymond, and David J. Mladenoff. 2017.</w:t>
      </w:r>
      <w:r>
        <w:t xml:space="preserve"> </w:t>
      </w:r>
      <w:r>
        <w:t xml:space="preserve">“</w:t>
      </w:r>
      <w:r>
        <w:t xml:space="preserve">Climate change mitigation through adaptation: The effectiveness of</w:t>
      </w:r>
      <w:r>
        <w:t xml:space="preserve"> </w:t>
      </w:r>
      <w:r>
        <w:t xml:space="preserve">forest diversification by novel tree planting regimes.</w:t>
      </w:r>
      <w:r>
        <w:t xml:space="preserve">”</w:t>
      </w:r>
      <w:r>
        <w:t xml:space="preserve"> </w:t>
      </w:r>
      <w:r>
        <w:rPr>
          <w:i/>
        </w:rPr>
        <w:t xml:space="preserve">Ecosphere</w:t>
      </w:r>
      <w:r>
        <w:t xml:space="preserve"> </w:t>
      </w:r>
      <w:r>
        <w:t xml:space="preserve">8 (11): e01981.</w:t>
      </w:r>
      <w:r>
        <w:t xml:space="preserve"> </w:t>
      </w:r>
      <w:hyperlink r:id="rId119">
        <w:r>
          <w:rPr>
            <w:rStyle w:val="Hyperlink"/>
          </w:rPr>
          <w:t xml:space="preserve">https://doi.org/10.1002/ecs2.1981</w:t>
        </w:r>
      </w:hyperlink>
      <w:r>
        <w:t xml:space="preserve">.</w:t>
      </w:r>
    </w:p>
    <w:p>
      <w:pPr>
        <w:pStyle w:val="BodyText"/>
      </w:pPr>
      <w:bookmarkStart w:id="120" w:name="ref-Holt2000"/>
      <w:bookmarkEnd w:id="120"/>
      <w:r>
        <w:t xml:space="preserve"> </w:t>
      </w:r>
      <w:r>
        <w:t xml:space="preserve">Holt, R D, and T H Keitt. 2000.</w:t>
      </w:r>
      <w:r>
        <w:t xml:space="preserve"> </w:t>
      </w:r>
      <w:r>
        <w:t xml:space="preserve">“</w:t>
      </w:r>
      <w:r>
        <w:t xml:space="preserve">Alternative causes for range limits: a</w:t>
      </w:r>
      <w:r>
        <w:t xml:space="preserve"> </w:t>
      </w:r>
      <w:r>
        <w:t xml:space="preserve">metapopulation perspective.</w:t>
      </w:r>
      <w:r>
        <w:t xml:space="preserve">”</w:t>
      </w:r>
      <w:r>
        <w:t xml:space="preserve"> </w:t>
      </w:r>
      <w:r>
        <w:rPr>
          <w:i/>
        </w:rPr>
        <w:t xml:space="preserve">Ecology Letters</w:t>
      </w:r>
      <w:r>
        <w:t xml:space="preserve"> </w:t>
      </w:r>
      <w:r>
        <w:t xml:space="preserve">3 (1): 41–47.</w:t>
      </w:r>
      <w:r>
        <w:t xml:space="preserve"> </w:t>
      </w:r>
      <w:hyperlink r:id="rId121">
        <w:r>
          <w:rPr>
            <w:rStyle w:val="Hyperlink"/>
          </w:rPr>
          <w:t xml:space="preserve">https://doi.org/10.1046/j.1461-0248.2000.00116.x</w:t>
        </w:r>
      </w:hyperlink>
      <w:r>
        <w:t xml:space="preserve">.</w:t>
      </w:r>
    </w:p>
    <w:p>
      <w:pPr>
        <w:pStyle w:val="BodyText"/>
      </w:pPr>
      <w:bookmarkStart w:id="122" w:name="ref-Holt2005"/>
      <w:bookmarkEnd w:id="122"/>
      <w:r>
        <w:t xml:space="preserve"> </w:t>
      </w:r>
      <w:r>
        <w:t xml:space="preserve">Holt, Robert D, Timothy H Keitt, Mark a Lewis, Brian a Maurer, and Mark</w:t>
      </w:r>
      <w:r>
        <w:t xml:space="preserve"> </w:t>
      </w:r>
      <w:r>
        <w:t xml:space="preserve">L Taper. 2005.</w:t>
      </w:r>
      <w:r>
        <w:t xml:space="preserve"> </w:t>
      </w:r>
      <w:r>
        <w:t xml:space="preserve">“</w:t>
      </w:r>
      <w:r>
        <w:t xml:space="preserve">Theoretical models of species’ borders: single species</w:t>
      </w:r>
      <w:r>
        <w:t xml:space="preserve"> </w:t>
      </w:r>
      <w:r>
        <w:t xml:space="preserve">approaches.</w:t>
      </w:r>
      <w:r>
        <w:t xml:space="preserve">”</w:t>
      </w:r>
      <w:r>
        <w:t xml:space="preserve"> </w:t>
      </w:r>
      <w:r>
        <w:rPr>
          <w:i/>
        </w:rPr>
        <w:t xml:space="preserve">Oikos</w:t>
      </w:r>
      <w:r>
        <w:t xml:space="preserve"> </w:t>
      </w:r>
      <w:r>
        <w:t xml:space="preserve">108 (1): 18–27.</w:t>
      </w:r>
      <w:r>
        <w:t xml:space="preserve"> </w:t>
      </w:r>
      <w:hyperlink r:id="rId123">
        <w:r>
          <w:rPr>
            <w:rStyle w:val="Hyperlink"/>
          </w:rPr>
          <w:t xml:space="preserve">https://doi.org/10.1111/j.0030-1299.2005.13147.x</w:t>
        </w:r>
      </w:hyperlink>
      <w:r>
        <w:t xml:space="preserve">.</w:t>
      </w:r>
    </w:p>
    <w:p>
      <w:pPr>
        <w:pStyle w:val="BodyText"/>
      </w:pPr>
      <w:bookmarkStart w:id="124" w:name="ref-Hylander2013"/>
      <w:bookmarkEnd w:id="124"/>
      <w:r>
        <w:t xml:space="preserve"> </w:t>
      </w:r>
      <w:r>
        <w:t xml:space="preserve">Hylander, Kristoffer, and Johan Ehrl’en. 2013.</w:t>
      </w:r>
      <w:r>
        <w:t xml:space="preserve"> </w:t>
      </w:r>
      <w:r>
        <w:t xml:space="preserve">“</w:t>
      </w:r>
      <w:r>
        <w:t xml:space="preserve">The mechanisms</w:t>
      </w:r>
      <w:r>
        <w:t xml:space="preserve"> </w:t>
      </w:r>
      <w:r>
        <w:t xml:space="preserve">causing extinction debts.</w:t>
      </w:r>
      <w:r>
        <w:t xml:space="preserve">”</w:t>
      </w:r>
      <w:r>
        <w:t xml:space="preserve"> </w:t>
      </w:r>
      <w:r>
        <w:rPr>
          <w:i/>
        </w:rPr>
        <w:t xml:space="preserve">Trends in Ecology and Evolution</w:t>
      </w:r>
      <w:r>
        <w:t xml:space="preserve"> </w:t>
      </w:r>
      <w:r>
        <w:t xml:space="preserve">28</w:t>
      </w:r>
      <w:r>
        <w:t xml:space="preserve"> </w:t>
      </w:r>
      <w:r>
        <w:t xml:space="preserve">(6): 341–46.</w:t>
      </w:r>
      <w:r>
        <w:t xml:space="preserve"> </w:t>
      </w:r>
      <w:hyperlink r:id="rId125">
        <w:r>
          <w:rPr>
            <w:rStyle w:val="Hyperlink"/>
          </w:rPr>
          <w:t xml:space="preserve">https://doi.org/10.1016/j.tree.2013.01.010</w:t>
        </w:r>
      </w:hyperlink>
      <w:r>
        <w:t xml:space="preserve">.</w:t>
      </w:r>
    </w:p>
    <w:p>
      <w:pPr>
        <w:pStyle w:val="BodyText"/>
      </w:pPr>
      <w:bookmarkStart w:id="126" w:name="ref-IPCC2013"/>
      <w:bookmarkEnd w:id="126"/>
      <w:r>
        <w:t xml:space="preserve"> </w:t>
      </w:r>
      <w:r>
        <w:t xml:space="preserve">IPCC. 2013.</w:t>
      </w:r>
      <w:r>
        <w:t xml:space="preserve"> </w:t>
      </w:r>
      <w:r>
        <w:t xml:space="preserve">“</w:t>
      </w:r>
      <w:r>
        <w:t xml:space="preserve">Climate change 2013: The physical science basis.</w:t>
      </w:r>
      <w:r>
        <w:t xml:space="preserve">”</w:t>
      </w:r>
      <w:r>
        <w:t xml:space="preserve"> </w:t>
      </w:r>
      <w:r>
        <w:t xml:space="preserve">Edited</w:t>
      </w:r>
      <w:r>
        <w:t xml:space="preserve"> </w:t>
      </w:r>
      <w:r>
        <w:t xml:space="preserve">by Thomas F Stocker, Dahe Qin, Gian-Kasper Plattner, Melinda Tignor,</w:t>
      </w:r>
      <w:r>
        <w:t xml:space="preserve"> </w:t>
      </w:r>
      <w:r>
        <w:t xml:space="preserve">Simon K Allen, Judith Boschung, Alexander Nauels, et al.</w:t>
      </w:r>
      <w:r>
        <w:t xml:space="preserve"> </w:t>
      </w:r>
      <w:r>
        <w:rPr>
          <w:i/>
        </w:rPr>
        <w:t xml:space="preserve">Contribution of Working Group I to the Fifth Assessment Report of</w:t>
      </w:r>
      <w:r>
        <w:rPr>
          <w:i/>
        </w:rPr>
        <w:t xml:space="preserve"> </w:t>
      </w:r>
      <w:r>
        <w:rPr>
          <w:i/>
        </w:rPr>
        <w:t xml:space="preserve">the Intergovernmental Panel on Climate Change</w:t>
      </w:r>
      <w:r>
        <w:t xml:space="preserve"> </w:t>
      </w:r>
      <w:r>
        <w:t xml:space="preserve">1535.</w:t>
      </w:r>
    </w:p>
    <w:p>
      <w:pPr>
        <w:pStyle w:val="BodyText"/>
      </w:pPr>
      <w:bookmarkStart w:id="127" w:name="ref-Jackson2010"/>
      <w:bookmarkEnd w:id="127"/>
      <w:r>
        <w:t xml:space="preserve"> </w:t>
      </w:r>
      <w:r>
        <w:t xml:space="preserve">Jackson, Stephen T., and Dov F. Sax. 2010.</w:t>
      </w:r>
      <w:r>
        <w:t xml:space="preserve"> </w:t>
      </w:r>
      <w:r>
        <w:t xml:space="preserve">“</w:t>
      </w:r>
      <w:r>
        <w:t xml:space="preserve">Balancing biodiversity in a</w:t>
      </w:r>
      <w:r>
        <w:t xml:space="preserve"> </w:t>
      </w:r>
      <w:r>
        <w:t xml:space="preserve">changing environment: extinction debt, immigration credit and species</w:t>
      </w:r>
      <w:r>
        <w:t xml:space="preserve"> </w:t>
      </w:r>
      <w:r>
        <w:t xml:space="preserve">turnover.</w:t>
      </w:r>
      <w:r>
        <w:t xml:space="preserve">”</w:t>
      </w:r>
      <w:r>
        <w:t xml:space="preserve"> </w:t>
      </w:r>
      <w:r>
        <w:rPr>
          <w:i/>
        </w:rPr>
        <w:t xml:space="preserve">Trends in Ecology and Evolution</w:t>
      </w:r>
      <w:r>
        <w:t xml:space="preserve"> </w:t>
      </w:r>
      <w:r>
        <w:t xml:space="preserve">25 (3): 153–60.</w:t>
      </w:r>
      <w:r>
        <w:t xml:space="preserve"> </w:t>
      </w:r>
      <w:hyperlink r:id="rId128">
        <w:r>
          <w:rPr>
            <w:rStyle w:val="Hyperlink"/>
          </w:rPr>
          <w:t xml:space="preserve">https://doi.org/10.1016/j.tree.2009.10.001</w:t>
        </w:r>
      </w:hyperlink>
      <w:r>
        <w:t xml:space="preserve">.</w:t>
      </w:r>
    </w:p>
    <w:p>
      <w:pPr>
        <w:pStyle w:val="BodyText"/>
      </w:pPr>
      <w:bookmarkStart w:id="129" w:name="ref-Keenan2015"/>
      <w:bookmarkEnd w:id="129"/>
      <w:r>
        <w:t xml:space="preserve"> </w:t>
      </w:r>
      <w:r>
        <w:t xml:space="preserve">Keenan, Rodney J. 2015.</w:t>
      </w:r>
      <w:r>
        <w:t xml:space="preserve"> </w:t>
      </w:r>
      <w:r>
        <w:t xml:space="preserve">“</w:t>
      </w:r>
      <w:r>
        <w:t xml:space="preserve">Climate change impacts and adaptation in</w:t>
      </w:r>
      <w:r>
        <w:t xml:space="preserve"> </w:t>
      </w:r>
      <w:r>
        <w:t xml:space="preserve">forest management: a review.</w:t>
      </w:r>
      <w:r>
        <w:t xml:space="preserve">”</w:t>
      </w:r>
      <w:r>
        <w:t xml:space="preserve"> </w:t>
      </w:r>
      <w:r>
        <w:rPr>
          <w:i/>
        </w:rPr>
        <w:t xml:space="preserve">Annals of Forest Science</w:t>
      </w:r>
      <w:r>
        <w:t xml:space="preserve"> </w:t>
      </w:r>
      <w:r>
        <w:t xml:space="preserve">72 (2):</w:t>
      </w:r>
      <w:r>
        <w:t xml:space="preserve"> </w:t>
      </w:r>
      <w:r>
        <w:t xml:space="preserve">145–67.</w:t>
      </w:r>
      <w:r>
        <w:t xml:space="preserve"> </w:t>
      </w:r>
      <w:hyperlink r:id="rId130">
        <w:r>
          <w:rPr>
            <w:rStyle w:val="Hyperlink"/>
          </w:rPr>
          <w:t xml:space="preserve">https://doi.org/10.1007/s13595-014-0446-5</w:t>
        </w:r>
      </w:hyperlink>
      <w:r>
        <w:t xml:space="preserve">.</w:t>
      </w:r>
    </w:p>
    <w:p>
      <w:pPr>
        <w:pStyle w:val="BodyText"/>
      </w:pPr>
      <w:bookmarkStart w:id="131" w:name="ref-Kuparinen2010"/>
      <w:bookmarkEnd w:id="131"/>
      <w:r>
        <w:t xml:space="preserve"> </w:t>
      </w:r>
      <w:r>
        <w:t xml:space="preserve">Kuparinen, Anna, Outi Savolainen, and Frank M. Schurr. 2010.</w:t>
      </w:r>
      <w:r>
        <w:t xml:space="preserve"> </w:t>
      </w:r>
      <w:r>
        <w:t xml:space="preserve">“</w:t>
      </w:r>
      <w:r>
        <w:t xml:space="preserve">Increased</w:t>
      </w:r>
      <w:r>
        <w:t xml:space="preserve"> </w:t>
      </w:r>
      <w:r>
        <w:t xml:space="preserve">mortality can promote evolutionary adaptation of forest trees to climate</w:t>
      </w:r>
      <w:r>
        <w:t xml:space="preserve"> </w:t>
      </w:r>
      <w:r>
        <w:t xml:space="preserve">change.</w:t>
      </w:r>
      <w:r>
        <w:t xml:space="preserve">”</w:t>
      </w:r>
      <w:r>
        <w:t xml:space="preserve"> </w:t>
      </w:r>
      <w:r>
        <w:rPr>
          <w:i/>
        </w:rPr>
        <w:t xml:space="preserve">Forest Ecology and Management</w:t>
      </w:r>
      <w:r>
        <w:t xml:space="preserve"> </w:t>
      </w:r>
      <w:r>
        <w:t xml:space="preserve">259 (5): 1003–8.</w:t>
      </w:r>
      <w:r>
        <w:t xml:space="preserve"> </w:t>
      </w:r>
      <w:hyperlink r:id="rId132">
        <w:r>
          <w:rPr>
            <w:rStyle w:val="Hyperlink"/>
          </w:rPr>
          <w:t xml:space="preserve">https://doi.org/10.1016/j.foreco.2009.12.006</w:t>
        </w:r>
      </w:hyperlink>
      <w:r>
        <w:t xml:space="preserve">.</w:t>
      </w:r>
    </w:p>
    <w:p>
      <w:pPr>
        <w:pStyle w:val="BodyText"/>
      </w:pPr>
      <w:bookmarkStart w:id="133" w:name="ref-Kuussaari2009"/>
      <w:bookmarkEnd w:id="133"/>
      <w:r>
        <w:t xml:space="preserve"> </w:t>
      </w:r>
      <w:r>
        <w:t xml:space="preserve">Kuussaari, Mikko, Riccardo Bommarco, Risto K. Heikkinen, Aveliina Helm,</w:t>
      </w:r>
      <w:r>
        <w:t xml:space="preserve"> </w:t>
      </w:r>
      <w:r>
        <w:t xml:space="preserve">Jochen Krauss, Regina Lindborg, Erik Öckinger, et al. 2009.</w:t>
      </w:r>
      <w:r>
        <w:t xml:space="preserve"> </w:t>
      </w:r>
      <w:r>
        <w:t xml:space="preserve">“</w:t>
      </w:r>
      <w:r>
        <w:t xml:space="preserve">Extinction</w:t>
      </w:r>
      <w:r>
        <w:t xml:space="preserve"> </w:t>
      </w:r>
      <w:r>
        <w:t xml:space="preserve">debt: a challenge for biodiversity conservation.</w:t>
      </w:r>
      <w:r>
        <w:t xml:space="preserve">”</w:t>
      </w:r>
      <w:r>
        <w:t xml:space="preserve"> </w:t>
      </w:r>
      <w:r>
        <w:rPr>
          <w:i/>
        </w:rPr>
        <w:t xml:space="preserve">Trends in</w:t>
      </w:r>
      <w:r>
        <w:rPr>
          <w:i/>
        </w:rPr>
        <w:t xml:space="preserve"> </w:t>
      </w:r>
      <w:r>
        <w:rPr>
          <w:i/>
        </w:rPr>
        <w:t xml:space="preserve">Ecology and Evolution</w:t>
      </w:r>
      <w:r>
        <w:t xml:space="preserve"> </w:t>
      </w:r>
      <w:r>
        <w:t xml:space="preserve">24 (10): 564–71.</w:t>
      </w:r>
      <w:r>
        <w:t xml:space="preserve"> </w:t>
      </w:r>
      <w:hyperlink r:id="rId134">
        <w:r>
          <w:rPr>
            <w:rStyle w:val="Hyperlink"/>
          </w:rPr>
          <w:t xml:space="preserve">https://doi.org/10.1016/j.tree.2009.04.011</w:t>
        </w:r>
      </w:hyperlink>
      <w:r>
        <w:t xml:space="preserve">.</w:t>
      </w:r>
    </w:p>
    <w:p>
      <w:pPr>
        <w:pStyle w:val="BodyText"/>
      </w:pPr>
      <w:bookmarkStart w:id="135" w:name="ref-Leithead2010"/>
      <w:bookmarkEnd w:id="135"/>
      <w:r>
        <w:t xml:space="preserve"> </w:t>
      </w:r>
      <w:r>
        <w:t xml:space="preserve">Leithead, Mark D., Madhur Anand, and Lucas C. R. Silva. 2010.</w:t>
      </w:r>
      <w:r>
        <w:t xml:space="preserve"> </w:t>
      </w:r>
      <w:r>
        <w:t xml:space="preserve">“</w:t>
      </w:r>
      <w:r>
        <w:t xml:space="preserve">Northward migrating trees establish in treefall gaps at the northern</w:t>
      </w:r>
      <w:r>
        <w:t xml:space="preserve"> </w:t>
      </w:r>
      <w:r>
        <w:t xml:space="preserve">limit of the temperate-boreal ecotone, Ontario, Canada.</w:t>
      </w:r>
      <w:r>
        <w:t xml:space="preserve">”</w:t>
      </w:r>
      <w:r>
        <w:t xml:space="preserve"> </w:t>
      </w:r>
      <w:r>
        <w:rPr>
          <w:i/>
        </w:rPr>
        <w:t xml:space="preserve">Oecologia</w:t>
      </w:r>
      <w:r>
        <w:t xml:space="preserve"> </w:t>
      </w:r>
      <w:r>
        <w:t xml:space="preserve">164 (4): 1095–1106.</w:t>
      </w:r>
      <w:r>
        <w:t xml:space="preserve"> </w:t>
      </w:r>
      <w:hyperlink r:id="rId136">
        <w:r>
          <w:rPr>
            <w:rStyle w:val="Hyperlink"/>
          </w:rPr>
          <w:t xml:space="preserve">https://doi.org/10.1007/s00442-010-1769-z</w:t>
        </w:r>
      </w:hyperlink>
      <w:r>
        <w:t xml:space="preserve">.</w:t>
      </w:r>
    </w:p>
    <w:p>
      <w:pPr>
        <w:pStyle w:val="BodyText"/>
      </w:pPr>
      <w:bookmarkStart w:id="137" w:name="ref-LePage2000"/>
      <w:bookmarkEnd w:id="137"/>
      <w:r>
        <w:t xml:space="preserve"> </w:t>
      </w:r>
      <w:r>
        <w:t xml:space="preserve">LePage, Philip T. T., Charles D. Canham, K. Dave Coates, and Paula</w:t>
      </w:r>
      <w:r>
        <w:t xml:space="preserve"> </w:t>
      </w:r>
      <w:r>
        <w:t xml:space="preserve">Bartemucci. 2000.</w:t>
      </w:r>
      <w:r>
        <w:t xml:space="preserve"> </w:t>
      </w:r>
      <w:r>
        <w:t xml:space="preserve">“</w:t>
      </w:r>
      <w:r>
        <w:t xml:space="preserve">Seed abundance versus substrate limitation of</w:t>
      </w:r>
      <w:r>
        <w:t xml:space="preserve"> </w:t>
      </w:r>
      <w:r>
        <w:t xml:space="preserve">seedling recruitment in northern temperate forests of British</w:t>
      </w:r>
      <w:r>
        <w:t xml:space="preserve"> </w:t>
      </w:r>
      <w:r>
        <w:t xml:space="preserve">Columbia.</w:t>
      </w:r>
      <w:r>
        <w:t xml:space="preserve">”</w:t>
      </w:r>
      <w:r>
        <w:t xml:space="preserve"> </w:t>
      </w:r>
      <w:r>
        <w:rPr>
          <w:i/>
        </w:rPr>
        <w:t xml:space="preserve">Canadian Journal of Forest Research</w:t>
      </w:r>
      <w:r>
        <w:t xml:space="preserve"> </w:t>
      </w:r>
      <w:r>
        <w:t xml:space="preserve">30 (3): 415–27.</w:t>
      </w:r>
      <w:r>
        <w:t xml:space="preserve"> </w:t>
      </w:r>
      <w:hyperlink r:id="rId138">
        <w:r>
          <w:rPr>
            <w:rStyle w:val="Hyperlink"/>
          </w:rPr>
          <w:t xml:space="preserve">https://doi.org/10.1139/x99-223</w:t>
        </w:r>
      </w:hyperlink>
      <w:r>
        <w:t xml:space="preserve">.</w:t>
      </w:r>
    </w:p>
    <w:p>
      <w:pPr>
        <w:pStyle w:val="BodyText"/>
      </w:pPr>
      <w:bookmarkStart w:id="139" w:name="ref-Levins1969"/>
      <w:bookmarkEnd w:id="139"/>
      <w:r>
        <w:t xml:space="preserve"> </w:t>
      </w:r>
      <w:r>
        <w:t xml:space="preserve">Levins, Richard. 1969.</w:t>
      </w:r>
      <w:r>
        <w:t xml:space="preserve"> </w:t>
      </w:r>
      <w:r>
        <w:t xml:space="preserve">“</w:t>
      </w:r>
      <w:r>
        <w:t xml:space="preserve">Some Demographic and Genetic Consequences of</w:t>
      </w:r>
      <w:r>
        <w:t xml:space="preserve"> </w:t>
      </w:r>
      <w:r>
        <w:t xml:space="preserve">Environmental Heterogeneity for Biological Control.</w:t>
      </w:r>
      <w:r>
        <w:t xml:space="preserve">”</w:t>
      </w:r>
      <w:r>
        <w:t xml:space="preserve"> </w:t>
      </w:r>
      <w:r>
        <w:rPr>
          <w:i/>
        </w:rPr>
        <w:t xml:space="preserve">Bulletin of</w:t>
      </w:r>
      <w:r>
        <w:rPr>
          <w:i/>
        </w:rPr>
        <w:t xml:space="preserve"> </w:t>
      </w:r>
      <w:r>
        <w:rPr>
          <w:i/>
        </w:rPr>
        <w:t xml:space="preserve">the Entomological Society of America</w:t>
      </w:r>
      <w:r>
        <w:t xml:space="preserve"> </w:t>
      </w:r>
      <w:r>
        <w:t xml:space="preserve">15 (3): 237–40.</w:t>
      </w:r>
      <w:r>
        <w:t xml:space="preserve"> </w:t>
      </w:r>
      <w:hyperlink r:id="rId140">
        <w:r>
          <w:rPr>
            <w:rStyle w:val="Hyperlink"/>
          </w:rPr>
          <w:t xml:space="preserve">https://doi.org/10.1093/besa/15.3.237</w:t>
        </w:r>
      </w:hyperlink>
      <w:r>
        <w:t xml:space="preserve">.</w:t>
      </w:r>
    </w:p>
    <w:p>
      <w:pPr>
        <w:pStyle w:val="BodyText"/>
      </w:pPr>
      <w:bookmarkStart w:id="141" w:name="ref-Malcolm2002"/>
      <w:bookmarkEnd w:id="141"/>
      <w:r>
        <w:t xml:space="preserve"> </w:t>
      </w:r>
      <w:r>
        <w:t xml:space="preserve">Malcolm, Jay R., Adam Markham, Ronald P. Neilson, and Michael Garaci.</w:t>
      </w:r>
      <w:r>
        <w:t xml:space="preserve"> </w:t>
      </w:r>
      <w:r>
        <w:t xml:space="preserve">2002.</w:t>
      </w:r>
      <w:r>
        <w:t xml:space="preserve"> </w:t>
      </w:r>
      <w:r>
        <w:t xml:space="preserve">“</w:t>
      </w:r>
      <w:r>
        <w:t xml:space="preserve">Estimated migration rates under scenarios of global climate</w:t>
      </w:r>
      <w:r>
        <w:t xml:space="preserve"> </w:t>
      </w:r>
      <w:r>
        <w:t xml:space="preserve">change.</w:t>
      </w:r>
      <w:r>
        <w:t xml:space="preserve">”</w:t>
      </w:r>
      <w:r>
        <w:t xml:space="preserve"> </w:t>
      </w:r>
      <w:r>
        <w:rPr>
          <w:i/>
        </w:rPr>
        <w:t xml:space="preserve">Journal of Biogeography</w:t>
      </w:r>
      <w:r>
        <w:t xml:space="preserve"> </w:t>
      </w:r>
      <w:r>
        <w:t xml:space="preserve">29 (7): 835–49.</w:t>
      </w:r>
      <w:r>
        <w:t xml:space="preserve"> </w:t>
      </w:r>
      <w:hyperlink r:id="rId142">
        <w:r>
          <w:rPr>
            <w:rStyle w:val="Hyperlink"/>
          </w:rPr>
          <w:t xml:space="preserve">https://doi.org/10.1046/j.1365-2699.2002.00702.x</w:t>
        </w:r>
      </w:hyperlink>
      <w:r>
        <w:t xml:space="preserve">.</w:t>
      </w:r>
    </w:p>
    <w:p>
      <w:pPr>
        <w:pStyle w:val="BodyText"/>
      </w:pPr>
      <w:bookmarkStart w:id="143" w:name="ref-Mckenney2007"/>
      <w:bookmarkEnd w:id="143"/>
      <w:r>
        <w:t xml:space="preserve"> </w:t>
      </w:r>
      <w:r>
        <w:t xml:space="preserve">Mckenney, Daniel W, John H Pedlar, Kevin Lawrence, Michael F Hutchinson,</w:t>
      </w:r>
      <w:r>
        <w:t xml:space="preserve"> </w:t>
      </w:r>
      <w:r>
        <w:t xml:space="preserve">Daniel W M C Kenney, and Kathy Campbell. 2007.</w:t>
      </w:r>
      <w:r>
        <w:t xml:space="preserve"> </w:t>
      </w:r>
      <w:r>
        <w:t xml:space="preserve">“</w:t>
      </w:r>
      <w:r>
        <w:t xml:space="preserve">Potential Impacts of</w:t>
      </w:r>
      <w:r>
        <w:t xml:space="preserve"> </w:t>
      </w:r>
      <w:r>
        <w:t xml:space="preserve">Climate Change on the Distribution of North American Trees.</w:t>
      </w:r>
      <w:r>
        <w:t xml:space="preserve">”</w:t>
      </w:r>
      <w:r>
        <w:t xml:space="preserve"> </w:t>
      </w:r>
      <w:r>
        <w:rPr>
          <w:i/>
        </w:rPr>
        <w:t xml:space="preserve">BioScience</w:t>
      </w:r>
      <w:r>
        <w:t xml:space="preserve"> </w:t>
      </w:r>
      <w:r>
        <w:t xml:space="preserve">57 (11): 939–48.</w:t>
      </w:r>
    </w:p>
    <w:p>
      <w:pPr>
        <w:pStyle w:val="BodyText"/>
      </w:pPr>
      <w:bookmarkStart w:id="144" w:name="ref-McLachlan2007"/>
      <w:bookmarkEnd w:id="144"/>
      <w:r>
        <w:t xml:space="preserve"> </w:t>
      </w:r>
      <w:r>
        <w:t xml:space="preserve">McLachlan, Jason S., Jessica J. Hellmann, and Mark W. Schwartz. 2007.</w:t>
      </w:r>
      <w:r>
        <w:t xml:space="preserve"> </w:t>
      </w:r>
      <w:r>
        <w:t xml:space="preserve">“</w:t>
      </w:r>
      <w:r>
        <w:t xml:space="preserve">A framework for debate of assisted migration in an era of climate</w:t>
      </w:r>
      <w:r>
        <w:t xml:space="preserve"> </w:t>
      </w:r>
      <w:r>
        <w:t xml:space="preserve">change.</w:t>
      </w:r>
      <w:r>
        <w:t xml:space="preserve">”</w:t>
      </w:r>
      <w:r>
        <w:t xml:space="preserve"> </w:t>
      </w:r>
      <w:r>
        <w:rPr>
          <w:i/>
        </w:rPr>
        <w:t xml:space="preserve">Conservation Biology</w:t>
      </w:r>
      <w:r>
        <w:t xml:space="preserve"> </w:t>
      </w:r>
      <w:r>
        <w:t xml:space="preserve">21 (2): 297–302.</w:t>
      </w:r>
      <w:r>
        <w:t xml:space="preserve"> </w:t>
      </w:r>
      <w:hyperlink r:id="rId145">
        <w:r>
          <w:rPr>
            <w:rStyle w:val="Hyperlink"/>
          </w:rPr>
          <w:t xml:space="preserve">https://doi.org/10.1111/j.1523-1739.2007.00676.x</w:t>
        </w:r>
      </w:hyperlink>
      <w:r>
        <w:t xml:space="preserve">.</w:t>
      </w:r>
    </w:p>
    <w:p>
      <w:pPr>
        <w:pStyle w:val="BodyText"/>
      </w:pPr>
      <w:bookmarkStart w:id="146" w:name="ref-Normand2014"/>
      <w:bookmarkEnd w:id="146"/>
      <w:r>
        <w:t xml:space="preserve"> </w:t>
      </w:r>
      <w:r>
        <w:t xml:space="preserve">Normand, S, N E Zimmermann, F M Schurr, and H Lischke. 2014.</w:t>
      </w:r>
      <w:r>
        <w:t xml:space="preserve"> </w:t>
      </w:r>
      <w:r>
        <w:t xml:space="preserve">“</w:t>
      </w:r>
      <w:r>
        <w:t xml:space="preserve">Demography as the basis for understanding and predicting range</w:t>
      </w:r>
      <w:r>
        <w:t xml:space="preserve"> </w:t>
      </w:r>
      <w:r>
        <w:t xml:space="preserve">dynamics.</w:t>
      </w:r>
      <w:r>
        <w:t xml:space="preserve">”</w:t>
      </w:r>
      <w:r>
        <w:t xml:space="preserve"> </w:t>
      </w:r>
      <w:r>
        <w:rPr>
          <w:i/>
        </w:rPr>
        <w:t xml:space="preserve">Ecography</w:t>
      </w:r>
      <w:r>
        <w:t xml:space="preserve"> </w:t>
      </w:r>
      <w:r>
        <w:t xml:space="preserve">37 (12): 1149–54.</w:t>
      </w:r>
      <w:r>
        <w:t xml:space="preserve"> </w:t>
      </w:r>
      <w:hyperlink r:id="rId147">
        <w:r>
          <w:rPr>
            <w:rStyle w:val="Hyperlink"/>
          </w:rPr>
          <w:t xml:space="preserve">https://doi.org/10.1111/ecog.01490</w:t>
        </w:r>
      </w:hyperlink>
      <w:r>
        <w:t xml:space="preserve">.</w:t>
      </w:r>
    </w:p>
    <w:p>
      <w:pPr>
        <w:pStyle w:val="BodyText"/>
      </w:pPr>
      <w:bookmarkStart w:id="148" w:name="ref-Peters1985a"/>
      <w:bookmarkEnd w:id="148"/>
      <w:r>
        <w:t xml:space="preserve"> </w:t>
      </w:r>
      <w:r>
        <w:t xml:space="preserve">Peters, R. L., and J. D. S. Darling. 1985.</w:t>
      </w:r>
      <w:r>
        <w:t xml:space="preserve"> </w:t>
      </w:r>
      <w:r>
        <w:t xml:space="preserve">“</w:t>
      </w:r>
      <w:r>
        <w:t xml:space="preserve">The greenhouse effect and</w:t>
      </w:r>
      <w:r>
        <w:t xml:space="preserve"> </w:t>
      </w:r>
      <w:r>
        <w:t xml:space="preserve">nature reserves.</w:t>
      </w:r>
      <w:r>
        <w:t xml:space="preserve">”</w:t>
      </w:r>
      <w:r>
        <w:t xml:space="preserve"> </w:t>
      </w:r>
      <w:r>
        <w:rPr>
          <w:i/>
        </w:rPr>
        <w:t xml:space="preserve">BioScience</w:t>
      </w:r>
      <w:r>
        <w:t xml:space="preserve"> </w:t>
      </w:r>
      <w:r>
        <w:t xml:space="preserve">35 (11): 707–17.</w:t>
      </w:r>
      <w:r>
        <w:t xml:space="preserve"> </w:t>
      </w:r>
      <w:hyperlink r:id="rId149">
        <w:r>
          <w:rPr>
            <w:rStyle w:val="Hyperlink"/>
          </w:rPr>
          <w:t xml:space="preserve">https://doi.org/10.2307/1310052</w:t>
        </w:r>
      </w:hyperlink>
      <w:r>
        <w:t xml:space="preserve">.</w:t>
      </w:r>
    </w:p>
    <w:p>
      <w:pPr>
        <w:pStyle w:val="BodyText"/>
      </w:pPr>
      <w:bookmarkStart w:id="150" w:name="ref-Reich2015"/>
      <w:bookmarkEnd w:id="150"/>
      <w:r>
        <w:t xml:space="preserve"> </w:t>
      </w:r>
      <w:r>
        <w:t xml:space="preserve">Reich, Peter B., Kerrie M. Sendall, Karen Rice, Roy L. Rich, Artur</w:t>
      </w:r>
      <w:r>
        <w:t xml:space="preserve"> </w:t>
      </w:r>
      <w:r>
        <w:t xml:space="preserve">Stefanski, Sarah E. Hobbie, and Rebecca A. Montgomery. 2015.</w:t>
      </w:r>
      <w:r>
        <w:t xml:space="preserve"> </w:t>
      </w:r>
      <w:r>
        <w:t xml:space="preserve">“</w:t>
      </w:r>
      <w:r>
        <w:t xml:space="preserve">Geographic range predicts photosynthetic and growth response to</w:t>
      </w:r>
      <w:r>
        <w:t xml:space="preserve"> </w:t>
      </w:r>
      <w:r>
        <w:t xml:space="preserve">warming in co-occurring tree species.</w:t>
      </w:r>
      <w:r>
        <w:t xml:space="preserve">”</w:t>
      </w:r>
      <w:r>
        <w:t xml:space="preserve"> </w:t>
      </w:r>
      <w:r>
        <w:rPr>
          <w:i/>
        </w:rPr>
        <w:t xml:space="preserve">Nature Climate Change</w:t>
      </w:r>
      <w:r>
        <w:t xml:space="preserve"> </w:t>
      </w:r>
      <w:r>
        <w:t xml:space="preserve">5</w:t>
      </w:r>
      <w:r>
        <w:t xml:space="preserve"> </w:t>
      </w:r>
      <w:r>
        <w:t xml:space="preserve">(2): 148–52.</w:t>
      </w:r>
      <w:r>
        <w:t xml:space="preserve"> </w:t>
      </w:r>
      <w:hyperlink r:id="rId151">
        <w:r>
          <w:rPr>
            <w:rStyle w:val="Hyperlink"/>
          </w:rPr>
          <w:t xml:space="preserve">https://doi.org/10.1038/nclimate2497</w:t>
        </w:r>
      </w:hyperlink>
      <w:r>
        <w:t xml:space="preserve">.</w:t>
      </w:r>
    </w:p>
    <w:p>
      <w:pPr>
        <w:pStyle w:val="BodyText"/>
      </w:pPr>
      <w:bookmarkStart w:id="152" w:name="ref-Renwick2015"/>
      <w:bookmarkEnd w:id="152"/>
      <w:r>
        <w:t xml:space="preserve"> </w:t>
      </w:r>
      <w:r>
        <w:t xml:space="preserve">Renwick, Katherine M., and Monique E. Rocca. 2015.</w:t>
      </w:r>
      <w:r>
        <w:t xml:space="preserve"> </w:t>
      </w:r>
      <w:r>
        <w:t xml:space="preserve">“</w:t>
      </w:r>
      <w:r>
        <w:t xml:space="preserve">Temporal context</w:t>
      </w:r>
      <w:r>
        <w:t xml:space="preserve"> </w:t>
      </w:r>
      <w:r>
        <w:t xml:space="preserve">affects the observed rate of climate-driven range shifts in tree</w:t>
      </w:r>
      <w:r>
        <w:t xml:space="preserve"> </w:t>
      </w:r>
      <w:r>
        <w:t xml:space="preserve">species.</w:t>
      </w:r>
      <w:r>
        <w:t xml:space="preserve">”</w:t>
      </w:r>
      <w:r>
        <w:t xml:space="preserve"> </w:t>
      </w:r>
      <w:r>
        <w:rPr>
          <w:i/>
        </w:rPr>
        <w:t xml:space="preserve">Global Ecology and Biogeography</w:t>
      </w:r>
      <w:r>
        <w:t xml:space="preserve"> </w:t>
      </w:r>
      <w:r>
        <w:t xml:space="preserve">24 (1): 44–51.</w:t>
      </w:r>
      <w:r>
        <w:t xml:space="preserve"> </w:t>
      </w:r>
      <w:hyperlink r:id="rId153">
        <w:r>
          <w:rPr>
            <w:rStyle w:val="Hyperlink"/>
          </w:rPr>
          <w:t xml:space="preserve">https://doi.org/10.1111/geb.12240</w:t>
        </w:r>
      </w:hyperlink>
      <w:r>
        <w:t xml:space="preserve">.</w:t>
      </w:r>
    </w:p>
    <w:p>
      <w:pPr>
        <w:pStyle w:val="BodyText"/>
      </w:pPr>
      <w:bookmarkStart w:id="154" w:name="ref-Ricciardi2009"/>
      <w:bookmarkEnd w:id="154"/>
      <w:r>
        <w:t xml:space="preserve"> </w:t>
      </w:r>
      <w:r>
        <w:t xml:space="preserve">Ricciardi, Anthony, and Daniel Simberloff. 2009.</w:t>
      </w:r>
      <w:r>
        <w:t xml:space="preserve"> </w:t>
      </w:r>
      <w:r>
        <w:t xml:space="preserve">“</w:t>
      </w:r>
      <w:r>
        <w:t xml:space="preserve">Assisted colonization</w:t>
      </w:r>
      <w:r>
        <w:t xml:space="preserve"> </w:t>
      </w:r>
      <w:r>
        <w:t xml:space="preserve">is not a viable conservation strategy.</w:t>
      </w:r>
      <w:r>
        <w:t xml:space="preserve">”</w:t>
      </w:r>
      <w:r>
        <w:t xml:space="preserve"> </w:t>
      </w:r>
      <w:r>
        <w:rPr>
          <w:i/>
        </w:rPr>
        <w:t xml:space="preserve">Trends in Ecology and</w:t>
      </w:r>
      <w:r>
        <w:rPr>
          <w:i/>
        </w:rPr>
        <w:t xml:space="preserve"> </w:t>
      </w:r>
      <w:r>
        <w:rPr>
          <w:i/>
        </w:rPr>
        <w:t xml:space="preserve">Evolution</w:t>
      </w:r>
      <w:r>
        <w:t xml:space="preserve"> </w:t>
      </w:r>
      <w:r>
        <w:t xml:space="preserve">24 (5): 248–53.</w:t>
      </w:r>
      <w:r>
        <w:t xml:space="preserve"> </w:t>
      </w:r>
      <w:hyperlink r:id="rId155">
        <w:r>
          <w:rPr>
            <w:rStyle w:val="Hyperlink"/>
          </w:rPr>
          <w:t xml:space="preserve">https://doi.org/10.1016/j.tree.2008.12.006</w:t>
        </w:r>
      </w:hyperlink>
      <w:r>
        <w:t xml:space="preserve">.</w:t>
      </w:r>
    </w:p>
    <w:p>
      <w:pPr>
        <w:pStyle w:val="BodyText"/>
      </w:pPr>
      <w:bookmarkStart w:id="156" w:name="ref-Schurr2012"/>
      <w:bookmarkEnd w:id="156"/>
      <w:r>
        <w:t xml:space="preserve"> </w:t>
      </w:r>
      <w:r>
        <w:t xml:space="preserve">Schurr, Frank M., Jörn Pagel, Juliano Sarmento Cabral, Jürgen</w:t>
      </w:r>
      <w:r>
        <w:t xml:space="preserve"> </w:t>
      </w:r>
      <w:r>
        <w:t xml:space="preserve">Groeneveld, Olga Bykova, Robert B. O’Hara, Florian Hartig, et al. 2012.</w:t>
      </w:r>
      <w:r>
        <w:t xml:space="preserve"> </w:t>
      </w:r>
      <w:r>
        <w:t xml:space="preserve">“</w:t>
      </w:r>
      <w:r>
        <w:t xml:space="preserve">How to understand species’ niches and range dynamics: A demographic</w:t>
      </w:r>
      <w:r>
        <w:t xml:space="preserve"> </w:t>
      </w:r>
      <w:r>
        <w:t xml:space="preserve">research agenda for biogeography.</w:t>
      </w:r>
      <w:r>
        <w:t xml:space="preserve">”</w:t>
      </w:r>
      <w:r>
        <w:t xml:space="preserve"> </w:t>
      </w:r>
      <w:r>
        <w:rPr>
          <w:i/>
        </w:rPr>
        <w:t xml:space="preserve">Journal of Biogeography</w:t>
      </w:r>
      <w:r>
        <w:t xml:space="preserve"> </w:t>
      </w:r>
      <w:r>
        <w:t xml:space="preserve">39</w:t>
      </w:r>
      <w:r>
        <w:t xml:space="preserve"> </w:t>
      </w:r>
      <w:r>
        <w:t xml:space="preserve">(12): 2146–62.</w:t>
      </w:r>
      <w:r>
        <w:t xml:space="preserve"> </w:t>
      </w:r>
      <w:hyperlink r:id="rId157">
        <w:r>
          <w:rPr>
            <w:rStyle w:val="Hyperlink"/>
          </w:rPr>
          <w:t xml:space="preserve">https://doi.org/10.1111/j.1365-2699.2012.02737.x</w:t>
        </w:r>
      </w:hyperlink>
      <w:r>
        <w:t xml:space="preserve">.</w:t>
      </w:r>
    </w:p>
    <w:p>
      <w:pPr>
        <w:pStyle w:val="BodyText"/>
      </w:pPr>
      <w:bookmarkStart w:id="158" w:name="ref-Schwartz2009"/>
      <w:bookmarkEnd w:id="158"/>
      <w:r>
        <w:t xml:space="preserve"> </w:t>
      </w:r>
      <w:r>
        <w:t xml:space="preserve">Schwartz, Mark W, Jessica J Hellmann, and Jason S McLachlan. 2009.</w:t>
      </w:r>
      <w:r>
        <w:t xml:space="preserve"> </w:t>
      </w:r>
      <w:r>
        <w:t xml:space="preserve">“</w:t>
      </w:r>
      <w:r>
        <w:t xml:space="preserve">The</w:t>
      </w:r>
      <w:r>
        <w:t xml:space="preserve"> </w:t>
      </w:r>
      <w:r>
        <w:t xml:space="preserve">precautionary principle in managed relocation is misguided advice.</w:t>
      </w:r>
      <w:r>
        <w:t xml:space="preserve">”</w:t>
      </w:r>
      <w:r>
        <w:t xml:space="preserve"> </w:t>
      </w:r>
      <w:r>
        <w:rPr>
          <w:i/>
        </w:rPr>
        <w:t xml:space="preserve">Trends in Ecology &amp; Evolution</w:t>
      </w:r>
      <w:r>
        <w:t xml:space="preserve"> </w:t>
      </w:r>
      <w:r>
        <w:t xml:space="preserve">24 (9): 474.</w:t>
      </w:r>
    </w:p>
    <w:p>
      <w:pPr>
        <w:pStyle w:val="BodyText"/>
      </w:pPr>
      <w:bookmarkStart w:id="159" w:name="ref-Sittaro2017"/>
      <w:bookmarkEnd w:id="159"/>
      <w:r>
        <w:t xml:space="preserve"> </w:t>
      </w:r>
      <w:r>
        <w:t xml:space="preserve">Sittaro, Fabian, Alain Paquette, Christian Messier, and Charles A. Nock.</w:t>
      </w:r>
      <w:r>
        <w:t xml:space="preserve"> </w:t>
      </w:r>
      <w:r>
        <w:t xml:space="preserve">2017.</w:t>
      </w:r>
      <w:r>
        <w:t xml:space="preserve"> </w:t>
      </w:r>
      <w:r>
        <w:t xml:space="preserve">“</w:t>
      </w:r>
      <w:r>
        <w:t xml:space="preserve">Tree range expansion in eastern North America fails to keep pace</w:t>
      </w:r>
      <w:r>
        <w:t xml:space="preserve"> </w:t>
      </w:r>
      <w:r>
        <w:t xml:space="preserve">with climate warming at northern range limits.</w:t>
      </w:r>
      <w:r>
        <w:t xml:space="preserve">”</w:t>
      </w:r>
      <w:r>
        <w:t xml:space="preserve"> </w:t>
      </w:r>
      <w:r>
        <w:rPr>
          <w:i/>
        </w:rPr>
        <w:t xml:space="preserve">Global Change</w:t>
      </w:r>
      <w:r>
        <w:rPr>
          <w:i/>
        </w:rPr>
        <w:t xml:space="preserve"> </w:t>
      </w:r>
      <w:r>
        <w:rPr>
          <w:i/>
        </w:rPr>
        <w:t xml:space="preserve">Biology</w:t>
      </w:r>
      <w:r>
        <w:t xml:space="preserve">, 1–10.</w:t>
      </w:r>
      <w:r>
        <w:t xml:space="preserve"> </w:t>
      </w:r>
      <w:hyperlink r:id="rId160">
        <w:r>
          <w:rPr>
            <w:rStyle w:val="Hyperlink"/>
          </w:rPr>
          <w:t xml:space="preserve">https://doi.org/10.1111/gcb.13622</w:t>
        </w:r>
      </w:hyperlink>
      <w:r>
        <w:t xml:space="preserve">.</w:t>
      </w:r>
    </w:p>
    <w:p>
      <w:pPr>
        <w:pStyle w:val="BodyText"/>
      </w:pPr>
      <w:bookmarkStart w:id="161" w:name="ref-Soetaert2009a"/>
      <w:bookmarkEnd w:id="161"/>
      <w:r>
        <w:t xml:space="preserve"> </w:t>
      </w:r>
      <w:r>
        <w:t xml:space="preserve">Soetaert, Karline. 2009.</w:t>
      </w:r>
      <w:r>
        <w:t xml:space="preserve"> </w:t>
      </w:r>
      <w:r>
        <w:rPr>
          <w:i/>
        </w:rPr>
        <w:t xml:space="preserve">rootSolve: Nonlinear root finding,</w:t>
      </w:r>
      <w:r>
        <w:rPr>
          <w:i/>
        </w:rPr>
        <w:t xml:space="preserve"> </w:t>
      </w:r>
      <w:r>
        <w:rPr>
          <w:i/>
        </w:rPr>
        <w:t xml:space="preserve">equilibrium and steady-state analysis of ordinary differential equations</w:t>
      </w:r>
      <w:r>
        <w:rPr>
          <w:i/>
        </w:rPr>
        <w:t xml:space="preserve"> </w:t>
      </w:r>
      <w:r>
        <w:rPr>
          <w:i/>
        </w:rPr>
        <w:t xml:space="preserve">(R package v1.6)</w:t>
      </w:r>
      <w:r>
        <w:t xml:space="preserve">.</w:t>
      </w:r>
    </w:p>
    <w:p>
      <w:pPr>
        <w:pStyle w:val="BodyText"/>
      </w:pPr>
      <w:bookmarkStart w:id="162" w:name="ref-Soetaert2009"/>
      <w:bookmarkEnd w:id="162"/>
      <w:r>
        <w:t xml:space="preserve"> </w:t>
      </w:r>
      <w:r>
        <w:t xml:space="preserve">Soetaert, Karline, and Peter M. J. Herman. 2009.</w:t>
      </w:r>
      <w:r>
        <w:t xml:space="preserve"> </w:t>
      </w:r>
      <w:r>
        <w:rPr>
          <w:i/>
        </w:rPr>
        <w:t xml:space="preserve">A Practical Guide</w:t>
      </w:r>
      <w:r>
        <w:rPr>
          <w:i/>
        </w:rPr>
        <w:t xml:space="preserve"> </w:t>
      </w:r>
      <w:r>
        <w:rPr>
          <w:i/>
        </w:rPr>
        <w:t xml:space="preserve">to Ecological Modelling. Using R as a Simulation Platform</w:t>
      </w:r>
      <w:r>
        <w:t xml:space="preserve">. Springer.</w:t>
      </w:r>
    </w:p>
    <w:p>
      <w:pPr>
        <w:pStyle w:val="BodyText"/>
      </w:pPr>
      <w:bookmarkStart w:id="163" w:name="ref-Solarik2020"/>
      <w:bookmarkEnd w:id="163"/>
      <w:r>
        <w:t xml:space="preserve"> </w:t>
      </w:r>
      <w:r>
        <w:t xml:space="preserve">Solarik, Kevin A., Kevin Cazelles, Christian Messier, Yves Bergeron, and</w:t>
      </w:r>
      <w:r>
        <w:t xml:space="preserve"> </w:t>
      </w:r>
      <w:r>
        <w:t xml:space="preserve">Dominique Gravel. 2020.</w:t>
      </w:r>
      <w:r>
        <w:t xml:space="preserve"> </w:t>
      </w:r>
      <w:r>
        <w:t xml:space="preserve">“</w:t>
      </w:r>
      <w:r>
        <w:t xml:space="preserve">Priority effects will impede range shifts of</w:t>
      </w:r>
      <w:r>
        <w:t xml:space="preserve"> </w:t>
      </w:r>
      <w:r>
        <w:t xml:space="preserve">temperate tree species into the boreal forest.</w:t>
      </w:r>
      <w:r>
        <w:t xml:space="preserve">”</w:t>
      </w:r>
      <w:r>
        <w:t xml:space="preserve"> </w:t>
      </w:r>
      <w:r>
        <w:rPr>
          <w:i/>
        </w:rPr>
        <w:t xml:space="preserve">Journal of</w:t>
      </w:r>
      <w:r>
        <w:rPr>
          <w:i/>
        </w:rPr>
        <w:t xml:space="preserve"> </w:t>
      </w:r>
      <w:r>
        <w:rPr>
          <w:i/>
        </w:rPr>
        <w:t xml:space="preserve">Ecology</w:t>
      </w:r>
      <w:r>
        <w:t xml:space="preserve"> </w:t>
      </w:r>
      <w:r>
        <w:t xml:space="preserve">108 (3): 1155–73.</w:t>
      </w:r>
      <w:r>
        <w:t xml:space="preserve"> </w:t>
      </w:r>
      <w:hyperlink r:id="rId164">
        <w:r>
          <w:rPr>
            <w:rStyle w:val="Hyperlink"/>
          </w:rPr>
          <w:t xml:space="preserve">https://doi.org/10.1111/1365-2745.13311</w:t>
        </w:r>
      </w:hyperlink>
      <w:r>
        <w:t xml:space="preserve">.</w:t>
      </w:r>
    </w:p>
    <w:p>
      <w:pPr>
        <w:pStyle w:val="BodyText"/>
      </w:pPr>
      <w:bookmarkStart w:id="165" w:name="ref-Solarik2018"/>
      <w:bookmarkEnd w:id="165"/>
      <w:r>
        <w:t xml:space="preserve"> </w:t>
      </w:r>
      <w:r>
        <w:t xml:space="preserve">Solarik, Kevin A., Christian Messier, Rock Ouimet, Yves Bergeron, and</w:t>
      </w:r>
      <w:r>
        <w:t xml:space="preserve"> </w:t>
      </w:r>
      <w:r>
        <w:t xml:space="preserve">Dominique Gravel. 2018.</w:t>
      </w:r>
      <w:r>
        <w:t xml:space="preserve"> </w:t>
      </w:r>
      <w:r>
        <w:t xml:space="preserve">“</w:t>
      </w:r>
      <w:r>
        <w:t xml:space="preserve">Local adaptation of trees at the range margins</w:t>
      </w:r>
      <w:r>
        <w:t xml:space="preserve"> </w:t>
      </w:r>
      <w:r>
        <w:t xml:space="preserve">impacts range shifts in the face of climate change.</w:t>
      </w:r>
      <w:r>
        <w:t xml:space="preserve">”</w:t>
      </w:r>
      <w:r>
        <w:t xml:space="preserve"> </w:t>
      </w:r>
      <w:r>
        <w:rPr>
          <w:i/>
        </w:rPr>
        <w:t xml:space="preserve">Global</w:t>
      </w:r>
      <w:r>
        <w:rPr>
          <w:i/>
        </w:rPr>
        <w:t xml:space="preserve"> </w:t>
      </w:r>
      <w:r>
        <w:rPr>
          <w:i/>
        </w:rPr>
        <w:t xml:space="preserve">Ecology and Biogeography</w:t>
      </w:r>
      <w:r>
        <w:t xml:space="preserve"> </w:t>
      </w:r>
      <w:r>
        <w:t xml:space="preserve">27 (12): 1507–19.</w:t>
      </w:r>
      <w:r>
        <w:t xml:space="preserve"> </w:t>
      </w:r>
      <w:hyperlink r:id="rId166">
        <w:r>
          <w:rPr>
            <w:rStyle w:val="Hyperlink"/>
          </w:rPr>
          <w:t xml:space="preserve">https://doi.org/10.1111/geb.12829</w:t>
        </w:r>
      </w:hyperlink>
      <w:r>
        <w:t xml:space="preserve">.</w:t>
      </w:r>
    </w:p>
    <w:p>
      <w:pPr>
        <w:pStyle w:val="BodyText"/>
      </w:pPr>
      <w:bookmarkStart w:id="167" w:name="ref-Steenberg2013"/>
      <w:bookmarkEnd w:id="167"/>
      <w:r>
        <w:t xml:space="preserve"> </w:t>
      </w:r>
      <w:r>
        <w:t xml:space="preserve">Steenberg, James W. N., Peter N. Duinker, and Peter G. Bush. 2013.</w:t>
      </w:r>
      <w:r>
        <w:t xml:space="preserve"> </w:t>
      </w:r>
      <w:r>
        <w:t xml:space="preserve">“</w:t>
      </w:r>
      <w:r>
        <w:t xml:space="preserve">Modelling the effects of climate change and timber harvest on the</w:t>
      </w:r>
      <w:r>
        <w:t xml:space="preserve"> </w:t>
      </w:r>
      <w:r>
        <w:t xml:space="preserve">forests of central Nova Scotia, Canada.</w:t>
      </w:r>
      <w:r>
        <w:t xml:space="preserve">”</w:t>
      </w:r>
      <w:r>
        <w:t xml:space="preserve"> </w:t>
      </w:r>
      <w:r>
        <w:rPr>
          <w:i/>
        </w:rPr>
        <w:t xml:space="preserve">Annals of Forest</w:t>
      </w:r>
      <w:r>
        <w:rPr>
          <w:i/>
        </w:rPr>
        <w:t xml:space="preserve"> </w:t>
      </w:r>
      <w:r>
        <w:rPr>
          <w:i/>
        </w:rPr>
        <w:t xml:space="preserve">Science</w:t>
      </w:r>
      <w:r>
        <w:t xml:space="preserve"> </w:t>
      </w:r>
      <w:r>
        <w:t xml:space="preserve">70 (1): 61–73.</w:t>
      </w:r>
      <w:r>
        <w:t xml:space="preserve"> </w:t>
      </w:r>
      <w:hyperlink r:id="rId168">
        <w:r>
          <w:rPr>
            <w:rStyle w:val="Hyperlink"/>
          </w:rPr>
          <w:t xml:space="preserve">https://doi.org/10.1007/s13595-012-0235-y</w:t>
        </w:r>
      </w:hyperlink>
      <w:r>
        <w:t xml:space="preserve">.</w:t>
      </w:r>
    </w:p>
    <w:p>
      <w:pPr>
        <w:pStyle w:val="BodyText"/>
      </w:pPr>
      <w:bookmarkStart w:id="169" w:name="ref-Svenning2013"/>
      <w:bookmarkEnd w:id="169"/>
      <w:r>
        <w:t xml:space="preserve"> </w:t>
      </w:r>
      <w:r>
        <w:t xml:space="preserve">Svenning, Jens Christian, and Brody Sandel. 2013.</w:t>
      </w:r>
      <w:r>
        <w:t xml:space="preserve"> </w:t>
      </w:r>
      <w:r>
        <w:t xml:space="preserve">“</w:t>
      </w:r>
      <w:r>
        <w:t xml:space="preserve">Disequilibrium</w:t>
      </w:r>
      <w:r>
        <w:t xml:space="preserve"> </w:t>
      </w:r>
      <w:r>
        <w:t xml:space="preserve">vegetation dynamics under future climate change.</w:t>
      </w:r>
      <w:r>
        <w:t xml:space="preserve">”</w:t>
      </w:r>
      <w:r>
        <w:t xml:space="preserve"> </w:t>
      </w:r>
      <w:r>
        <w:rPr>
          <w:i/>
        </w:rPr>
        <w:t xml:space="preserve">American</w:t>
      </w:r>
      <w:r>
        <w:rPr>
          <w:i/>
        </w:rPr>
        <w:t xml:space="preserve"> </w:t>
      </w:r>
      <w:r>
        <w:rPr>
          <w:i/>
        </w:rPr>
        <w:t xml:space="preserve">Journal of Botany</w:t>
      </w:r>
      <w:r>
        <w:t xml:space="preserve"> </w:t>
      </w:r>
      <w:r>
        <w:t xml:space="preserve">100 (7): 1266–86.</w:t>
      </w:r>
      <w:r>
        <w:t xml:space="preserve"> </w:t>
      </w:r>
      <w:hyperlink r:id="rId170">
        <w:r>
          <w:rPr>
            <w:rStyle w:val="Hyperlink"/>
          </w:rPr>
          <w:t xml:space="preserve">https://doi.org/10.3732/ajb.1200469</w:t>
        </w:r>
      </w:hyperlink>
      <w:r>
        <w:t xml:space="preserve">.</w:t>
      </w:r>
    </w:p>
    <w:p>
      <w:pPr>
        <w:pStyle w:val="BodyText"/>
      </w:pPr>
      <w:bookmarkStart w:id="171" w:name="ref-Talluto2017"/>
      <w:bookmarkEnd w:id="171"/>
      <w:r>
        <w:t xml:space="preserve"> </w:t>
      </w:r>
      <w:r>
        <w:t xml:space="preserve">Talluto, Matthew V., Isabelle Boulangeat, Steve Vissault, Wilfried</w:t>
      </w:r>
      <w:r>
        <w:t xml:space="preserve"> </w:t>
      </w:r>
      <w:r>
        <w:t xml:space="preserve">Thuiller, and Dominique Gravel. 2017.</w:t>
      </w:r>
      <w:r>
        <w:t xml:space="preserve"> </w:t>
      </w:r>
      <w:r>
        <w:t xml:space="preserve">“</w:t>
      </w:r>
      <w:r>
        <w:t xml:space="preserve">Extinction debt and colonization</w:t>
      </w:r>
      <w:r>
        <w:t xml:space="preserve"> </w:t>
      </w:r>
      <w:r>
        <w:t xml:space="preserve">credit delay range shifts of eastern North American trees.</w:t>
      </w:r>
      <w:r>
        <w:t xml:space="preserve">”</w:t>
      </w:r>
      <w:r>
        <w:t xml:space="preserve"> </w:t>
      </w:r>
      <w:r>
        <w:rPr>
          <w:i/>
        </w:rPr>
        <w:t xml:space="preserve">Nature Ecology &amp; Evolution</w:t>
      </w:r>
      <w:r>
        <w:t xml:space="preserve"> </w:t>
      </w:r>
      <w:r>
        <w:t xml:space="preserve">1 (June): 0182.</w:t>
      </w:r>
      <w:r>
        <w:t xml:space="preserve"> </w:t>
      </w:r>
      <w:hyperlink r:id="rId172">
        <w:r>
          <w:rPr>
            <w:rStyle w:val="Hyperlink"/>
          </w:rPr>
          <w:t xml:space="preserve">https://doi.org/10.1038/s41559-017-0182</w:t>
        </w:r>
      </w:hyperlink>
      <w:r>
        <w:t xml:space="preserve">.</w:t>
      </w:r>
    </w:p>
    <w:p>
      <w:pPr>
        <w:pStyle w:val="BodyText"/>
      </w:pPr>
      <w:bookmarkStart w:id="173" w:name="ref-Tilman1994a"/>
      <w:bookmarkEnd w:id="173"/>
      <w:r>
        <w:t xml:space="preserve"> </w:t>
      </w:r>
      <w:r>
        <w:t xml:space="preserve">Tilman, David, Robert M. May, Clarence L. Lehman, and Martin A. Nowak.</w:t>
      </w:r>
      <w:r>
        <w:t xml:space="preserve"> </w:t>
      </w:r>
      <w:r>
        <w:t xml:space="preserve">1994.</w:t>
      </w:r>
      <w:r>
        <w:t xml:space="preserve"> </w:t>
      </w:r>
      <w:r>
        <w:t xml:space="preserve">“</w:t>
      </w:r>
      <w:r>
        <w:t xml:space="preserve">Habitat destruction and the extinction debt.</w:t>
      </w:r>
      <w:r>
        <w:t xml:space="preserve">”</w:t>
      </w:r>
      <w:r>
        <w:t xml:space="preserve"> </w:t>
      </w:r>
      <w:r>
        <w:rPr>
          <w:i/>
        </w:rPr>
        <w:t xml:space="preserve">Nature</w:t>
      </w:r>
      <w:r>
        <w:t xml:space="preserve"> </w:t>
      </w:r>
      <w:r>
        <w:t xml:space="preserve">371</w:t>
      </w:r>
      <w:r>
        <w:t xml:space="preserve"> </w:t>
      </w:r>
      <w:r>
        <w:t xml:space="preserve">(6492): 65–66.</w:t>
      </w:r>
      <w:r>
        <w:t xml:space="preserve"> </w:t>
      </w:r>
      <w:hyperlink r:id="rId174">
        <w:r>
          <w:rPr>
            <w:rStyle w:val="Hyperlink"/>
          </w:rPr>
          <w:t xml:space="preserve">https://doi.org/10.1038/371065a0</w:t>
        </w:r>
      </w:hyperlink>
      <w:r>
        <w:t xml:space="preserve">.</w:t>
      </w:r>
    </w:p>
    <w:p>
      <w:pPr>
        <w:pStyle w:val="BodyText"/>
      </w:pPr>
      <w:bookmarkStart w:id="175" w:name="ref-Vanderwel2014"/>
      <w:bookmarkEnd w:id="175"/>
      <w:r>
        <w:t xml:space="preserve"> </w:t>
      </w:r>
      <w:r>
        <w:t xml:space="preserve">Vanderwel, Mark C., and Drew W. Purves. 2014.</w:t>
      </w:r>
      <w:r>
        <w:t xml:space="preserve"> </w:t>
      </w:r>
      <w:r>
        <w:t xml:space="preserve">“</w:t>
      </w:r>
      <w:r>
        <w:t xml:space="preserve">How do disturbances and</w:t>
      </w:r>
      <w:r>
        <w:t xml:space="preserve"> </w:t>
      </w:r>
      <w:r>
        <w:t xml:space="preserve">environmental heterogeneity affect the pace of forest distribution</w:t>
      </w:r>
      <w:r>
        <w:t xml:space="preserve"> </w:t>
      </w:r>
      <w:r>
        <w:t xml:space="preserve">shifts under climate change?</w:t>
      </w:r>
      <w:r>
        <w:t xml:space="preserve">”</w:t>
      </w:r>
      <w:r>
        <w:t xml:space="preserve"> </w:t>
      </w:r>
      <w:r>
        <w:rPr>
          <w:i/>
        </w:rPr>
        <w:t xml:space="preserve">Ecography</w:t>
      </w:r>
      <w:r>
        <w:t xml:space="preserve"> </w:t>
      </w:r>
      <w:r>
        <w:t xml:space="preserve">37 (1): 10–20.</w:t>
      </w:r>
      <w:r>
        <w:t xml:space="preserve"> </w:t>
      </w:r>
      <w:hyperlink r:id="rId176">
        <w:r>
          <w:rPr>
            <w:rStyle w:val="Hyperlink"/>
          </w:rPr>
          <w:t xml:space="preserve">https://doi.org/10.1111/j.1600-0587.2013.00345.x</w:t>
        </w:r>
      </w:hyperlink>
      <w:r>
        <w:t xml:space="preserve">.</w:t>
      </w:r>
    </w:p>
    <w:p>
      <w:pPr>
        <w:pStyle w:val="BodyText"/>
      </w:pPr>
      <w:bookmarkStart w:id="177" w:name="ref-STManaged2020"/>
      <w:bookmarkEnd w:id="177"/>
      <w:r>
        <w:t xml:space="preserve"> </w:t>
      </w:r>
      <w:r>
        <w:t xml:space="preserve">Vieira, Willian. 2020.</w:t>
      </w:r>
      <w:r>
        <w:t xml:space="preserve"> </w:t>
      </w:r>
      <w:r>
        <w:t xml:space="preserve">“</w:t>
      </w:r>
      <w:r>
        <w:t xml:space="preserve">willvieira/STManaged: Stable version used in</w:t>
      </w:r>
      <w:r>
        <w:t xml:space="preserve"> </w:t>
      </w:r>
      <w:r>
        <w:t xml:space="preserve">the manuscript.</w:t>
      </w:r>
      <w:r>
        <w:t xml:space="preserve">”</w:t>
      </w:r>
      <w:r>
        <w:t xml:space="preserve"> </w:t>
      </w:r>
      <w:hyperlink r:id="rId178">
        <w:r>
          <w:rPr>
            <w:rStyle w:val="Hyperlink"/>
          </w:rPr>
          <w:t xml:space="preserve">https://doi.org/10.5281/ZENODO.3829679</w:t>
        </w:r>
      </w:hyperlink>
      <w:r>
        <w:t xml:space="preserve">.</w:t>
      </w:r>
    </w:p>
    <w:p>
      <w:pPr>
        <w:pStyle w:val="BodyText"/>
      </w:pPr>
      <w:bookmarkStart w:id="179" w:name="ref-Vissault2020"/>
      <w:bookmarkEnd w:id="179"/>
      <w:r>
        <w:t xml:space="preserve"> </w:t>
      </w:r>
      <w:r>
        <w:t xml:space="preserve">Vissault, Steve, Matthew V. Talluto, Isabelle Boulangeat, and Dominique</w:t>
      </w:r>
      <w:r>
        <w:t xml:space="preserve"> </w:t>
      </w:r>
      <w:r>
        <w:t xml:space="preserve">Gravel. 2020.</w:t>
      </w:r>
      <w:r>
        <w:t xml:space="preserve"> </w:t>
      </w:r>
      <w:r>
        <w:t xml:space="preserve">“</w:t>
      </w:r>
      <w:r>
        <w:t xml:space="preserve">Slow demography and limited dispersal constrain the</w:t>
      </w:r>
      <w:r>
        <w:t xml:space="preserve"> </w:t>
      </w:r>
      <w:r>
        <w:t xml:space="preserve">expansion of north-eastern temperate forests under climate change.</w:t>
      </w:r>
      <w:r>
        <w:t xml:space="preserve">”</w:t>
      </w:r>
      <w:r>
        <w:t xml:space="preserve"> </w:t>
      </w:r>
      <w:r>
        <w:rPr>
          <w:i/>
        </w:rPr>
        <w:t xml:space="preserve">Journal of Biogeography (Forthcoming)</w:t>
      </w:r>
      <w:r>
        <w:t xml:space="preserve">.</w:t>
      </w:r>
    </w:p>
    <w:p>
      <w:pPr>
        <w:pStyle w:val="BodyText"/>
      </w:pPr>
      <w:bookmarkStart w:id="180" w:name="ref-Vila2010"/>
      <w:bookmarkEnd w:id="180"/>
      <w:r>
        <w:t xml:space="preserve"> </w:t>
      </w:r>
      <w:r>
        <w:t xml:space="preserve">Vitt, Pati, Kayri Havens, and Ove Hoegh-Guldberg. 2009.</w:t>
      </w:r>
      <w:r>
        <w:t xml:space="preserve"> </w:t>
      </w:r>
      <w:r>
        <w:t xml:space="preserve">“</w:t>
      </w:r>
      <w:r>
        <w:t xml:space="preserve">Assisted</w:t>
      </w:r>
      <w:r>
        <w:t xml:space="preserve"> </w:t>
      </w:r>
      <w:r>
        <w:t xml:space="preserve">migration: part of an integrated conservation strategy.</w:t>
      </w:r>
      <w:r>
        <w:t xml:space="preserve">”</w:t>
      </w:r>
      <w:r>
        <w:t xml:space="preserve"> </w:t>
      </w:r>
      <w:r>
        <w:rPr>
          <w:i/>
        </w:rPr>
        <w:t xml:space="preserve">Trends</w:t>
      </w:r>
      <w:r>
        <w:rPr>
          <w:i/>
        </w:rPr>
        <w:t xml:space="preserve"> </w:t>
      </w:r>
      <w:r>
        <w:rPr>
          <w:i/>
        </w:rPr>
        <w:t xml:space="preserve">in Ecology &amp; Evolution</w:t>
      </w:r>
      <w:r>
        <w:t xml:space="preserve"> </w:t>
      </w:r>
      <w:r>
        <w:t xml:space="preserve">24 (9): 473–74.</w:t>
      </w:r>
      <w:r>
        <w:t xml:space="preserve"> </w:t>
      </w:r>
      <w:hyperlink r:id="rId181">
        <w:r>
          <w:rPr>
            <w:rStyle w:val="Hyperlink"/>
          </w:rPr>
          <w:t xml:space="preserve">https://doi.org/10.1016/j.tree.2009.05.007</w:t>
        </w:r>
      </w:hyperlink>
      <w:r>
        <w:t xml:space="preserve">.</w:t>
      </w:r>
    </w:p>
    <w:p>
      <w:pPr>
        <w:pStyle w:val="BodyText"/>
      </w:pPr>
      <w:bookmarkStart w:id="182" w:name="ref-Zhu2012"/>
      <w:bookmarkEnd w:id="182"/>
      <w:r>
        <w:t xml:space="preserve"> </w:t>
      </w:r>
      <w:r>
        <w:t xml:space="preserve">Zhu, Kai, Christopher W. Woodall, and James S. Clark. 2012.</w:t>
      </w:r>
      <w:r>
        <w:t xml:space="preserve"> </w:t>
      </w:r>
      <w:r>
        <w:t xml:space="preserve">“</w:t>
      </w:r>
      <w:r>
        <w:t xml:space="preserve">Failure to</w:t>
      </w:r>
      <w:r>
        <w:t xml:space="preserve"> </w:t>
      </w:r>
      <w:r>
        <w:t xml:space="preserve">migrate: Lack of tree range expansion in response to climate change.</w:t>
      </w:r>
      <w:r>
        <w:t xml:space="preserve">”</w:t>
      </w:r>
      <w:r>
        <w:t xml:space="preserve"> </w:t>
      </w:r>
      <w:r>
        <w:rPr>
          <w:i/>
        </w:rPr>
        <w:t xml:space="preserve">Global Change Biology</w:t>
      </w:r>
      <w:r>
        <w:t xml:space="preserve"> </w:t>
      </w:r>
      <w:r>
        <w:t xml:space="preserve">18 (3): 1042–52.</w:t>
      </w:r>
      <w:r>
        <w:t xml:space="preserve"> </w:t>
      </w:r>
      <w:hyperlink r:id="rId183">
        <w:r>
          <w:rPr>
            <w:rStyle w:val="Hyperlink"/>
          </w:rPr>
          <w:t xml:space="preserve">https://doi.org/10.1111/j.1365-2486.2011.02571.x</w:t>
        </w:r>
      </w:hyperlink>
      <w:r>
        <w:t xml:space="preserve">.</w:t>
      </w:r>
    </w:p>
    <w:sectPr w:rsidR="003A5463" w:rsidRPr="003A5463">
      <w:type w:val="continuous"/>
      <w:pgSz w:w="12240" w:h="15840"/>
      <w:pgMar w:top="1440" w:right="1440" w:bottom="1440" w:left="1440" w:header="720" w:footer="720" w:gutter="0"/>
      <w:lnNumType w:countBy="1"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Latin Modern Roman 9">
    <w:altName w:val="Calibri"/>
    <w:panose1 w:val="020B0604020202020204"/>
    <w:charset w:val="4D"/>
    <w:family w:val="auto"/>
    <w:notTrueType/>
    <w:pitch w:val="variable"/>
    <w:sig w:usb0="20000007" w:usb1="00000000" w:usb2="00000000" w:usb3="00000000" w:csb0="00000193"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452AD04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DD4C06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840514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5B6E09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42EB0E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6B647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6383D7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064657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E62D8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65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BBA07FE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0"/>
  </w:num>
  <w:num w:numId="2">
    <w:abstractNumId w:val="0"/>
  </w:num>
  <w:num w:numId="3">
    <w:abstractNumId w:val="1"/>
  </w:num>
  <w:num w:numId="4">
    <w:abstractNumId w:val="2"/>
  </w:num>
  <w:num w:numId="5">
    <w:abstractNumId w:val="3"/>
  </w:num>
  <w:num w:numId="6">
    <w:abstractNumId w:val="8"/>
  </w:num>
  <w:num w:numId="7">
    <w:abstractNumId w:val="4"/>
  </w:num>
  <w:num w:numId="8">
    <w:abstractNumId w:val="5"/>
  </w:num>
  <w:num w:numId="9">
    <w:abstractNumId w:val="6"/>
  </w:num>
  <w:num w:numId="10">
    <w:abstractNumId w:val="7"/>
  </w:num>
  <w:num w:numId="11">
    <w:abstractNumId w:val="9"/>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3A5463"/>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3A5463"/>
    <w:pPr>
      <w:keepNext/>
      <w:keepLines/>
      <w:spacing w:before="200" w:after="0"/>
      <w:outlineLvl w:val="1"/>
    </w:pPr>
    <w:rPr>
      <w:rFonts w:ascii="Times New Roman" w:eastAsiaTheme="majorEastAsia" w:hAnsi="Times New Roman" w:cstheme="majorBidi"/>
      <w:b/>
      <w:bCs/>
      <w:color w:val="000000" w:themeColor="text1"/>
      <w:sz w:val="28"/>
      <w:szCs w:val="32"/>
    </w:rPr>
  </w:style>
  <w:style w:type="paragraph" w:styleId="Heading3">
    <w:name w:val="heading 3"/>
    <w:basedOn w:val="Normal"/>
    <w:next w:val="BodyText"/>
    <w:uiPriority w:val="9"/>
    <w:unhideWhenUsed/>
    <w:qFormat/>
    <w:rsid w:val="003A5463"/>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C46A2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C46A21"/>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85DCB"/>
    <w:pPr>
      <w:spacing w:before="180" w:after="0" w:line="360" w:lineRule="auto"/>
      <w:jc w:val="both"/>
    </w:pPr>
    <w:rPr>
      <w:rFonts w:ascii="Times New Roman" w:hAnsi="Times New Roman"/>
    </w:rPr>
  </w:style>
  <w:style w:type="paragraph" w:customStyle="1" w:styleId="FirstParagraph">
    <w:name w:val="First Paragraph"/>
    <w:basedOn w:val="BodyText"/>
    <w:next w:val="BodyText"/>
    <w:qFormat/>
    <w:rsid w:val="00385DCB"/>
  </w:style>
  <w:style w:type="paragraph" w:customStyle="1" w:styleId="Compact">
    <w:name w:val="Compact"/>
    <w:basedOn w:val="BodyText"/>
    <w:qFormat/>
    <w:pPr>
      <w:spacing w:before="36" w:after="36"/>
    </w:pPr>
  </w:style>
  <w:style w:type="paragraph" w:styleId="Title">
    <w:name w:val="Title"/>
    <w:basedOn w:val="Normal"/>
    <w:next w:val="BodyText"/>
    <w:qFormat/>
    <w:rsid w:val="00DE117C"/>
    <w:pPr>
      <w:keepNext/>
      <w:keepLines/>
      <w:spacing w:before="480" w:after="400"/>
      <w:jc w:val="center"/>
    </w:pPr>
    <w:rPr>
      <w:rFonts w:ascii="Times New Roman" w:eastAsiaTheme="majorEastAsia" w:hAnsi="Times New Roman" w:cstheme="majorBidi"/>
      <w:b/>
      <w:bCs/>
      <w:color w:val="000000" w:themeColor="text1"/>
      <w:sz w:val="3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483CD0"/>
    <w:pPr>
      <w:keepNext/>
      <w:keepLines/>
      <w:spacing w:after="0" w:line="360" w:lineRule="auto"/>
    </w:pPr>
    <w:rPr>
      <w:rFonts w:ascii="Times New Roman" w:hAnsi="Times New Roman"/>
    </w:rPr>
  </w:style>
  <w:style w:type="paragraph" w:styleId="Date">
    <w:name w:val="Date"/>
    <w:next w:val="BodyText"/>
    <w:qFormat/>
    <w:rsid w:val="003A5463"/>
    <w:pPr>
      <w:keepNext/>
      <w:keepLines/>
      <w:jc w:val="center"/>
    </w:pPr>
    <w:rPr>
      <w:rFonts w:ascii="Times New Roman" w:hAnsi="Times New Roman"/>
    </w:rPr>
  </w:style>
  <w:style w:type="paragraph" w:customStyle="1" w:styleId="Abstract">
    <w:name w:val="Abstract"/>
    <w:basedOn w:val="Normal"/>
    <w:next w:val="BodyText"/>
    <w:qFormat/>
    <w:rsid w:val="00483CD0"/>
    <w:pPr>
      <w:keepNext/>
      <w:keepLines/>
      <w:spacing w:before="600" w:after="300" w:line="300" w:lineRule="auto"/>
      <w:jc w:val="both"/>
    </w:pPr>
    <w:rPr>
      <w:rFonts w:ascii="Times New Roman" w:hAnsi="Times New Roman"/>
      <w:szCs w:val="20"/>
    </w:rPr>
  </w:style>
  <w:style w:type="paragraph" w:styleId="Bibliography">
    <w:name w:val="Bibliography"/>
    <w:basedOn w:val="Normal"/>
    <w:qFormat/>
    <w:rsid w:val="00591424"/>
    <w:rPr>
      <w:rFonts w:ascii="Times New Roman" w:hAnsi="Times New Roman"/>
      <w:sz w:val="22"/>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3A5463"/>
    <w:rPr>
      <w:rFonts w:ascii="Times New Roman" w:hAnsi="Times New Roman"/>
    </w:r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AF40D5"/>
    <w:pPr>
      <w:spacing w:after="120"/>
    </w:pPr>
    <w:rPr>
      <w:rFonts w:ascii="Times New Roman" w:hAnsi="Times New Roman"/>
      <w:i/>
    </w:rPr>
  </w:style>
  <w:style w:type="paragraph" w:customStyle="1" w:styleId="TableCaption">
    <w:name w:val="Table Caption"/>
    <w:basedOn w:val="Caption"/>
    <w:pPr>
      <w:keepNext/>
    </w:pPr>
  </w:style>
  <w:style w:type="paragraph" w:customStyle="1" w:styleId="ImageCaption">
    <w:name w:val="Image Caption"/>
    <w:basedOn w:val="Caption"/>
    <w:rsid w:val="003A0BE0"/>
    <w:pPr>
      <w:spacing w:after="240"/>
      <w:jc w:val="both"/>
    </w:pPr>
    <w:rPr>
      <w:i w:val="0"/>
      <w:sz w:val="22"/>
    </w:rPr>
  </w:style>
  <w:style w:type="paragraph" w:customStyle="1" w:styleId="Figure">
    <w:name w:val="Figure"/>
    <w:basedOn w:val="Normal"/>
    <w:rsid w:val="00073B42"/>
    <w:pPr>
      <w:jc w:val="both"/>
    </w:pPr>
    <w:rPr>
      <w:rFonts w:ascii="Latin Modern Roman 9" w:hAnsi="Latin Modern Roman 9"/>
      <w:i/>
      <w:sz w:val="22"/>
    </w:rPr>
  </w:style>
  <w:style w:type="paragraph" w:customStyle="1" w:styleId="CaptionedFigure">
    <w:name w:val="Captioned Figure"/>
    <w:basedOn w:val="Figure"/>
    <w:rsid w:val="003A0BE0"/>
    <w:pPr>
      <w:keepNext/>
      <w:spacing w:before="360" w:after="160"/>
      <w:jc w:val="center"/>
    </w:pPr>
  </w:style>
  <w:style w:type="character" w:customStyle="1" w:styleId="CaptionChar">
    <w:name w:val="Caption Char"/>
    <w:basedOn w:val="DefaultParagraphFont"/>
    <w:link w:val="Caption"/>
    <w:rsid w:val="00AF40D5"/>
    <w:rPr>
      <w:rFonts w:ascii="Times New Roman" w:hAnsi="Times New Roman"/>
      <w:i/>
    </w:rPr>
  </w:style>
  <w:style w:type="character" w:customStyle="1" w:styleId="VerbatimChar">
    <w:name w:val="Verbatim Char"/>
    <w:basedOn w:val="CaptionChar"/>
    <w:link w:val="SourceCode"/>
    <w:rPr>
      <w:rFonts w:ascii="Consolas" w:hAnsi="Consolas"/>
      <w:i/>
      <w:sz w:val="22"/>
    </w:rPr>
  </w:style>
  <w:style w:type="character" w:styleId="FootnoteReference">
    <w:name w:val="footnote reference"/>
    <w:basedOn w:val="CaptionChar"/>
    <w:rPr>
      <w:rFonts w:ascii="Times New Roman" w:hAnsi="Times New Roman"/>
      <w:i/>
      <w:vertAlign w:val="superscript"/>
    </w:rPr>
  </w:style>
  <w:style w:type="character" w:styleId="Hyperlink">
    <w:name w:val="Hyperlink"/>
    <w:basedOn w:val="CaptionChar"/>
    <w:rsid w:val="008D752F"/>
    <w:rPr>
      <w:rFonts w:ascii="Times New Roman" w:hAnsi="Times New Roman"/>
      <w:i w:val="0"/>
      <w:color w:val="17432F"/>
      <w:sz w:val="24"/>
    </w:rPr>
  </w:style>
  <w:style w:type="paragraph" w:styleId="TOCHeading">
    <w:name w:val="TOC Heading"/>
    <w:basedOn w:val="Heading1"/>
    <w:next w:val="BodyText"/>
    <w:uiPriority w:val="39"/>
    <w:unhideWhenUsed/>
    <w:qFormat/>
    <w:rsid w:val="006D5FF3"/>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i/>
      <w:color w:val="204A87"/>
      <w:sz w:val="22"/>
      <w:shd w:val="clear" w:color="auto" w:fill="F8F8F8"/>
    </w:rPr>
  </w:style>
  <w:style w:type="character" w:customStyle="1" w:styleId="DataTypeTok">
    <w:name w:val="DataTypeTok"/>
    <w:basedOn w:val="VerbatimChar"/>
    <w:rPr>
      <w:rFonts w:ascii="Consolas" w:hAnsi="Consolas"/>
      <w:i/>
      <w:color w:val="204A87"/>
      <w:sz w:val="22"/>
      <w:shd w:val="clear" w:color="auto" w:fill="F8F8F8"/>
    </w:rPr>
  </w:style>
  <w:style w:type="character" w:customStyle="1" w:styleId="DecValTok">
    <w:name w:val="DecValTok"/>
    <w:basedOn w:val="VerbatimChar"/>
    <w:rPr>
      <w:rFonts w:ascii="Consolas" w:hAnsi="Consolas"/>
      <w:i/>
      <w:color w:val="0000CF"/>
      <w:sz w:val="22"/>
      <w:shd w:val="clear" w:color="auto" w:fill="F8F8F8"/>
    </w:rPr>
  </w:style>
  <w:style w:type="character" w:customStyle="1" w:styleId="BaseNTok">
    <w:name w:val="BaseNTok"/>
    <w:basedOn w:val="VerbatimChar"/>
    <w:rPr>
      <w:rFonts w:ascii="Consolas" w:hAnsi="Consolas"/>
      <w:i/>
      <w:color w:val="0000CF"/>
      <w:sz w:val="22"/>
      <w:shd w:val="clear" w:color="auto" w:fill="F8F8F8"/>
    </w:rPr>
  </w:style>
  <w:style w:type="character" w:customStyle="1" w:styleId="FloatTok">
    <w:name w:val="FloatTok"/>
    <w:basedOn w:val="VerbatimChar"/>
    <w:rPr>
      <w:rFonts w:ascii="Consolas" w:hAnsi="Consolas"/>
      <w:i/>
      <w:color w:val="0000CF"/>
      <w:sz w:val="22"/>
      <w:shd w:val="clear" w:color="auto" w:fill="F8F8F8"/>
    </w:rPr>
  </w:style>
  <w:style w:type="character" w:customStyle="1" w:styleId="ConstantTok">
    <w:name w:val="ConstantTok"/>
    <w:basedOn w:val="VerbatimChar"/>
    <w:rPr>
      <w:rFonts w:ascii="Consolas" w:hAnsi="Consolas"/>
      <w:i/>
      <w:color w:val="000000"/>
      <w:sz w:val="22"/>
      <w:shd w:val="clear" w:color="auto" w:fill="F8F8F8"/>
    </w:rPr>
  </w:style>
  <w:style w:type="character" w:customStyle="1" w:styleId="CharTok">
    <w:name w:val="CharTok"/>
    <w:basedOn w:val="VerbatimChar"/>
    <w:rPr>
      <w:rFonts w:ascii="Consolas" w:hAnsi="Consolas"/>
      <w:i/>
      <w:color w:val="4E9A06"/>
      <w:sz w:val="22"/>
      <w:shd w:val="clear" w:color="auto" w:fill="F8F8F8"/>
    </w:rPr>
  </w:style>
  <w:style w:type="character" w:customStyle="1" w:styleId="SpecialCharTok">
    <w:name w:val="SpecialCharTok"/>
    <w:basedOn w:val="VerbatimChar"/>
    <w:rPr>
      <w:rFonts w:ascii="Consolas" w:hAnsi="Consolas"/>
      <w:i/>
      <w:color w:val="000000"/>
      <w:sz w:val="22"/>
      <w:shd w:val="clear" w:color="auto" w:fill="F8F8F8"/>
    </w:rPr>
  </w:style>
  <w:style w:type="character" w:customStyle="1" w:styleId="StringTok">
    <w:name w:val="StringTok"/>
    <w:basedOn w:val="VerbatimChar"/>
    <w:rPr>
      <w:rFonts w:ascii="Consolas" w:hAnsi="Consolas"/>
      <w:i/>
      <w:color w:val="4E9A06"/>
      <w:sz w:val="22"/>
      <w:shd w:val="clear" w:color="auto" w:fill="F8F8F8"/>
    </w:rPr>
  </w:style>
  <w:style w:type="character" w:customStyle="1" w:styleId="VerbatimStringTok">
    <w:name w:val="VerbatimStringTok"/>
    <w:basedOn w:val="VerbatimChar"/>
    <w:rPr>
      <w:rFonts w:ascii="Consolas" w:hAnsi="Consolas"/>
      <w:i/>
      <w:color w:val="4E9A06"/>
      <w:sz w:val="22"/>
      <w:shd w:val="clear" w:color="auto" w:fill="F8F8F8"/>
    </w:rPr>
  </w:style>
  <w:style w:type="character" w:customStyle="1" w:styleId="SpecialStringTok">
    <w:name w:val="SpecialStringTok"/>
    <w:basedOn w:val="VerbatimChar"/>
    <w:rPr>
      <w:rFonts w:ascii="Consolas" w:hAnsi="Consolas"/>
      <w:i/>
      <w:color w:val="4E9A06"/>
      <w:sz w:val="22"/>
      <w:shd w:val="clear" w:color="auto" w:fill="F8F8F8"/>
    </w:rPr>
  </w:style>
  <w:style w:type="character" w:customStyle="1" w:styleId="ImportTok">
    <w:name w:val="ImportTok"/>
    <w:basedOn w:val="VerbatimChar"/>
    <w:rPr>
      <w:rFonts w:ascii="Consolas" w:hAnsi="Consolas"/>
      <w:i/>
      <w:sz w:val="22"/>
      <w:shd w:val="clear" w:color="auto" w:fill="F8F8F8"/>
    </w:rPr>
  </w:style>
  <w:style w:type="character" w:customStyle="1" w:styleId="CommentTok">
    <w:name w:val="CommentTok"/>
    <w:basedOn w:val="VerbatimChar"/>
    <w:rPr>
      <w:rFonts w:ascii="Consolas" w:hAnsi="Consolas"/>
      <w:i w:val="0"/>
      <w:color w:val="8F5902"/>
      <w:sz w:val="22"/>
      <w:shd w:val="clear" w:color="auto" w:fill="F8F8F8"/>
    </w:rPr>
  </w:style>
  <w:style w:type="character" w:customStyle="1" w:styleId="DocumentationTok">
    <w:name w:val="DocumentationTok"/>
    <w:basedOn w:val="VerbatimChar"/>
    <w:rPr>
      <w:rFonts w:ascii="Consolas" w:hAnsi="Consolas"/>
      <w:b/>
      <w:i w:val="0"/>
      <w:color w:val="8F5902"/>
      <w:sz w:val="22"/>
      <w:shd w:val="clear" w:color="auto" w:fill="F8F8F8"/>
    </w:rPr>
  </w:style>
  <w:style w:type="character" w:customStyle="1" w:styleId="AnnotationTok">
    <w:name w:val="AnnotationTok"/>
    <w:basedOn w:val="VerbatimChar"/>
    <w:rPr>
      <w:rFonts w:ascii="Consolas" w:hAnsi="Consolas"/>
      <w:b/>
      <w:i w:val="0"/>
      <w:color w:val="8F5902"/>
      <w:sz w:val="22"/>
      <w:shd w:val="clear" w:color="auto" w:fill="F8F8F8"/>
    </w:rPr>
  </w:style>
  <w:style w:type="character" w:customStyle="1" w:styleId="CommentVarTok">
    <w:name w:val="CommentVarTok"/>
    <w:basedOn w:val="VerbatimChar"/>
    <w:rPr>
      <w:rFonts w:ascii="Consolas" w:hAnsi="Consolas"/>
      <w:b/>
      <w:i w:val="0"/>
      <w:color w:val="8F5902"/>
      <w:sz w:val="22"/>
      <w:shd w:val="clear" w:color="auto" w:fill="F8F8F8"/>
    </w:rPr>
  </w:style>
  <w:style w:type="character" w:customStyle="1" w:styleId="OtherTok">
    <w:name w:val="OtherTok"/>
    <w:basedOn w:val="VerbatimChar"/>
    <w:rPr>
      <w:rFonts w:ascii="Consolas" w:hAnsi="Consolas"/>
      <w:i/>
      <w:color w:val="8F5902"/>
      <w:sz w:val="22"/>
      <w:shd w:val="clear" w:color="auto" w:fill="F8F8F8"/>
    </w:rPr>
  </w:style>
  <w:style w:type="character" w:customStyle="1" w:styleId="FunctionTok">
    <w:name w:val="FunctionTok"/>
    <w:basedOn w:val="VerbatimChar"/>
    <w:rPr>
      <w:rFonts w:ascii="Consolas" w:hAnsi="Consolas"/>
      <w:i/>
      <w:color w:val="000000"/>
      <w:sz w:val="22"/>
      <w:shd w:val="clear" w:color="auto" w:fill="F8F8F8"/>
    </w:rPr>
  </w:style>
  <w:style w:type="character" w:customStyle="1" w:styleId="VariableTok">
    <w:name w:val="VariableTok"/>
    <w:basedOn w:val="VerbatimChar"/>
    <w:rPr>
      <w:rFonts w:ascii="Consolas" w:hAnsi="Consolas"/>
      <w:i/>
      <w:color w:val="000000"/>
      <w:sz w:val="22"/>
      <w:shd w:val="clear" w:color="auto" w:fill="F8F8F8"/>
    </w:rPr>
  </w:style>
  <w:style w:type="character" w:customStyle="1" w:styleId="ControlFlowTok">
    <w:name w:val="ControlFlowTok"/>
    <w:basedOn w:val="VerbatimChar"/>
    <w:rPr>
      <w:rFonts w:ascii="Consolas" w:hAnsi="Consolas"/>
      <w:b/>
      <w:i/>
      <w:color w:val="204A87"/>
      <w:sz w:val="22"/>
      <w:shd w:val="clear" w:color="auto" w:fill="F8F8F8"/>
    </w:rPr>
  </w:style>
  <w:style w:type="character" w:customStyle="1" w:styleId="OperatorTok">
    <w:name w:val="OperatorTok"/>
    <w:basedOn w:val="VerbatimChar"/>
    <w:rPr>
      <w:rFonts w:ascii="Consolas" w:hAnsi="Consolas"/>
      <w:b/>
      <w:i/>
      <w:color w:val="CE5C00"/>
      <w:sz w:val="22"/>
      <w:shd w:val="clear" w:color="auto" w:fill="F8F8F8"/>
    </w:rPr>
  </w:style>
  <w:style w:type="character" w:customStyle="1" w:styleId="BuiltInTok">
    <w:name w:val="BuiltInTok"/>
    <w:basedOn w:val="VerbatimChar"/>
    <w:rPr>
      <w:rFonts w:ascii="Consolas" w:hAnsi="Consolas"/>
      <w:i/>
      <w:sz w:val="22"/>
      <w:shd w:val="clear" w:color="auto" w:fill="F8F8F8"/>
    </w:rPr>
  </w:style>
  <w:style w:type="character" w:customStyle="1" w:styleId="ExtensionTok">
    <w:name w:val="ExtensionTok"/>
    <w:basedOn w:val="VerbatimChar"/>
    <w:rPr>
      <w:rFonts w:ascii="Consolas" w:hAnsi="Consolas"/>
      <w:i/>
      <w:sz w:val="22"/>
      <w:shd w:val="clear" w:color="auto" w:fill="F8F8F8"/>
    </w:rPr>
  </w:style>
  <w:style w:type="character" w:customStyle="1" w:styleId="PreprocessorTok">
    <w:name w:val="PreprocessorTok"/>
    <w:basedOn w:val="VerbatimChar"/>
    <w:rPr>
      <w:rFonts w:ascii="Consolas" w:hAnsi="Consolas"/>
      <w:i w:val="0"/>
      <w:color w:val="8F5902"/>
      <w:sz w:val="22"/>
      <w:shd w:val="clear" w:color="auto" w:fill="F8F8F8"/>
    </w:rPr>
  </w:style>
  <w:style w:type="character" w:customStyle="1" w:styleId="AttributeTok">
    <w:name w:val="AttributeTok"/>
    <w:basedOn w:val="VerbatimChar"/>
    <w:rPr>
      <w:rFonts w:ascii="Consolas" w:hAnsi="Consolas"/>
      <w:i/>
      <w:color w:val="C4A000"/>
      <w:sz w:val="22"/>
      <w:shd w:val="clear" w:color="auto" w:fill="F8F8F8"/>
    </w:rPr>
  </w:style>
  <w:style w:type="character" w:customStyle="1" w:styleId="RegionMarkerTok">
    <w:name w:val="RegionMarkerTok"/>
    <w:basedOn w:val="VerbatimChar"/>
    <w:rPr>
      <w:rFonts w:ascii="Consolas" w:hAnsi="Consolas"/>
      <w:i/>
      <w:sz w:val="22"/>
      <w:shd w:val="clear" w:color="auto" w:fill="F8F8F8"/>
    </w:rPr>
  </w:style>
  <w:style w:type="character" w:customStyle="1" w:styleId="InformationTok">
    <w:name w:val="InformationTok"/>
    <w:basedOn w:val="VerbatimChar"/>
    <w:rPr>
      <w:rFonts w:ascii="Consolas" w:hAnsi="Consolas"/>
      <w:b/>
      <w:i w:val="0"/>
      <w:color w:val="8F5902"/>
      <w:sz w:val="22"/>
      <w:shd w:val="clear" w:color="auto" w:fill="F8F8F8"/>
    </w:rPr>
  </w:style>
  <w:style w:type="character" w:customStyle="1" w:styleId="WarningTok">
    <w:name w:val="WarningTok"/>
    <w:basedOn w:val="VerbatimChar"/>
    <w:rPr>
      <w:rFonts w:ascii="Consolas" w:hAnsi="Consolas"/>
      <w:b/>
      <w:i w:val="0"/>
      <w:color w:val="8F5902"/>
      <w:sz w:val="22"/>
      <w:shd w:val="clear" w:color="auto" w:fill="F8F8F8"/>
    </w:rPr>
  </w:style>
  <w:style w:type="character" w:customStyle="1" w:styleId="AlertTok">
    <w:name w:val="AlertTok"/>
    <w:basedOn w:val="VerbatimChar"/>
    <w:rPr>
      <w:rFonts w:ascii="Consolas" w:hAnsi="Consolas"/>
      <w:i/>
      <w:color w:val="EF2929"/>
      <w:sz w:val="22"/>
      <w:shd w:val="clear" w:color="auto" w:fill="F8F8F8"/>
    </w:rPr>
  </w:style>
  <w:style w:type="character" w:customStyle="1" w:styleId="ErrorTok">
    <w:name w:val="ErrorTok"/>
    <w:basedOn w:val="VerbatimChar"/>
    <w:rPr>
      <w:rFonts w:ascii="Consolas" w:hAnsi="Consolas"/>
      <w:b/>
      <w:i/>
      <w:color w:val="A40000"/>
      <w:sz w:val="22"/>
      <w:shd w:val="clear" w:color="auto" w:fill="F8F8F8"/>
    </w:rPr>
  </w:style>
  <w:style w:type="character" w:customStyle="1" w:styleId="NormalTok">
    <w:name w:val="NormalTok"/>
    <w:basedOn w:val="VerbatimChar"/>
    <w:rPr>
      <w:rFonts w:ascii="Consolas" w:hAnsi="Consolas"/>
      <w:i/>
      <w:sz w:val="22"/>
      <w:shd w:val="clear" w:color="auto" w:fill="F8F8F8"/>
    </w:rPr>
  </w:style>
  <w:style w:type="character" w:styleId="LineNumber">
    <w:name w:val="line number"/>
    <w:basedOn w:val="DefaultParagraphFont"/>
    <w:semiHidden/>
    <w:unhideWhenUsed/>
    <w:rsid w:val="00CC5676"/>
    <w:rPr>
      <w:rFonts w:ascii="Latin Modern Roman 9" w:hAnsi="Latin Modern Roman 9"/>
      <w:sz w:val="14"/>
    </w:rPr>
  </w:style>
  <w:style w:type="character" w:styleId="FollowedHyperlink">
    <w:name w:val="FollowedHyperlink"/>
    <w:basedOn w:val="DefaultParagraphFont"/>
    <w:semiHidden/>
    <w:unhideWhenUsed/>
    <w:rsid w:val="009E5798"/>
    <w:rPr>
      <w:color w:val="800080" w:themeColor="followedHyperlink"/>
      <w:u w:val="single"/>
    </w:rPr>
  </w:style>
  <w:style w:type="character" w:customStyle="1" w:styleId="BodyTextChar">
    <w:name w:val="Body Text Char"/>
    <w:basedOn w:val="DefaultParagraphFont"/>
    <w:link w:val="BodyText"/>
    <w:rsid w:val="00385DCB"/>
    <w:rPr>
      <w:rFonts w:ascii="Times New Roman" w:hAnsi="Times New Roman"/>
    </w:rPr>
  </w:style>
  <w:style w:type="table" w:customStyle="1" w:styleId="Table1">
    <w:name w:val="Table1"/>
    <w:semiHidden/>
    <w:unhideWhenUsed/>
    <w:qFormat/>
    <w:rsid w:val="00DC29E0"/>
    <w:tblPr>
      <w:tblInd w:w="0" w:type="dxa"/>
      <w:tblCellMar>
        <w:top w:w="0" w:type="dxa"/>
        <w:left w:w="108" w:type="dxa"/>
        <w:bottom w:w="0" w:type="dxa"/>
        <w:right w:w="108" w:type="dxa"/>
      </w:tblCellMar>
    </w:tblPr>
  </w:style>
  <w:style w:type="paragraph" w:customStyle="1" w:styleId="table0">
    <w:name w:val="table"/>
    <w:basedOn w:val="Normal"/>
    <w:qFormat/>
    <w:rsid w:val="00DC29E0"/>
    <w:pPr>
      <w:keepNext/>
      <w:spacing w:after="120"/>
    </w:pPr>
    <w:rPr>
      <w:i/>
    </w:rPr>
  </w:style>
  <w:style w:type="character" w:styleId="IntenseEmphasis">
    <w:name w:val="Intense Emphasis"/>
    <w:basedOn w:val="DefaultParagraphFont"/>
    <w:rsid w:val="00CC5676"/>
    <w:rPr>
      <w:i w:val="0"/>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hyperlink" Id="rId119" Target="https://doi.org/10.1002/ecs2.1981" TargetMode="External" /><Relationship Type="http://schemas.openxmlformats.org/officeDocument/2006/relationships/hyperlink" Id="rId92" Target="https://doi.org/10.1002/ecy.2817" TargetMode="External" /><Relationship Type="http://schemas.openxmlformats.org/officeDocument/2006/relationships/hyperlink" Id="rId136" Target="https://doi.org/10.1007/s00442-010-1769-z" TargetMode="External" /><Relationship Type="http://schemas.openxmlformats.org/officeDocument/2006/relationships/hyperlink" Id="rId104" Target="https://doi.org/10.1007/s10980-015-0273-6" TargetMode="External" /><Relationship Type="http://schemas.openxmlformats.org/officeDocument/2006/relationships/hyperlink" Id="rId86" Target="https://doi.org/10.1007/s10980-018-0761-6" TargetMode="External" /><Relationship Type="http://schemas.openxmlformats.org/officeDocument/2006/relationships/hyperlink" Id="rId168" Target="https://doi.org/10.1007/s13595-012-0235-y" TargetMode="External" /><Relationship Type="http://schemas.openxmlformats.org/officeDocument/2006/relationships/hyperlink" Id="rId130" Target="https://doi.org/10.1007/s13595-014-0446-5" TargetMode="External" /><Relationship Type="http://schemas.openxmlformats.org/officeDocument/2006/relationships/hyperlink" Id="rId74" Target="https://doi.org/10.1016/j.foreco.2004.10.045" TargetMode="External" /><Relationship Type="http://schemas.openxmlformats.org/officeDocument/2006/relationships/hyperlink" Id="rId132" Target="https://doi.org/10.1016/j.foreco.2009.12.006" TargetMode="External" /><Relationship Type="http://schemas.openxmlformats.org/officeDocument/2006/relationships/hyperlink" Id="rId82" Target="https://doi.org/10.1016/j.foreco.2018.04.027" TargetMode="External" /><Relationship Type="http://schemas.openxmlformats.org/officeDocument/2006/relationships/hyperlink" Id="rId78" Target="https://doi.org/10.1016/j.jtbi.2015.10.012" TargetMode="External" /><Relationship Type="http://schemas.openxmlformats.org/officeDocument/2006/relationships/hyperlink" Id="rId117" Target="https://doi.org/10.1016/j.tree.2003.09.007" TargetMode="External" /><Relationship Type="http://schemas.openxmlformats.org/officeDocument/2006/relationships/hyperlink" Id="rId155" Target="https://doi.org/10.1016/j.tree.2008.12.006" TargetMode="External" /><Relationship Type="http://schemas.openxmlformats.org/officeDocument/2006/relationships/hyperlink" Id="rId134" Target="https://doi.org/10.1016/j.tree.2009.04.011" TargetMode="External" /><Relationship Type="http://schemas.openxmlformats.org/officeDocument/2006/relationships/hyperlink" Id="rId181" Target="https://doi.org/10.1016/j.tree.2009.05.007" TargetMode="External" /><Relationship Type="http://schemas.openxmlformats.org/officeDocument/2006/relationships/hyperlink" Id="rId128" Target="https://doi.org/10.1016/j.tree.2009.10.001" TargetMode="External" /><Relationship Type="http://schemas.openxmlformats.org/officeDocument/2006/relationships/hyperlink" Id="rId125" Target="https://doi.org/10.1016/j.tree.2013.01.010" TargetMode="External" /><Relationship Type="http://schemas.openxmlformats.org/officeDocument/2006/relationships/hyperlink" Id="rId113" Target="https://doi.org/10.1038/23876" TargetMode="External" /><Relationship Type="http://schemas.openxmlformats.org/officeDocument/2006/relationships/hyperlink" Id="rId174" Target="https://doi.org/10.1038/371065a0" TargetMode="External" /><Relationship Type="http://schemas.openxmlformats.org/officeDocument/2006/relationships/hyperlink" Id="rId100" Target="https://doi.org/10.1038/nclimate1514" TargetMode="External" /><Relationship Type="http://schemas.openxmlformats.org/officeDocument/2006/relationships/hyperlink" Id="rId151" Target="https://doi.org/10.1038/nclimate2497" TargetMode="External" /><Relationship Type="http://schemas.openxmlformats.org/officeDocument/2006/relationships/hyperlink" Id="rId172" Target="https://doi.org/10.1038/s41559-017-0182" TargetMode="External" /><Relationship Type="http://schemas.openxmlformats.org/officeDocument/2006/relationships/hyperlink" Id="rId142" Target="https://doi.org/10.1046/j.1365-2699.2002.00702.x" TargetMode="External" /><Relationship Type="http://schemas.openxmlformats.org/officeDocument/2006/relationships/hyperlink" Id="rId121" Target="https://doi.org/10.1046/j.1461-0248.2000.00116.x" TargetMode="External" /><Relationship Type="http://schemas.openxmlformats.org/officeDocument/2006/relationships/hyperlink" Id="rId140" Target="https://doi.org/10.1093/besa/15.3.237" TargetMode="External" /><Relationship Type="http://schemas.openxmlformats.org/officeDocument/2006/relationships/hyperlink" Id="rId80" Target="https://doi.org/10.1093/biosci/biu234" TargetMode="External" /><Relationship Type="http://schemas.openxmlformats.org/officeDocument/2006/relationships/hyperlink" Id="rId164" Target="https://doi.org/10.1111/1365-2745.13311" TargetMode="External" /><Relationship Type="http://schemas.openxmlformats.org/officeDocument/2006/relationships/hyperlink" Id="rId147" Target="https://doi.org/10.1111/ecog.01490" TargetMode="External" /><Relationship Type="http://schemas.openxmlformats.org/officeDocument/2006/relationships/hyperlink" Id="rId111" Target="https://doi.org/10.1111/ele.12748" TargetMode="External" /><Relationship Type="http://schemas.openxmlformats.org/officeDocument/2006/relationships/hyperlink" Id="rId160" Target="https://doi.org/10.1111/gcb.13622" TargetMode="External" /><Relationship Type="http://schemas.openxmlformats.org/officeDocument/2006/relationships/hyperlink" Id="rId90" Target="https://doi.org/10.1111/gcb.15143" TargetMode="External" /><Relationship Type="http://schemas.openxmlformats.org/officeDocument/2006/relationships/hyperlink" Id="rId153" Target="https://doi.org/10.1111/geb.12240" TargetMode="External" /><Relationship Type="http://schemas.openxmlformats.org/officeDocument/2006/relationships/hyperlink" Id="rId166" Target="https://doi.org/10.1111/geb.12829" TargetMode="External" /><Relationship Type="http://schemas.openxmlformats.org/officeDocument/2006/relationships/hyperlink" Id="rId88" Target="https://doi.org/10.1111/geb.12971" TargetMode="External" /><Relationship Type="http://schemas.openxmlformats.org/officeDocument/2006/relationships/hyperlink" Id="rId123" Target="https://doi.org/10.1111/j.0030-1299.2005.13147.x" TargetMode="External" /><Relationship Type="http://schemas.openxmlformats.org/officeDocument/2006/relationships/hyperlink" Id="rId183" Target="https://doi.org/10.1111/j.1365-2486.2011.02571.x" TargetMode="External" /><Relationship Type="http://schemas.openxmlformats.org/officeDocument/2006/relationships/hyperlink" Id="rId106" Target="https://doi.org/10.1111/j.1365-2664.2010.01801.x" TargetMode="External" /><Relationship Type="http://schemas.openxmlformats.org/officeDocument/2006/relationships/hyperlink" Id="rId157" Target="https://doi.org/10.1111/j.1365-2699.2012.02737.x" TargetMode="External" /><Relationship Type="http://schemas.openxmlformats.org/officeDocument/2006/relationships/hyperlink" Id="rId115" Target="https://doi.org/10.1111/j.1461-0248.2009.01355.x" TargetMode="External" /><Relationship Type="http://schemas.openxmlformats.org/officeDocument/2006/relationships/hyperlink" Id="rId145" Target="https://doi.org/10.1111/j.1523-1739.2007.00676.x" TargetMode="External" /><Relationship Type="http://schemas.openxmlformats.org/officeDocument/2006/relationships/hyperlink" Id="rId96" Target="https://doi.org/10.1111/j.1526-100X.2008.00495.x" TargetMode="External" /><Relationship Type="http://schemas.openxmlformats.org/officeDocument/2006/relationships/hyperlink" Id="rId176" Target="https://doi.org/10.1111/j.1600-0587.2013.00345.x" TargetMode="External" /><Relationship Type="http://schemas.openxmlformats.org/officeDocument/2006/relationships/hyperlink" Id="rId76" Target="https://doi.org/10.1111/j.1600-0587.2013.00643.x" TargetMode="External" /><Relationship Type="http://schemas.openxmlformats.org/officeDocument/2006/relationships/hyperlink" Id="rId70" Target="https://doi.org/10.1111/j.1752-4571.2007.00013.x" TargetMode="External" /><Relationship Type="http://schemas.openxmlformats.org/officeDocument/2006/relationships/hyperlink" Id="rId84" Target="https://doi.org/10.1111/oik.05052" TargetMode="External" /><Relationship Type="http://schemas.openxmlformats.org/officeDocument/2006/relationships/hyperlink" Id="rId98" Target="https://doi.org/10.1126/science.1200303" TargetMode="External" /><Relationship Type="http://schemas.openxmlformats.org/officeDocument/2006/relationships/hyperlink" Id="rId94" Target="https://doi.org/10.1126/science.1206432" TargetMode="External" /><Relationship Type="http://schemas.openxmlformats.org/officeDocument/2006/relationships/hyperlink" Id="rId138" Target="https://doi.org/10.1139/x99-223" TargetMode="External" /><Relationship Type="http://schemas.openxmlformats.org/officeDocument/2006/relationships/hyperlink" Id="rId72" Target="https://doi.org/10.1371/journal.pone.0197689" TargetMode="External" /><Relationship Type="http://schemas.openxmlformats.org/officeDocument/2006/relationships/hyperlink" Id="rId109" Target="https://doi.org/10.1890/10-1054.1" TargetMode="External" /><Relationship Type="http://schemas.openxmlformats.org/officeDocument/2006/relationships/hyperlink" Id="rId102" Target="https://doi.org/10.1890/14-0738.1" TargetMode="External" /><Relationship Type="http://schemas.openxmlformats.org/officeDocument/2006/relationships/hyperlink" Id="rId149" Target="https://doi.org/10.2307/1310052" TargetMode="External" /><Relationship Type="http://schemas.openxmlformats.org/officeDocument/2006/relationships/hyperlink" Id="rId170" Target="https://doi.org/10.3732/ajb.1200469" TargetMode="External" /><Relationship Type="http://schemas.openxmlformats.org/officeDocument/2006/relationships/hyperlink" Id="rId178" Target="https://doi.org/10.5281/ZENODO.3829679" TargetMode="External" /><Relationship Type="http://schemas.openxmlformats.org/officeDocument/2006/relationships/hyperlink" Id="rId21" Target="https://github.com/willvieira/ms_STM-managed" TargetMode="External" /><Relationship Type="http://schemas.openxmlformats.org/officeDocument/2006/relationships/hyperlink" Id="rId20" Target="https://willvieira.github.io/ms_STM-managed/suppInfo.pdf" TargetMode="External" /></Relationships>
</file>

<file path=word/_rels/footnotes.xml.rels><?xml version="1.0" encoding="UTF-8"?>
<Relationships xmlns="http://schemas.openxmlformats.org/package/2006/relationships"><Relationship Type="http://schemas.openxmlformats.org/officeDocument/2006/relationships/hyperlink" Id="rId119" Target="https://doi.org/10.1002/ecs2.1981" TargetMode="External" /><Relationship Type="http://schemas.openxmlformats.org/officeDocument/2006/relationships/hyperlink" Id="rId92" Target="https://doi.org/10.1002/ecy.2817" TargetMode="External" /><Relationship Type="http://schemas.openxmlformats.org/officeDocument/2006/relationships/hyperlink" Id="rId136" Target="https://doi.org/10.1007/s00442-010-1769-z" TargetMode="External" /><Relationship Type="http://schemas.openxmlformats.org/officeDocument/2006/relationships/hyperlink" Id="rId104" Target="https://doi.org/10.1007/s10980-015-0273-6" TargetMode="External" /><Relationship Type="http://schemas.openxmlformats.org/officeDocument/2006/relationships/hyperlink" Id="rId86" Target="https://doi.org/10.1007/s10980-018-0761-6" TargetMode="External" /><Relationship Type="http://schemas.openxmlformats.org/officeDocument/2006/relationships/hyperlink" Id="rId168" Target="https://doi.org/10.1007/s13595-012-0235-y" TargetMode="External" /><Relationship Type="http://schemas.openxmlformats.org/officeDocument/2006/relationships/hyperlink" Id="rId130" Target="https://doi.org/10.1007/s13595-014-0446-5" TargetMode="External" /><Relationship Type="http://schemas.openxmlformats.org/officeDocument/2006/relationships/hyperlink" Id="rId74" Target="https://doi.org/10.1016/j.foreco.2004.10.045" TargetMode="External" /><Relationship Type="http://schemas.openxmlformats.org/officeDocument/2006/relationships/hyperlink" Id="rId132" Target="https://doi.org/10.1016/j.foreco.2009.12.006" TargetMode="External" /><Relationship Type="http://schemas.openxmlformats.org/officeDocument/2006/relationships/hyperlink" Id="rId82" Target="https://doi.org/10.1016/j.foreco.2018.04.027" TargetMode="External" /><Relationship Type="http://schemas.openxmlformats.org/officeDocument/2006/relationships/hyperlink" Id="rId78" Target="https://doi.org/10.1016/j.jtbi.2015.10.012" TargetMode="External" /><Relationship Type="http://schemas.openxmlformats.org/officeDocument/2006/relationships/hyperlink" Id="rId117" Target="https://doi.org/10.1016/j.tree.2003.09.007" TargetMode="External" /><Relationship Type="http://schemas.openxmlformats.org/officeDocument/2006/relationships/hyperlink" Id="rId155" Target="https://doi.org/10.1016/j.tree.2008.12.006" TargetMode="External" /><Relationship Type="http://schemas.openxmlformats.org/officeDocument/2006/relationships/hyperlink" Id="rId134" Target="https://doi.org/10.1016/j.tree.2009.04.011" TargetMode="External" /><Relationship Type="http://schemas.openxmlformats.org/officeDocument/2006/relationships/hyperlink" Id="rId181" Target="https://doi.org/10.1016/j.tree.2009.05.007" TargetMode="External" /><Relationship Type="http://schemas.openxmlformats.org/officeDocument/2006/relationships/hyperlink" Id="rId128" Target="https://doi.org/10.1016/j.tree.2009.10.001" TargetMode="External" /><Relationship Type="http://schemas.openxmlformats.org/officeDocument/2006/relationships/hyperlink" Id="rId125" Target="https://doi.org/10.1016/j.tree.2013.01.010" TargetMode="External" /><Relationship Type="http://schemas.openxmlformats.org/officeDocument/2006/relationships/hyperlink" Id="rId113" Target="https://doi.org/10.1038/23876" TargetMode="External" /><Relationship Type="http://schemas.openxmlformats.org/officeDocument/2006/relationships/hyperlink" Id="rId174" Target="https://doi.org/10.1038/371065a0" TargetMode="External" /><Relationship Type="http://schemas.openxmlformats.org/officeDocument/2006/relationships/hyperlink" Id="rId100" Target="https://doi.org/10.1038/nclimate1514" TargetMode="External" /><Relationship Type="http://schemas.openxmlformats.org/officeDocument/2006/relationships/hyperlink" Id="rId151" Target="https://doi.org/10.1038/nclimate2497" TargetMode="External" /><Relationship Type="http://schemas.openxmlformats.org/officeDocument/2006/relationships/hyperlink" Id="rId172" Target="https://doi.org/10.1038/s41559-017-0182" TargetMode="External" /><Relationship Type="http://schemas.openxmlformats.org/officeDocument/2006/relationships/hyperlink" Id="rId142" Target="https://doi.org/10.1046/j.1365-2699.2002.00702.x" TargetMode="External" /><Relationship Type="http://schemas.openxmlformats.org/officeDocument/2006/relationships/hyperlink" Id="rId121" Target="https://doi.org/10.1046/j.1461-0248.2000.00116.x" TargetMode="External" /><Relationship Type="http://schemas.openxmlformats.org/officeDocument/2006/relationships/hyperlink" Id="rId140" Target="https://doi.org/10.1093/besa/15.3.237" TargetMode="External" /><Relationship Type="http://schemas.openxmlformats.org/officeDocument/2006/relationships/hyperlink" Id="rId80" Target="https://doi.org/10.1093/biosci/biu234" TargetMode="External" /><Relationship Type="http://schemas.openxmlformats.org/officeDocument/2006/relationships/hyperlink" Id="rId164" Target="https://doi.org/10.1111/1365-2745.13311" TargetMode="External" /><Relationship Type="http://schemas.openxmlformats.org/officeDocument/2006/relationships/hyperlink" Id="rId147" Target="https://doi.org/10.1111/ecog.01490" TargetMode="External" /><Relationship Type="http://schemas.openxmlformats.org/officeDocument/2006/relationships/hyperlink" Id="rId111" Target="https://doi.org/10.1111/ele.12748" TargetMode="External" /><Relationship Type="http://schemas.openxmlformats.org/officeDocument/2006/relationships/hyperlink" Id="rId160" Target="https://doi.org/10.1111/gcb.13622" TargetMode="External" /><Relationship Type="http://schemas.openxmlformats.org/officeDocument/2006/relationships/hyperlink" Id="rId90" Target="https://doi.org/10.1111/gcb.15143" TargetMode="External" /><Relationship Type="http://schemas.openxmlformats.org/officeDocument/2006/relationships/hyperlink" Id="rId153" Target="https://doi.org/10.1111/geb.12240" TargetMode="External" /><Relationship Type="http://schemas.openxmlformats.org/officeDocument/2006/relationships/hyperlink" Id="rId166" Target="https://doi.org/10.1111/geb.12829" TargetMode="External" /><Relationship Type="http://schemas.openxmlformats.org/officeDocument/2006/relationships/hyperlink" Id="rId88" Target="https://doi.org/10.1111/geb.12971" TargetMode="External" /><Relationship Type="http://schemas.openxmlformats.org/officeDocument/2006/relationships/hyperlink" Id="rId123" Target="https://doi.org/10.1111/j.0030-1299.2005.13147.x" TargetMode="External" /><Relationship Type="http://schemas.openxmlformats.org/officeDocument/2006/relationships/hyperlink" Id="rId183" Target="https://doi.org/10.1111/j.1365-2486.2011.02571.x" TargetMode="External" /><Relationship Type="http://schemas.openxmlformats.org/officeDocument/2006/relationships/hyperlink" Id="rId106" Target="https://doi.org/10.1111/j.1365-2664.2010.01801.x" TargetMode="External" /><Relationship Type="http://schemas.openxmlformats.org/officeDocument/2006/relationships/hyperlink" Id="rId157" Target="https://doi.org/10.1111/j.1365-2699.2012.02737.x" TargetMode="External" /><Relationship Type="http://schemas.openxmlformats.org/officeDocument/2006/relationships/hyperlink" Id="rId115" Target="https://doi.org/10.1111/j.1461-0248.2009.01355.x" TargetMode="External" /><Relationship Type="http://schemas.openxmlformats.org/officeDocument/2006/relationships/hyperlink" Id="rId145" Target="https://doi.org/10.1111/j.1523-1739.2007.00676.x" TargetMode="External" /><Relationship Type="http://schemas.openxmlformats.org/officeDocument/2006/relationships/hyperlink" Id="rId96" Target="https://doi.org/10.1111/j.1526-100X.2008.00495.x" TargetMode="External" /><Relationship Type="http://schemas.openxmlformats.org/officeDocument/2006/relationships/hyperlink" Id="rId176" Target="https://doi.org/10.1111/j.1600-0587.2013.00345.x" TargetMode="External" /><Relationship Type="http://schemas.openxmlformats.org/officeDocument/2006/relationships/hyperlink" Id="rId76" Target="https://doi.org/10.1111/j.1600-0587.2013.00643.x" TargetMode="External" /><Relationship Type="http://schemas.openxmlformats.org/officeDocument/2006/relationships/hyperlink" Id="rId70" Target="https://doi.org/10.1111/j.1752-4571.2007.00013.x" TargetMode="External" /><Relationship Type="http://schemas.openxmlformats.org/officeDocument/2006/relationships/hyperlink" Id="rId84" Target="https://doi.org/10.1111/oik.05052" TargetMode="External" /><Relationship Type="http://schemas.openxmlformats.org/officeDocument/2006/relationships/hyperlink" Id="rId98" Target="https://doi.org/10.1126/science.1200303" TargetMode="External" /><Relationship Type="http://schemas.openxmlformats.org/officeDocument/2006/relationships/hyperlink" Id="rId94" Target="https://doi.org/10.1126/science.1206432" TargetMode="External" /><Relationship Type="http://schemas.openxmlformats.org/officeDocument/2006/relationships/hyperlink" Id="rId138" Target="https://doi.org/10.1139/x99-223" TargetMode="External" /><Relationship Type="http://schemas.openxmlformats.org/officeDocument/2006/relationships/hyperlink" Id="rId72" Target="https://doi.org/10.1371/journal.pone.0197689" TargetMode="External" /><Relationship Type="http://schemas.openxmlformats.org/officeDocument/2006/relationships/hyperlink" Id="rId109" Target="https://doi.org/10.1890/10-1054.1" TargetMode="External" /><Relationship Type="http://schemas.openxmlformats.org/officeDocument/2006/relationships/hyperlink" Id="rId102" Target="https://doi.org/10.1890/14-0738.1" TargetMode="External" /><Relationship Type="http://schemas.openxmlformats.org/officeDocument/2006/relationships/hyperlink" Id="rId149" Target="https://doi.org/10.2307/1310052" TargetMode="External" /><Relationship Type="http://schemas.openxmlformats.org/officeDocument/2006/relationships/hyperlink" Id="rId170" Target="https://doi.org/10.3732/ajb.1200469" TargetMode="External" /><Relationship Type="http://schemas.openxmlformats.org/officeDocument/2006/relationships/hyperlink" Id="rId178" Target="https://doi.org/10.5281/ZENODO.3829679" TargetMode="External" /><Relationship Type="http://schemas.openxmlformats.org/officeDocument/2006/relationships/hyperlink" Id="rId21" Target="https://github.com/willvieira/ms_STM-managed" TargetMode="External" /><Relationship Type="http://schemas.openxmlformats.org/officeDocument/2006/relationships/hyperlink" Id="rId20" Target="https://willvieira.github.io/ms_STM-managed/suppInfo.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2</Pages>
  <Words>213</Words>
  <Characters>1217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Forest Management Affect Colonization Credit, but not Extinction Debt, to Reduce Delayed Range Shifts under Climate Change</vt:lpstr>
    </vt:vector>
  </TitlesOfParts>
  <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Paying colonization credit with forest management could accelerate northward range shift of temperate trees</dc:title>
  <dc:creator>Willian Vieira1,2,*, Isabelle Boulangeat3, Marie-Hélène Brice4,2, Robert L. Bradley1,5, Dominique Gravel1,2  1 Département de biologie, Université de Sherbrooke, Sherbrooke, Québec, Canada 2 Québec Centre for Biodiversity Sciences, McGill University, Montréal, Québec, Canada 3 Université Grenoble Alpes, INRAE, LESSEM, St-Martin-d’Hères, France 4 Département de Sciences Biologiques, Université de Montréal, Montréal, Québec, Canada 5 Centre d’étude de la forêt, Université du Québec à Montréal, Montréal, Québec, Canada * corresponding author: willian.vieira@usherbrooke.ca</dc:creator>
  <cp:keywords/>
  <dcterms:created xsi:type="dcterms:W3CDTF">2020-10-08T15:54:41Z</dcterms:created>
  <dcterms:modified xsi:type="dcterms:W3CDTF">2020-10-08T15:54:41Z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northward migration of several tree species ranges is likely to lag behind climate change due to slow demography, competitive interactions and dispersal limitations. These will result in a colonization credit, where suitable climate envelopes are left unoccupied, and extinction debt, where tree stands persist at unsuitable climatic locations. While the underlying mechanisms explaining the delayed range shift of forest trees have been investigated, few studies have focused on how to overcome this lag. Here we extend a forest community state model derived from the metapopulation theory and validated with over 40,000 forest inventory plots, to formulate how forest management can accelerate the response of the boreal-temperate ecotone following warming temperature. We first established a general framework to represent how forest management affects the colonization/extinction processes driving four forest states: Boreal, Temperate, Mixed and Regeneration. We then simulated the potential of forest management to reduce colonization credit and extinction debt using two complementary approaches to measure the resilience and range shift of the boreal-temperate ecotone after warming temperature. Our simulations reveal that paying the colonization credit by planting temperate tree in regeneration or in boreal stands are likely to i) reduce the time the forest states takes to return to equilibrium, ii) increase forest resilience, and iii) move the ecotone northward. Surprisingly, harvesting boreal trees in boreal or mixed stands aiming to reduce extinction debt and open place to temperate trees colonize, were not effective. Our results suggest that forest management could help the boreal-temperate ecotone keep pace with climate change. This theoretical investigation supported by long-term data provides new insights to design future experiments testing the potential of forest management to adapt to climate change.</vt:lpwstr>
  </property>
</Properties>
</file>