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Costos de WhatsApp y del agente de IA</w:t>
      </w:r>
    </w:p>
    <w:p>
      <w:pPr>
        <w:spacing w:after="100"/>
      </w:pPr>
      <w:r>
        <w:rPr>
          <w:b w:val="0"/>
          <w:sz w:val="19"/>
        </w:rPr>
        <w:t>OdontoCare para un consultorio odontológico | Referencia del 12 de octubre de 2026</w:t>
      </w:r>
    </w:p>
    <w:p>
      <w:r>
        <w:rPr>
          <w:b w:val="0"/>
        </w:rPr>
        <w:t>Para un consultorio con poco tráfico se propone Kapso Free y Groq Developer por consumo. Las tablas permiten estimar el gasto de pruebas y el uso mensual con el número propio del consultorio.</w:t>
      </w:r>
    </w:p>
    <w:p>
      <w:pPr>
        <w:pStyle w:val="Heading1"/>
      </w:pPr>
      <w:r>
        <w:t>Activación y modalidades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469"/>
        <w:gridCol w:w="2304"/>
        <w:gridCol w:w="6451"/>
      </w:tblGrid>
      <w:tr>
        <w:trPr>
          <w:tblHeader/>
          <w:cantSplit/>
        </w:trPr>
        <w:tc>
          <w:tcPr>
            <w:tcW w:type="dxa" w:w="1469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19"/>
              </w:rPr>
              <w:t>Servicio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19"/>
              </w:rPr>
              <w:t>Pago inicial o mensual</w:t>
            </w:r>
          </w:p>
        </w:tc>
        <w:tc>
          <w:tcPr>
            <w:tcW w:type="dxa" w:w="6451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19"/>
              </w:rPr>
              <w:t>Qué incluye</w:t>
            </w:r>
          </w:p>
        </w:tc>
      </w:tr>
      <w:tr>
        <w:trPr>
          <w:cantSplit/>
        </w:trPr>
        <w:tc>
          <w:tcPr>
            <w:tcW w:type="dxa" w:w="1469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Kapso Free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Recarga de US$5</w:t>
              <w:br/>
              <w:t>Pago observado US$5,55</w:t>
            </w:r>
          </w:p>
        </w:tc>
        <w:tc>
          <w:tcPr>
            <w:tcW w:type="dxa" w:w="6451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2 000 mensajes al mes y un número propio, además del Sandbox. Recargar saldo mantiene Free; no activa Pro.</w:t>
            </w:r>
          </w:p>
        </w:tc>
      </w:tr>
      <w:tr>
        <w:trPr>
          <w:cantSplit/>
        </w:trPr>
        <w:tc>
          <w:tcPr>
            <w:tcW w:type="dxa" w:w="1469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Kapso Pro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US$25 al mes</w:t>
            </w:r>
          </w:p>
        </w:tc>
        <w:tc>
          <w:tcPr>
            <w:tcW w:type="dxa" w:w="6451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100 000 mensajes al mes y tres números. Los cargos de envío de Meta se pagan aparte.</w:t>
            </w:r>
          </w:p>
        </w:tc>
      </w:tr>
      <w:tr>
        <w:trPr>
          <w:cantSplit/>
        </w:trPr>
        <w:tc>
          <w:tcPr>
            <w:tcW w:type="dxa" w:w="1469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Groq Developer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Sin recarga inicial</w:t>
              <w:br/>
              <w:t>Tarjeta válida</w:t>
            </w:r>
          </w:p>
        </w:tc>
        <w:tc>
          <w:tcPr>
            <w:tcW w:type="dxa" w:w="6451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Pago por uso del modelo. Sin cargo inmediato al actualizar; facturación mensual o por umbrales de consumo.</w:t>
            </w:r>
          </w:p>
        </w:tc>
      </w:tr>
    </w:tbl>
    <w:p>
      <w:pPr>
        <w:pStyle w:val="Heading1"/>
      </w:pPr>
      <w:r>
        <w:t>El cupo mensual y los créditos son independientes</w:t>
      </w:r>
    </w:p>
    <w:p>
      <w:pPr>
        <w:spacing w:after="100"/>
      </w:pPr>
      <w:r>
        <w:rPr>
          <w:b w:val="0"/>
          <w:sz w:val="19"/>
        </w:rPr>
        <w:t>Free incluye 2 000 mensajes mensuales de plataforma, pero el envío del Sandbox consume créditos aparte. Los US$2 de bienvenida se entregan una sola vez. Al agotarse, hay que recargar para seguir enviando; se puede conservar Free.</w:t>
      </w:r>
    </w:p>
    <w:p>
      <w:pPr>
        <w:spacing w:after="100"/>
      </w:pPr>
      <w:r>
        <w:rPr>
          <w:b w:val="0"/>
          <w:sz w:val="19"/>
        </w:rPr>
        <w:t>Comprobación de la cuenta de prueba: 15 mensajes, de los cuales 7 fueron recibidos y 8 enviados/leídos. El cargo visible por WhatsApp de US$0,24 coincide con 8 respuestas × US$0,03. El disponible mostrado queda en US$1,76.</w:t>
      </w:r>
    </w:p>
    <w:p>
      <w:pPr>
        <w:pStyle w:val="Heading1"/>
      </w:pPr>
      <w:r>
        <w:t>Supuestos de las estimaciones</w:t>
      </w:r>
    </w:p>
    <w:p>
      <w:r>
        <w:rPr>
          <w:b w:val="0"/>
        </w:rPr>
        <w:t>Una reserva equivale a 5 respuestas del asistente y 5 mensajes del paciente: unos 10 mensajes en total. Se consideran destinatarios peruanos y texto de servicio dentro de las 24 horas posteriores al último mensaje del paciente.</w:t>
      </w:r>
    </w:p>
    <w:p>
      <w:pPr>
        <w:spacing w:after="100"/>
      </w:pPr>
      <w:r>
        <w:rPr>
          <w:b w:val="0"/>
          <w:sz w:val="19"/>
        </w:rPr>
        <w:t>Envío de referencia: US$0,03 por respuesta entregada cuando es facturable. IA presupuestada: US$0,001 por respuesta, con margen sobre la muestra de pruebas. Conversión: US$1 = S/3,457, venta SBS del 09/10/2026.</w:t>
      </w:r>
    </w:p>
    <w:p>
      <w:pPr>
        <w:pStyle w:val="Heading1"/>
      </w:pPr>
      <w:r>
        <w:t>Capacidad de una recarga para pruebas en el Sandbox</w:t>
      </w:r>
    </w:p>
    <w:p>
      <w:pPr>
        <w:spacing w:after="100"/>
      </w:pPr>
      <w:r>
        <w:rPr>
          <w:b w:val="0"/>
          <w:sz w:val="19"/>
        </w:rPr>
        <w:t>El Sandbox consume saldo por las respuestas entregadas y no utiliza la franquicia del número compartido. El saldo puede consumirse a lo largo de varios días o meses.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979"/>
        <w:gridCol w:w="1656"/>
        <w:gridCol w:w="1296"/>
        <w:gridCol w:w="1987"/>
        <w:gridCol w:w="1555"/>
        <w:gridCol w:w="1368"/>
        <w:gridCol w:w="1382"/>
      </w:tblGrid>
      <w:tr>
        <w:trPr>
          <w:tblHeader/>
          <w:cantSplit/>
        </w:trPr>
        <w:tc>
          <w:tcPr>
            <w:tcW w:type="dxa" w:w="97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000000"/>
                <w:sz w:val="19"/>
              </w:rPr>
              <w:t>Saldo</w:t>
              <w:br/>
              <w:t>Kapso</w:t>
              <w:br/>
              <w:t>US$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000000"/>
                <w:sz w:val="19"/>
              </w:rPr>
              <w:t>Respuestas</w:t>
              <w:br/>
              <w:t>aprox.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000000"/>
                <w:sz w:val="19"/>
              </w:rPr>
              <w:t>Reservas</w:t>
              <w:br/>
              <w:t>aprox.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000000"/>
                <w:sz w:val="19"/>
              </w:rPr>
              <w:t>Pago Kapso</w:t>
              <w:br/>
              <w:t>con comisión</w:t>
              <w:br/>
              <w:t>US$</w:t>
            </w:r>
          </w:p>
        </w:tc>
        <w:tc>
          <w:tcPr>
            <w:tcW w:type="dxa" w:w="1555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000000"/>
                <w:sz w:val="19"/>
              </w:rPr>
              <w:t>Consumo</w:t>
              <w:br/>
              <w:t>Groq</w:t>
              <w:br/>
              <w:t>US$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000000"/>
                <w:sz w:val="19"/>
              </w:rPr>
              <w:t>Total</w:t>
              <w:br/>
              <w:t>US$</w:t>
            </w:r>
          </w:p>
        </w:tc>
        <w:tc>
          <w:tcPr>
            <w:tcW w:type="dxa" w:w="1382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000000"/>
                <w:sz w:val="19"/>
              </w:rPr>
              <w:t>Total</w:t>
              <w:br/>
              <w:t>S/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166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33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5,55</w:t>
            </w:r>
          </w:p>
        </w:tc>
        <w:tc>
          <w:tcPr>
            <w:tcW w:type="dxa" w:w="1555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0,17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5,72</w:t>
            </w:r>
          </w:p>
        </w:tc>
        <w:tc>
          <w:tcPr>
            <w:tcW w:type="dxa" w:w="1382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19,77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333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66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10,78</w:t>
            </w:r>
          </w:p>
        </w:tc>
        <w:tc>
          <w:tcPr>
            <w:tcW w:type="dxa" w:w="1555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0,33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11,11</w:t>
            </w:r>
          </w:p>
        </w:tc>
        <w:tc>
          <w:tcPr>
            <w:tcW w:type="dxa" w:w="1382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38,41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500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100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16,01</w:t>
            </w:r>
          </w:p>
        </w:tc>
        <w:tc>
          <w:tcPr>
            <w:tcW w:type="dxa" w:w="1555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0,50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16,51</w:t>
            </w:r>
          </w:p>
        </w:tc>
        <w:tc>
          <w:tcPr>
            <w:tcW w:type="dxa" w:w="1382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57,08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666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133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21,24</w:t>
            </w:r>
          </w:p>
        </w:tc>
        <w:tc>
          <w:tcPr>
            <w:tcW w:type="dxa" w:w="1555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0,67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21,91</w:t>
            </w:r>
          </w:p>
        </w:tc>
        <w:tc>
          <w:tcPr>
            <w:tcW w:type="dxa" w:w="1382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75,74</w:t>
            </w:r>
          </w:p>
        </w:tc>
      </w:tr>
      <w:tr>
        <w:trPr>
          <w:cantSplit/>
        </w:trPr>
        <w:tc>
          <w:tcPr>
            <w:tcW w:type="dxa" w:w="979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1 000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200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31,70</w:t>
            </w:r>
          </w:p>
        </w:tc>
        <w:tc>
          <w:tcPr>
            <w:tcW w:type="dxa" w:w="1555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1,00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32,70</w:t>
            </w:r>
          </w:p>
        </w:tc>
        <w:tc>
          <w:tcPr>
            <w:tcW w:type="dxa" w:w="1382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113,04</w:t>
            </w:r>
          </w:p>
        </w:tc>
      </w:tr>
    </w:tbl>
    <w:p>
      <w:pPr>
        <w:spacing w:before="100" w:after="100"/>
      </w:pPr>
      <w:r>
        <w:rPr>
          <w:b w:val="0"/>
          <w:sz w:val="19"/>
        </w:rPr>
        <w:t>La tabla suma el pago de la recarga y el consumo estimado de IA. Puede quedar un pequeño saldo sin usar. US$5,55 fue comprobado en la cuenta de prueba; las comisiones de otras recargas son referenciales y se confirman al pagar.</w:t>
      </w:r>
    </w:p>
    <w:p>
      <w:r>
        <w:br w:type="page"/>
      </w:r>
    </w:p>
    <w:p>
      <w:pPr>
        <w:pStyle w:val="Heading1"/>
      </w:pPr>
      <w:r>
        <w:t>Costo mensual con el número propio del consultorio</w:t>
      </w:r>
    </w:p>
    <w:p>
      <w:pPr>
        <w:spacing w:after="100"/>
      </w:pPr>
      <w:r>
        <w:rPr>
          <w:b w:val="0"/>
          <w:sz w:val="19"/>
        </w:rPr>
        <w:t>La referencia contempla la franquicia de 1 000 mensajes de servicio entregados por número al mes, según las reglas de Meta publicadas por Kapso. Free permite 2 000 mensajes totales mensuales, sumando recibidos y enviados.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138"/>
        <w:gridCol w:w="1440"/>
        <w:gridCol w:w="1267"/>
        <w:gridCol w:w="1181"/>
        <w:gridCol w:w="1440"/>
        <w:gridCol w:w="1037"/>
        <w:gridCol w:w="1267"/>
        <w:gridCol w:w="1454"/>
      </w:tblGrid>
      <w:tr>
        <w:trPr>
          <w:tblHeader/>
          <w:cantSplit/>
        </w:trPr>
        <w:tc>
          <w:tcPr>
            <w:tcW w:type="dxa" w:w="113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000000"/>
                <w:sz w:val="19"/>
              </w:rPr>
              <w:t>Reservas</w:t>
              <w:br/>
              <w:t>al mes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000000"/>
                <w:sz w:val="19"/>
              </w:rPr>
              <w:t>Respuestas</w:t>
              <w:br/>
              <w:t>del agente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000000"/>
                <w:sz w:val="19"/>
              </w:rPr>
              <w:t>Mensajes</w:t>
              <w:br/>
              <w:t>totales</w:t>
            </w:r>
          </w:p>
        </w:tc>
        <w:tc>
          <w:tcPr>
            <w:tcW w:type="dxa" w:w="1181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000000"/>
                <w:sz w:val="19"/>
              </w:rPr>
              <w:t>Plan</w:t>
              <w:br/>
              <w:t>Kapso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000000"/>
                <w:sz w:val="19"/>
              </w:rPr>
              <w:t>Kapso y</w:t>
              <w:br/>
              <w:t>envío</w:t>
              <w:br/>
              <w:t>US$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000000"/>
                <w:sz w:val="19"/>
              </w:rPr>
              <w:t>Groq</w:t>
              <w:br/>
              <w:t>US$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000000"/>
                <w:sz w:val="19"/>
              </w:rPr>
              <w:t>Total</w:t>
              <w:br/>
              <w:t>US$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000000"/>
                <w:sz w:val="19"/>
              </w:rPr>
              <w:t>Total</w:t>
              <w:br/>
              <w:t>S/</w:t>
            </w:r>
          </w:p>
        </w:tc>
      </w:tr>
      <w:tr>
        <w:trPr>
          <w:cantSplit/>
        </w:trPr>
        <w:tc>
          <w:tcPr>
            <w:tcW w:type="dxa" w:w="113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150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300</w:t>
            </w:r>
          </w:p>
        </w:tc>
        <w:tc>
          <w:tcPr>
            <w:tcW w:type="dxa" w:w="1181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Free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0,00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0,15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0,15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0,52</w:t>
            </w:r>
          </w:p>
        </w:tc>
      </w:tr>
      <w:tr>
        <w:trPr>
          <w:cantSplit/>
        </w:trPr>
        <w:tc>
          <w:tcPr>
            <w:tcW w:type="dxa" w:w="113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50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250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500</w:t>
            </w:r>
          </w:p>
        </w:tc>
        <w:tc>
          <w:tcPr>
            <w:tcW w:type="dxa" w:w="1181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Free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0,00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0,25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0,25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0,86</w:t>
            </w:r>
          </w:p>
        </w:tc>
      </w:tr>
      <w:tr>
        <w:trPr>
          <w:cantSplit/>
        </w:trPr>
        <w:tc>
          <w:tcPr>
            <w:tcW w:type="dxa" w:w="113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500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1 000</w:t>
            </w:r>
          </w:p>
        </w:tc>
        <w:tc>
          <w:tcPr>
            <w:tcW w:type="dxa" w:w="1181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Free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0,00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0,50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0,50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1,73</w:t>
            </w:r>
          </w:p>
        </w:tc>
      </w:tr>
      <w:tr>
        <w:trPr>
          <w:cantSplit/>
        </w:trPr>
        <w:tc>
          <w:tcPr>
            <w:tcW w:type="dxa" w:w="113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150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750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1 500</w:t>
            </w:r>
          </w:p>
        </w:tc>
        <w:tc>
          <w:tcPr>
            <w:tcW w:type="dxa" w:w="1181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Free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0,00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0,75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0,75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2,59</w:t>
            </w:r>
          </w:p>
        </w:tc>
      </w:tr>
      <w:tr>
        <w:trPr>
          <w:cantSplit/>
        </w:trPr>
        <w:tc>
          <w:tcPr>
            <w:tcW w:type="dxa" w:w="113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200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1 000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2 000</w:t>
            </w:r>
          </w:p>
        </w:tc>
        <w:tc>
          <w:tcPr>
            <w:tcW w:type="dxa" w:w="1181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Free al</w:t>
              <w:br/>
              <w:t>límite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0,00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1,00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1,00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3,46</w:t>
            </w:r>
          </w:p>
        </w:tc>
      </w:tr>
      <w:tr>
        <w:trPr>
          <w:cantSplit/>
        </w:trPr>
        <w:tc>
          <w:tcPr>
            <w:tcW w:type="dxa" w:w="113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250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1 250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2 500</w:t>
            </w:r>
          </w:p>
        </w:tc>
        <w:tc>
          <w:tcPr>
            <w:tcW w:type="dxa" w:w="1181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Pro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32,50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1,25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33,75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116,67</w:t>
            </w:r>
          </w:p>
        </w:tc>
      </w:tr>
      <w:tr>
        <w:trPr>
          <w:cantSplit/>
        </w:trPr>
        <w:tc>
          <w:tcPr>
            <w:tcW w:type="dxa" w:w="113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300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1 500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3 000</w:t>
            </w:r>
          </w:p>
        </w:tc>
        <w:tc>
          <w:tcPr>
            <w:tcW w:type="dxa" w:w="1181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Pro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40,00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1,50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41,50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143,47</w:t>
            </w:r>
          </w:p>
        </w:tc>
      </w:tr>
    </w:tbl>
    <w:p>
      <w:pPr>
        <w:spacing w:before="100" w:after="100"/>
      </w:pPr>
      <w:r>
        <w:rPr>
          <w:b w:val="0"/>
          <w:sz w:val="19"/>
        </w:rPr>
        <w:t>Importes antes de comisiones de recarga e impuestos; se supone facturación USD sin márgenes adicionales. A 250 reservas, Kapso suma US$25 de Pro y US$7,50 por 250 respuestas fuera de la franquicia. A 300, suma US$25 y US$15.</w:t>
      </w:r>
    </w:p>
    <w:p>
      <w:pPr>
        <w:spacing w:after="100"/>
      </w:pPr>
      <w:r>
        <w:rPr>
          <w:b w:val="0"/>
          <w:sz w:val="19"/>
        </w:rPr>
        <w:t>La fila de 200 reservas no deja margen para consultas adicionales. Preguntas sin reserva, cambios y cancelaciones también consumen mensajes. Con facturación por créditos de Kapso se debe prever saldo operativo inicial: US$5 de saldo cuestan US$5,55 en la cuenta examinada. Los ceros son consumo estimado dentro de la franquicia; no garantizan envío con saldo cero.</w:t>
      </w:r>
    </w:p>
    <w:p>
      <w:pPr>
        <w:pStyle w:val="Heading1"/>
      </w:pPr>
      <w:r>
        <w:t>Capacidad de Groq Free y Developer</w:t>
      </w:r>
    </w:p>
    <w:p>
      <w:pPr>
        <w:spacing w:after="100"/>
      </w:pPr>
      <w:r>
        <w:rPr>
          <w:b w:val="0"/>
          <w:sz w:val="19"/>
        </w:rPr>
        <w:t>Modelo utilizado: openai/gpt-oss-20b. Tarifa por millón de tokens: US$0,075 de entrada y US$0,30 de salida. Una respuesta del agente puede requerir varias llamadas al modelo.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3528"/>
        <w:gridCol w:w="1800"/>
        <w:gridCol w:w="2232"/>
        <w:gridCol w:w="2664"/>
      </w:tblGrid>
      <w:tr>
        <w:trPr>
          <w:tblHeader/>
          <w:cantSplit/>
        </w:trPr>
        <w:tc>
          <w:tcPr>
            <w:tcW w:type="dxa" w:w="3528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19"/>
              </w:rPr>
              <w:t>Límite publicado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000000"/>
                <w:sz w:val="19"/>
              </w:rPr>
              <w:t>Free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000000"/>
                <w:sz w:val="19"/>
              </w:rPr>
              <w:t>Developer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000000"/>
                <w:sz w:val="19"/>
              </w:rPr>
              <w:t>Capacidad relativa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Tokens por minuto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8 000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250 000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31,25 veces</w:t>
            </w:r>
          </w:p>
        </w:tc>
      </w:tr>
      <w:tr>
        <w:trPr>
          <w:cantSplit/>
        </w:trPr>
        <w:tc>
          <w:tcPr>
            <w:tcW w:type="dxa" w:w="3528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Llamadas por minuto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1 000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19"/>
              </w:rPr>
              <w:t>33,33 veces</w:t>
            </w:r>
          </w:p>
        </w:tc>
      </w:tr>
    </w:tbl>
    <w:p>
      <w:pPr>
        <w:spacing w:before="100" w:after="100"/>
      </w:pPr>
      <w:r>
        <w:rPr>
          <w:b w:val="0"/>
          <w:sz w:val="19"/>
        </w:rPr>
        <w:t>Developer ofrece un margen amplio para una reserva normal según el consumo observado en pruebas. Los límites efectivos se revisan al activar la cuenta; la mejora no garantiza ausencia de esperas en todos los casos.</w:t>
      </w:r>
    </w:p>
    <w:p>
      <w:pPr>
        <w:pStyle w:val="Heading1"/>
      </w:pPr>
      <w:r>
        <w:t>Presupuesto y alcance</w:t>
      </w:r>
    </w:p>
    <w:p>
      <w:pPr>
        <w:spacing w:after="100"/>
      </w:pPr>
      <w:r>
        <w:rPr>
          <w:b w:val="0"/>
          <w:sz w:val="19"/>
        </w:rPr>
        <w:t>Propuesta inicial: Kapso Free con margen dentro del cupo mensual y Groq Developer con un límite opcional de gasto de US$5 al mes. Ese límite no es una cuota: se paga el consumo real. Para mayor tráfico, Pro parte de US$25 mensuales más envío e IA.</w:t>
      </w:r>
    </w:p>
    <w:p>
      <w:pPr>
        <w:spacing w:after="100"/>
      </w:pPr>
      <w:r>
        <w:rPr>
          <w:b w:val="0"/>
          <w:sz w:val="19"/>
        </w:rPr>
        <w:t>Son estimaciones de consumo, no reservas garantizadas. Se excluyen alojamiento, dominio, instalación, licencia y soporte del sistema, impuestos, cargos bancarios y márgenes cambiarios. La conexión del número propio debe habilitarse y comprobarse antes del uso real.</w:t>
      </w:r>
    </w:p>
    <w:p>
      <w:pPr>
        <w:pStyle w:val="Heading1"/>
      </w:pPr>
      <w:r>
        <w:t>Fuentes de consulta</w:t>
      </w:r>
    </w:p>
    <w:p>
      <w:pPr>
        <w:spacing w:after="0"/>
      </w:pPr>
      <w:hyperlink r:id="rId9">
        <w:r>
          <w:rPr>
            <w:rFonts w:ascii="Arial" w:hAnsi="Arial" w:eastAsia="Arial" w:cs="Arial"/>
            <w:color w:val="000000"/>
            <w:sz w:val="19"/>
            <w:u w:val="single"/>
          </w:rPr>
          <w:t>Kapso planes</w:t>
        </w:r>
      </w:hyperlink>
      <w:r>
        <w:rPr>
          <w:sz w:val="19"/>
        </w:rPr>
        <w:t xml:space="preserve"> · </w:t>
      </w:r>
      <w:hyperlink r:id="rId10">
        <w:r>
          <w:rPr>
            <w:rFonts w:ascii="Arial" w:hAnsi="Arial" w:eastAsia="Arial" w:cs="Arial"/>
            <w:color w:val="000000"/>
            <w:sz w:val="19"/>
            <w:u w:val="single"/>
          </w:rPr>
          <w:t>Kapso tarifas y franquicia</w:t>
        </w:r>
      </w:hyperlink>
      <w:r>
        <w:rPr>
          <w:sz w:val="19"/>
        </w:rPr>
        <w:t xml:space="preserve"> · </w:t>
      </w:r>
      <w:hyperlink r:id="rId11">
        <w:r>
          <w:rPr>
            <w:rFonts w:ascii="Arial" w:hAnsi="Arial" w:eastAsia="Arial" w:cs="Arial"/>
            <w:color w:val="000000"/>
            <w:sz w:val="19"/>
            <w:u w:val="single"/>
          </w:rPr>
          <w:t>Kapso calculadora</w:t>
        </w:r>
      </w:hyperlink>
      <w:r>
        <w:rPr>
          <w:sz w:val="19"/>
        </w:rPr>
        <w:t xml:space="preserve"> · </w:t>
      </w:r>
      <w:hyperlink r:id="rId12">
        <w:r>
          <w:rPr>
            <w:rFonts w:ascii="Arial" w:hAnsi="Arial" w:eastAsia="Arial" w:cs="Arial"/>
            <w:color w:val="000000"/>
            <w:sz w:val="19"/>
            <w:u w:val="single"/>
          </w:rPr>
          <w:t>Groq precios y capacidad</w:t>
        </w:r>
      </w:hyperlink>
      <w:r>
        <w:rPr>
          <w:sz w:val="19"/>
        </w:rPr>
        <w:t xml:space="preserve"> · </w:t>
      </w:r>
      <w:hyperlink r:id="rId13">
        <w:r>
          <w:rPr>
            <w:rFonts w:ascii="Arial" w:hAnsi="Arial" w:eastAsia="Arial" w:cs="Arial"/>
            <w:color w:val="000000"/>
            <w:sz w:val="19"/>
            <w:u w:val="single"/>
          </w:rPr>
          <w:t>Groq facturación</w:t>
        </w:r>
      </w:hyperlink>
      <w:r>
        <w:rPr>
          <w:sz w:val="19"/>
        </w:rPr>
        <w:t xml:space="preserve"> · </w:t>
      </w:r>
      <w:hyperlink r:id="rId14">
        <w:r>
          <w:rPr>
            <w:rFonts w:ascii="Arial" w:hAnsi="Arial" w:eastAsia="Arial" w:cs="Arial"/>
            <w:color w:val="000000"/>
            <w:sz w:val="19"/>
            <w:u w:val="single"/>
          </w:rPr>
          <w:t>Groq límites</w:t>
        </w:r>
      </w:hyperlink>
      <w:r>
        <w:rPr>
          <w:sz w:val="19"/>
        </w:rPr>
        <w:t xml:space="preserve"> · </w:t>
      </w:r>
      <w:hyperlink r:id="rId15">
        <w:r>
          <w:rPr>
            <w:rFonts w:ascii="Arial" w:hAnsi="Arial" w:eastAsia="Arial" w:cs="Arial"/>
            <w:color w:val="000000"/>
            <w:sz w:val="19"/>
            <w:u w:val="single"/>
          </w:rPr>
          <w:t>SBS tipo de cambio</w:t>
        </w:r>
      </w:hyperlink>
    </w:p>
    <w:sectPr w:rsidR="00FC693F" w:rsidRPr="0006063C" w:rsidSect="00034616">
      <w:footerReference w:type="default" r:id="rId16"/>
      <w:pgSz w:w="12240" w:h="15840"/>
      <w:pgMar w:top="936" w:right="1008" w:bottom="936" w:left="1008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eastAsia="Arial" w:cs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eastAsia="Arial" w:cs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eastAsia="Arial" w:cs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eastAsia="Arial" w:cs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cstheme="majorBidi" w:ascii="Arial" w:hAnsi="Arial" w:eastAsia="Arial" w:cs="Arial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eastAsia="Arial" w:cs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eastAsia="Arial" w:cs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eastAsia="Arial" w:cs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eastAsia="Arial" w:cs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eastAsia="Arial" w:cs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eastAsia="Arial" w:cs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eastAsia="Arial" w:cs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eastAsia="Arial" w:cs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eastAsia="Arial" w:cs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eastAsia="Arial" w:cs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cstheme="majorBidi" w:ascii="Arial" w:hAnsi="Arial" w:eastAsia="Arial" w:cs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eastAsia="Arial" w:cs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Arial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eastAsia="Arial" w:cs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eastAsia="Arial" w:cs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eastAsia="Arial" w:cs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eastAsia="Arial" w:cs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eastAsia="Arial" w:cs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eastAsia="Arial" w:cs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eastAsia="Arial" w:cs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eastAsia="Arial" w:cs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cstheme="minorBidi"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eastAsia="Arial" w:cs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eastAsia="Arial" w:cs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eastAsia="Arial" w:cs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eastAsia="Arial" w:cs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eastAsia="Arial" w:cs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eastAsia="Arial" w:cs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eastAsia="Arial" w:cs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eastAsia="Arial" w:cs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eastAsia="Arial" w:cs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eastAsia="Arial" w:cs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Arial" w:hAnsi="Arial" w:eastAsia="Arial" w:cs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eastAsia="Arial" w:cs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Arial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eastAsia="Arial" w:cs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eastAsia="Arial" w:cs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eastAsia="Arial" w:cs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eastAsia="Arial" w:cs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eastAsia="Arial" w:cs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eastAsia="Arial" w:cs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eastAsia="Arial" w:cs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Arial" w:hAnsi="Arial" w:eastAsia="Arial" w:cs="Arial"/>
        <w:b/>
        <w:bCs/>
      </w:rPr>
    </w:tblStylePr>
    <w:tblStylePr w:type="lastCol">
      <w:rPr>
        <w:rFonts w:cstheme="majorBidi"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Arial" w:hAnsi="Arial" w:eastAsia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kapso.com/pricing" TargetMode="External"/><Relationship Id="rId10" Type="http://schemas.openxmlformats.org/officeDocument/2006/relationships/hyperlink" Target="https://docs.kapso.ai/docs/whatsapp/pricing-faq" TargetMode="External"/><Relationship Id="rId11" Type="http://schemas.openxmlformats.org/officeDocument/2006/relationships/hyperlink" Target="https://kapso.com/whatsapp-api-pricing-calculator" TargetMode="External"/><Relationship Id="rId12" Type="http://schemas.openxmlformats.org/officeDocument/2006/relationships/hyperlink" Target="https://console.groq.com/docs/models" TargetMode="External"/><Relationship Id="rId13" Type="http://schemas.openxmlformats.org/officeDocument/2006/relationships/hyperlink" Target="https://console.groq.com/docs/billing-faqs" TargetMode="External"/><Relationship Id="rId14" Type="http://schemas.openxmlformats.org/officeDocument/2006/relationships/hyperlink" Target="https://console.groq.com/docs/rate-limits" TargetMode="External"/><Relationship Id="rId15" Type="http://schemas.openxmlformats.org/officeDocument/2006/relationships/hyperlink" Target="https://www.sbs.gob.pe/app/pp/SISTIP_PORTAL/Paginas/Publicacion/TipoCambioPromedio.aspx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Costos de WhatsApp y del agente de IA</dc:title>
  <dc:subject>Estimación para un consultorio odontológico</dc:subject>
  <dc:creator>OdontoCare</dc:creator>
  <cp:keywords>Kapso Groq costos citas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