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BD572" w14:textId="77777777" w:rsidR="00763A12" w:rsidRPr="00763A12" w:rsidRDefault="00B101AB" w:rsidP="00763A12">
      <w:pPr>
        <w:shd w:val="clear" w:color="auto" w:fill="FFFFFF"/>
        <w:spacing w:before="240" w:after="240" w:line="360" w:lineRule="atLeast"/>
        <w:jc w:val="center"/>
        <w:outlineLvl w:val="2"/>
        <w:rPr>
          <w:rFonts w:ascii="Helvetica" w:eastAsia="Times New Roman" w:hAnsi="Helvetica" w:cs="Times New Roman"/>
          <w:b/>
          <w:bCs/>
          <w:color w:val="35382A"/>
          <w:sz w:val="32"/>
          <w:szCs w:val="32"/>
        </w:rPr>
      </w:pPr>
      <w:r>
        <w:rPr>
          <w:rFonts w:ascii="Helvetica" w:eastAsia="Times New Roman" w:hAnsi="Helvetica" w:cs="Times New Roman"/>
          <w:b/>
          <w:bCs/>
          <w:color w:val="35382A"/>
          <w:sz w:val="32"/>
          <w:szCs w:val="32"/>
        </w:rPr>
        <w:t>ONYX</w:t>
      </w:r>
      <w:r w:rsidR="00763A12" w:rsidRPr="00763A12">
        <w:rPr>
          <w:rFonts w:ascii="Helvetica" w:eastAsia="Times New Roman" w:hAnsi="Helvetica" w:cs="Times New Roman"/>
          <w:b/>
          <w:bCs/>
          <w:color w:val="35382A"/>
          <w:sz w:val="32"/>
          <w:szCs w:val="32"/>
        </w:rPr>
        <w:t xml:space="preserve"> LICENSE</w:t>
      </w:r>
    </w:p>
    <w:p w14:paraId="2A884F6E" w14:textId="77777777" w:rsidR="00763A12" w:rsidRPr="00763A12" w:rsidRDefault="00B101AB" w:rsidP="00763A12">
      <w:pPr>
        <w:shd w:val="clear" w:color="auto" w:fill="FFFFFF"/>
        <w:spacing w:after="240" w:line="312" w:lineRule="atLeast"/>
        <w:jc w:val="center"/>
        <w:rPr>
          <w:rFonts w:ascii="Helvetica" w:hAnsi="Helvetica" w:cs="Times New Roman"/>
          <w:color w:val="35382A"/>
        </w:rPr>
      </w:pPr>
      <w:r>
        <w:rPr>
          <w:rFonts w:ascii="Helvetica" w:hAnsi="Helvetica" w:cs="Times New Roman"/>
          <w:color w:val="35382A"/>
        </w:rPr>
        <w:t>Version 1, 22 February 2012</w:t>
      </w:r>
    </w:p>
    <w:p w14:paraId="0B59CB2B" w14:textId="046821D8" w:rsidR="00763A12" w:rsidRDefault="00A73926"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Copyright © 2012</w:t>
      </w:r>
      <w:r w:rsidR="00763A12" w:rsidRPr="00763A12">
        <w:rPr>
          <w:rFonts w:ascii="Helvetica" w:hAnsi="Helvetica" w:cs="Times New Roman"/>
          <w:color w:val="35382A"/>
        </w:rPr>
        <w:t xml:space="preserve"> </w:t>
      </w:r>
      <w:r>
        <w:rPr>
          <w:rFonts w:ascii="Helvetica" w:hAnsi="Helvetica" w:cs="Times New Roman"/>
          <w:color w:val="35382A"/>
        </w:rPr>
        <w:t>WillyG Productions</w:t>
      </w:r>
      <w:r w:rsidR="00763A12" w:rsidRPr="00763A12">
        <w:rPr>
          <w:rFonts w:ascii="Helvetica" w:hAnsi="Helvetica" w:cs="Times New Roman"/>
          <w:color w:val="35382A"/>
        </w:rPr>
        <w:t xml:space="preserve">. </w:t>
      </w:r>
      <w:r w:rsidR="00430DA3">
        <w:rPr>
          <w:rFonts w:ascii="Helvetica" w:hAnsi="Helvetica" w:cs="Times New Roman"/>
          <w:color w:val="35382A"/>
        </w:rPr>
        <w:t>All rights reserved.</w:t>
      </w:r>
      <w:bookmarkStart w:id="0" w:name="preamble"/>
      <w:bookmarkEnd w:id="0"/>
    </w:p>
    <w:p w14:paraId="1BF59201" w14:textId="61B2777B" w:rsidR="00726E63" w:rsidRPr="00763A12" w:rsidRDefault="001909B5" w:rsidP="00726E63">
      <w:pPr>
        <w:shd w:val="clear" w:color="auto" w:fill="FFFFFF"/>
        <w:spacing w:line="360" w:lineRule="atLeast"/>
        <w:outlineLvl w:val="3"/>
        <w:rPr>
          <w:rFonts w:ascii="Helvetica" w:eastAsia="Times New Roman" w:hAnsi="Helvetica" w:cs="Times New Roman"/>
          <w:b/>
          <w:bCs/>
          <w:color w:val="35382A"/>
          <w:sz w:val="26"/>
          <w:szCs w:val="26"/>
        </w:rPr>
      </w:pPr>
      <w:r>
        <w:rPr>
          <w:rFonts w:ascii="Helvetica" w:eastAsia="Times New Roman" w:hAnsi="Helvetica" w:cs="Times New Roman"/>
          <w:b/>
          <w:bCs/>
          <w:color w:val="35382A"/>
          <w:sz w:val="26"/>
          <w:szCs w:val="26"/>
        </w:rPr>
        <w:t>Preamble</w:t>
      </w:r>
    </w:p>
    <w:p w14:paraId="180C94AC" w14:textId="2B46545C" w:rsidR="00726E63" w:rsidRPr="00763A12" w:rsidRDefault="001909B5"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I’ve never liked rambling legal jargon, even though I know it’s meant to av</w:t>
      </w:r>
      <w:r w:rsidR="00A85F9C">
        <w:rPr>
          <w:rFonts w:ascii="Helvetica" w:hAnsi="Helvetica" w:cs="Times New Roman"/>
          <w:color w:val="35382A"/>
        </w:rPr>
        <w:t>oid any loopholes and/or ambiguity. Thus, even though the GNU General Public License would have sufficed for</w:t>
      </w:r>
      <w:r w:rsidR="000950A3">
        <w:rPr>
          <w:rFonts w:ascii="Helvetica" w:hAnsi="Helvetica" w:cs="Times New Roman"/>
          <w:color w:val="35382A"/>
        </w:rPr>
        <w:t xml:space="preserve"> Onyx, I felt a few changes needed to be made.</w:t>
      </w:r>
      <w:r>
        <w:rPr>
          <w:rFonts w:ascii="Helvetica" w:hAnsi="Helvetica" w:cs="Times New Roman"/>
          <w:color w:val="35382A"/>
        </w:rPr>
        <w:t xml:space="preserve"> </w:t>
      </w:r>
      <w:r w:rsidRPr="00763A12">
        <w:rPr>
          <w:rFonts w:ascii="Helvetica" w:hAnsi="Helvetica" w:cs="Times New Roman"/>
          <w:color w:val="35382A"/>
        </w:rPr>
        <w:t xml:space="preserve">The precise terms and conditions for copying, distribution and modification </w:t>
      </w:r>
      <w:r w:rsidR="002F6028">
        <w:rPr>
          <w:rFonts w:ascii="Helvetica" w:hAnsi="Helvetica" w:cs="Times New Roman"/>
          <w:color w:val="35382A"/>
        </w:rPr>
        <w:t xml:space="preserve">of Onyx </w:t>
      </w:r>
      <w:r w:rsidR="00E43D53">
        <w:rPr>
          <w:rFonts w:ascii="Helvetica" w:hAnsi="Helvetica" w:cs="Times New Roman"/>
          <w:color w:val="35382A"/>
        </w:rPr>
        <w:t xml:space="preserve">are as </w:t>
      </w:r>
      <w:r w:rsidRPr="00763A12">
        <w:rPr>
          <w:rFonts w:ascii="Helvetica" w:hAnsi="Helvetica" w:cs="Times New Roman"/>
          <w:color w:val="35382A"/>
        </w:rPr>
        <w:t>follow</w:t>
      </w:r>
      <w:r w:rsidR="00E43D53">
        <w:rPr>
          <w:rFonts w:ascii="Helvetica" w:hAnsi="Helvetica" w:cs="Times New Roman"/>
          <w:color w:val="35382A"/>
        </w:rPr>
        <w:t>s:</w:t>
      </w:r>
    </w:p>
    <w:p w14:paraId="735AF3CF"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 w:name="terms"/>
      <w:bookmarkStart w:id="2" w:name="section0"/>
      <w:bookmarkEnd w:id="1"/>
      <w:bookmarkEnd w:id="2"/>
      <w:r w:rsidRPr="00763A12">
        <w:rPr>
          <w:rFonts w:ascii="Helvetica" w:eastAsia="Times New Roman" w:hAnsi="Helvetica" w:cs="Times New Roman"/>
          <w:b/>
          <w:bCs/>
          <w:color w:val="35382A"/>
          <w:sz w:val="26"/>
          <w:szCs w:val="26"/>
        </w:rPr>
        <w:t>0. Definitions.</w:t>
      </w:r>
    </w:p>
    <w:p w14:paraId="0348492F" w14:textId="0D860A59"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“This License” refers to versio</w:t>
      </w:r>
      <w:r w:rsidR="003F0F89">
        <w:rPr>
          <w:rFonts w:ascii="Helvetica" w:hAnsi="Helvetica" w:cs="Times New Roman"/>
          <w:color w:val="35382A"/>
        </w:rPr>
        <w:t>n 1</w:t>
      </w:r>
      <w:r w:rsidRPr="00763A12">
        <w:rPr>
          <w:rFonts w:ascii="Helvetica" w:hAnsi="Helvetica" w:cs="Times New Roman"/>
          <w:color w:val="35382A"/>
        </w:rPr>
        <w:t xml:space="preserve"> of the </w:t>
      </w:r>
      <w:r w:rsidR="003F0F89">
        <w:rPr>
          <w:rFonts w:ascii="Helvetica" w:hAnsi="Helvetica" w:cs="Times New Roman"/>
          <w:color w:val="35382A"/>
        </w:rPr>
        <w:t>Onyx</w:t>
      </w:r>
      <w:r w:rsidRPr="00763A12">
        <w:rPr>
          <w:rFonts w:ascii="Helvetica" w:hAnsi="Helvetica" w:cs="Times New Roman"/>
          <w:color w:val="35382A"/>
        </w:rPr>
        <w:t xml:space="preserve"> License.</w:t>
      </w:r>
    </w:p>
    <w:p w14:paraId="235EFB5B" w14:textId="2FFEDD85" w:rsidR="00280C61" w:rsidRDefault="000417E2"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“Onyx” refers to “Onyx IDE” or “Onyx UnrealScript Editor” or the copyright</w:t>
      </w:r>
      <w:r w:rsidR="0099298C">
        <w:rPr>
          <w:rFonts w:ascii="Helvetica" w:hAnsi="Helvetica" w:cs="Times New Roman"/>
          <w:color w:val="35382A"/>
        </w:rPr>
        <w:t>able distributable – and any subfolders, files, and documents contained within this distributable – that bears any of the aforementioned nam</w:t>
      </w:r>
      <w:r w:rsidR="00534A70">
        <w:rPr>
          <w:rFonts w:ascii="Helvetica" w:hAnsi="Helvetica" w:cs="Times New Roman"/>
          <w:color w:val="35382A"/>
        </w:rPr>
        <w:t>es and which is licensed under t</w:t>
      </w:r>
      <w:r w:rsidR="0099298C">
        <w:rPr>
          <w:rFonts w:ascii="Helvetica" w:hAnsi="Helvetica" w:cs="Times New Roman"/>
          <w:color w:val="35382A"/>
        </w:rPr>
        <w:t xml:space="preserve">his License. </w:t>
      </w:r>
      <w:r w:rsidR="00C5051E">
        <w:rPr>
          <w:rFonts w:ascii="Helvetica" w:hAnsi="Helvetica" w:cs="Times New Roman"/>
          <w:color w:val="35382A"/>
        </w:rPr>
        <w:t xml:space="preserve">Each licensee is addressed as “you”. </w:t>
      </w:r>
      <w:r w:rsidR="00572BF0">
        <w:rPr>
          <w:rFonts w:ascii="Helvetica" w:hAnsi="Helvetica" w:cs="Times New Roman"/>
          <w:color w:val="35382A"/>
        </w:rPr>
        <w:t xml:space="preserve">“Licensees” and “recipients” may </w:t>
      </w:r>
      <w:r w:rsidR="00067CC2">
        <w:rPr>
          <w:rFonts w:ascii="Helvetica" w:hAnsi="Helvetica" w:cs="Times New Roman"/>
          <w:color w:val="35382A"/>
        </w:rPr>
        <w:t>be individuals or organizations.</w:t>
      </w:r>
    </w:p>
    <w:p w14:paraId="5038FC7F" w14:textId="34F0F0D3" w:rsidR="002F0DE2" w:rsidRDefault="002F0DE2"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 xml:space="preserve">“WillyG” refers to “WillyG Productions” or “willyg302” </w:t>
      </w:r>
      <w:r w:rsidR="00AB55E5">
        <w:rPr>
          <w:rFonts w:ascii="Helvetica" w:hAnsi="Helvetica" w:cs="Times New Roman"/>
          <w:color w:val="35382A"/>
        </w:rPr>
        <w:t>or “William Gaul” as well as any of this entity’s trade names, derivatives, and assigns</w:t>
      </w:r>
      <w:r w:rsidR="00E80489">
        <w:rPr>
          <w:rFonts w:ascii="Helvetica" w:hAnsi="Helvetica" w:cs="Times New Roman"/>
          <w:color w:val="35382A"/>
        </w:rPr>
        <w:t>.</w:t>
      </w:r>
    </w:p>
    <w:p w14:paraId="215ACFE4" w14:textId="5FDF4F3A"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To “modify” means to co</w:t>
      </w:r>
      <w:r w:rsidR="00BD6652">
        <w:rPr>
          <w:rFonts w:ascii="Helvetica" w:hAnsi="Helvetica" w:cs="Times New Roman"/>
          <w:color w:val="35382A"/>
        </w:rPr>
        <w:t xml:space="preserve">py from or adapt all or part of Onyx </w:t>
      </w:r>
      <w:r w:rsidRPr="00763A12">
        <w:rPr>
          <w:rFonts w:ascii="Helvetica" w:hAnsi="Helvetica" w:cs="Times New Roman"/>
          <w:color w:val="35382A"/>
        </w:rPr>
        <w:t>in a fashion requiring copyright permission, other than the making of an exact copy. The resulting work is called a “modifi</w:t>
      </w:r>
      <w:r w:rsidR="00067CC2">
        <w:rPr>
          <w:rFonts w:ascii="Helvetica" w:hAnsi="Helvetica" w:cs="Times New Roman"/>
          <w:color w:val="35382A"/>
        </w:rPr>
        <w:t xml:space="preserve">ed version” of Onyx </w:t>
      </w:r>
      <w:r w:rsidRPr="00763A12">
        <w:rPr>
          <w:rFonts w:ascii="Helvetica" w:hAnsi="Helvetica" w:cs="Times New Roman"/>
          <w:color w:val="35382A"/>
        </w:rPr>
        <w:t xml:space="preserve">or a work “based on” </w:t>
      </w:r>
      <w:r w:rsidR="00067CC2">
        <w:rPr>
          <w:rFonts w:ascii="Helvetica" w:hAnsi="Helvetica" w:cs="Times New Roman"/>
          <w:color w:val="35382A"/>
        </w:rPr>
        <w:t>Onyx</w:t>
      </w:r>
      <w:r w:rsidRPr="00763A12">
        <w:rPr>
          <w:rFonts w:ascii="Helvetica" w:hAnsi="Helvetica" w:cs="Times New Roman"/>
          <w:color w:val="35382A"/>
        </w:rPr>
        <w:t>.</w:t>
      </w:r>
    </w:p>
    <w:p w14:paraId="1BE232A2" w14:textId="315D25B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 xml:space="preserve">To “propagate” </w:t>
      </w:r>
      <w:r w:rsidR="0010083E">
        <w:rPr>
          <w:rFonts w:ascii="Helvetica" w:hAnsi="Helvetica" w:cs="Times New Roman"/>
          <w:color w:val="35382A"/>
        </w:rPr>
        <w:t>Onyx</w:t>
      </w:r>
      <w:r w:rsidRPr="00763A12">
        <w:rPr>
          <w:rFonts w:ascii="Helvetica" w:hAnsi="Helvetica" w:cs="Times New Roman"/>
          <w:color w:val="35382A"/>
        </w:rPr>
        <w:t xml:space="preserve">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4FBD242D" w14:textId="5841B88E" w:rsidR="00763A12" w:rsidRPr="00763A12" w:rsidRDefault="00F65610"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To “convey” Onyx</w:t>
      </w:r>
      <w:r w:rsidR="00763A12" w:rsidRPr="00763A12">
        <w:rPr>
          <w:rFonts w:ascii="Helvetica" w:hAnsi="Helvetica" w:cs="Times New Roman"/>
          <w:color w:val="35382A"/>
        </w:rPr>
        <w:t xml:space="preserve"> means any kind of propagation that enables other par</w:t>
      </w:r>
      <w:r w:rsidR="00D70BEF">
        <w:rPr>
          <w:rFonts w:ascii="Helvetica" w:hAnsi="Helvetica" w:cs="Times New Roman"/>
          <w:color w:val="35382A"/>
        </w:rPr>
        <w:t>ties to make or receive copies.</w:t>
      </w:r>
    </w:p>
    <w:p w14:paraId="36BBDE8E"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3" w:name="section1"/>
      <w:bookmarkStart w:id="4" w:name="section2"/>
      <w:bookmarkEnd w:id="3"/>
      <w:bookmarkEnd w:id="4"/>
      <w:r w:rsidRPr="00763A12">
        <w:rPr>
          <w:rFonts w:ascii="Helvetica" w:eastAsia="Times New Roman" w:hAnsi="Helvetica" w:cs="Times New Roman"/>
          <w:b/>
          <w:bCs/>
          <w:color w:val="35382A"/>
          <w:sz w:val="26"/>
          <w:szCs w:val="26"/>
        </w:rPr>
        <w:t>2. Basic Permissions.</w:t>
      </w:r>
    </w:p>
    <w:p w14:paraId="6055BB96" w14:textId="2132764F"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This License explicitly affirms your unlimited permission to run the unmodified Program. This License acknowledges your rights of fair use or other equivalent, as provided by copyright law.</w:t>
      </w:r>
    </w:p>
    <w:p w14:paraId="540A46B4"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lastRenderedPageBreak/>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29473FBC"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Conveying under any other circumstances is permitted solely under the conditions stated below. Sublicensing is not allowed; section 10 makes it unnecessary.</w:t>
      </w:r>
    </w:p>
    <w:p w14:paraId="470E797C" w14:textId="7B258B2A"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5" w:name="section3"/>
      <w:bookmarkStart w:id="6" w:name="section4"/>
      <w:bookmarkEnd w:id="5"/>
      <w:bookmarkEnd w:id="6"/>
      <w:r w:rsidRPr="00763A12">
        <w:rPr>
          <w:rFonts w:ascii="Helvetica" w:eastAsia="Times New Roman" w:hAnsi="Helvetica" w:cs="Times New Roman"/>
          <w:b/>
          <w:bCs/>
          <w:color w:val="35382A"/>
          <w:sz w:val="26"/>
          <w:szCs w:val="26"/>
        </w:rPr>
        <w:t xml:space="preserve">4. Conveying Verbatim </w:t>
      </w:r>
      <w:r w:rsidR="009A6D8D">
        <w:rPr>
          <w:rFonts w:ascii="Helvetica" w:eastAsia="Times New Roman" w:hAnsi="Helvetica" w:cs="Times New Roman"/>
          <w:b/>
          <w:bCs/>
          <w:color w:val="35382A"/>
          <w:sz w:val="26"/>
          <w:szCs w:val="26"/>
        </w:rPr>
        <w:t xml:space="preserve">Source </w:t>
      </w:r>
      <w:r w:rsidRPr="00763A12">
        <w:rPr>
          <w:rFonts w:ascii="Helvetica" w:eastAsia="Times New Roman" w:hAnsi="Helvetica" w:cs="Times New Roman"/>
          <w:b/>
          <w:bCs/>
          <w:color w:val="35382A"/>
          <w:sz w:val="26"/>
          <w:szCs w:val="26"/>
        </w:rPr>
        <w:t>Copies.</w:t>
      </w:r>
    </w:p>
    <w:p w14:paraId="02CE69B2" w14:textId="102845EB" w:rsidR="001C1C9A" w:rsidRDefault="002857F1"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You may convey verbatim (unaltered) copies of Onyx’s source code as you receive it only with</w:t>
      </w:r>
      <w:r w:rsidR="00B867CB">
        <w:rPr>
          <w:rFonts w:ascii="Helvetica" w:hAnsi="Helvetica" w:cs="Times New Roman"/>
          <w:color w:val="35382A"/>
        </w:rPr>
        <w:t xml:space="preserve"> </w:t>
      </w:r>
      <w:r w:rsidR="00C26471">
        <w:rPr>
          <w:rFonts w:ascii="Helvetica" w:hAnsi="Helvetica" w:cs="Times New Roman"/>
          <w:color w:val="35382A"/>
        </w:rPr>
        <w:t xml:space="preserve">express permission from WillyG. </w:t>
      </w:r>
      <w:r w:rsidR="001C1C9A">
        <w:rPr>
          <w:rFonts w:ascii="Helvetica" w:hAnsi="Helvetica" w:cs="Times New Roman"/>
          <w:color w:val="35382A"/>
        </w:rPr>
        <w:t>If you do so, you must include with the copy the following:</w:t>
      </w:r>
    </w:p>
    <w:p w14:paraId="2CECB6A9" w14:textId="1CC9A467" w:rsidR="001C1C9A" w:rsidRDefault="00DB4D84" w:rsidP="001C1C9A">
      <w:pPr>
        <w:pStyle w:val="ListParagraph"/>
        <w:numPr>
          <w:ilvl w:val="0"/>
          <w:numId w:val="4"/>
        </w:numPr>
        <w:shd w:val="clear" w:color="auto" w:fill="FFFFFF"/>
        <w:spacing w:after="240" w:line="312" w:lineRule="atLeast"/>
        <w:rPr>
          <w:rFonts w:ascii="Helvetica" w:hAnsi="Helvetica" w:cs="Times New Roman"/>
          <w:color w:val="35382A"/>
        </w:rPr>
      </w:pPr>
      <w:r>
        <w:rPr>
          <w:rFonts w:ascii="Helvetica" w:hAnsi="Helvetica" w:cs="Times New Roman"/>
          <w:color w:val="35382A"/>
        </w:rPr>
        <w:t>“</w:t>
      </w:r>
      <w:r>
        <w:rPr>
          <w:rFonts w:ascii="Helvetica" w:hAnsi="Helvetica" w:cs="Times New Roman"/>
          <w:color w:val="35382A"/>
        </w:rPr>
        <w:t>Copyright © 2012</w:t>
      </w:r>
      <w:r w:rsidRPr="00763A12">
        <w:rPr>
          <w:rFonts w:ascii="Helvetica" w:hAnsi="Helvetica" w:cs="Times New Roman"/>
          <w:color w:val="35382A"/>
        </w:rPr>
        <w:t xml:space="preserve"> </w:t>
      </w:r>
      <w:r>
        <w:rPr>
          <w:rFonts w:ascii="Helvetica" w:hAnsi="Helvetica" w:cs="Times New Roman"/>
          <w:color w:val="35382A"/>
        </w:rPr>
        <w:t>WillyG Productions</w:t>
      </w:r>
      <w:r w:rsidRPr="00763A12">
        <w:rPr>
          <w:rFonts w:ascii="Helvetica" w:hAnsi="Helvetica" w:cs="Times New Roman"/>
          <w:color w:val="35382A"/>
        </w:rPr>
        <w:t xml:space="preserve">. </w:t>
      </w:r>
      <w:r>
        <w:rPr>
          <w:rFonts w:ascii="Helvetica" w:hAnsi="Helvetica" w:cs="Times New Roman"/>
          <w:color w:val="35382A"/>
        </w:rPr>
        <w:t>All rights reserved.</w:t>
      </w:r>
      <w:r>
        <w:rPr>
          <w:rFonts w:ascii="Helvetica" w:hAnsi="Helvetica" w:cs="Times New Roman"/>
          <w:color w:val="35382A"/>
        </w:rPr>
        <w:t>”</w:t>
      </w:r>
    </w:p>
    <w:p w14:paraId="7EB4B6D1" w14:textId="3C53CDDC" w:rsidR="00DB4D84" w:rsidRDefault="00DB4D84" w:rsidP="001C1C9A">
      <w:pPr>
        <w:pStyle w:val="ListParagraph"/>
        <w:numPr>
          <w:ilvl w:val="0"/>
          <w:numId w:val="4"/>
        </w:numPr>
        <w:shd w:val="clear" w:color="auto" w:fill="FFFFFF"/>
        <w:spacing w:after="240" w:line="312" w:lineRule="atLeast"/>
        <w:rPr>
          <w:rFonts w:ascii="Helvetica" w:hAnsi="Helvetica" w:cs="Times New Roman"/>
          <w:color w:val="35382A"/>
        </w:rPr>
      </w:pPr>
      <w:r>
        <w:rPr>
          <w:rFonts w:ascii="Helvetica" w:hAnsi="Helvetica" w:cs="Times New Roman"/>
          <w:color w:val="35382A"/>
        </w:rPr>
        <w:t>This License or a link to an available copy of this License</w:t>
      </w:r>
    </w:p>
    <w:p w14:paraId="5DC278F1" w14:textId="28505C61" w:rsidR="00CA6FE3" w:rsidRPr="00CA6FE3" w:rsidRDefault="00CA6FE3" w:rsidP="00CA6FE3">
      <w:pPr>
        <w:pStyle w:val="ListParagraph"/>
        <w:numPr>
          <w:ilvl w:val="0"/>
          <w:numId w:val="4"/>
        </w:numPr>
        <w:shd w:val="clear" w:color="auto" w:fill="FFFFFF"/>
        <w:spacing w:after="240" w:line="312" w:lineRule="atLeast"/>
        <w:rPr>
          <w:rFonts w:ascii="Helvetica" w:hAnsi="Helvetica" w:cs="Times New Roman"/>
          <w:color w:val="35382A"/>
        </w:rPr>
      </w:pPr>
      <w:r>
        <w:rPr>
          <w:rFonts w:ascii="Helvetica" w:hAnsi="Helvetica" w:cs="Times New Roman"/>
          <w:color w:val="35382A"/>
        </w:rPr>
        <w:t>A notice of the absence of any warranty</w:t>
      </w:r>
    </w:p>
    <w:p w14:paraId="62D053EB" w14:textId="6D8D1DEA" w:rsidR="00763A12" w:rsidRPr="00763A12" w:rsidRDefault="00253BE9" w:rsidP="00565559">
      <w:pPr>
        <w:shd w:val="clear" w:color="auto" w:fill="FFFFFF"/>
        <w:spacing w:after="240" w:line="312" w:lineRule="atLeast"/>
        <w:rPr>
          <w:rFonts w:ascii="Helvetica" w:hAnsi="Helvetica" w:cs="Times New Roman"/>
          <w:color w:val="35382A"/>
        </w:rPr>
      </w:pPr>
      <w:r>
        <w:rPr>
          <w:rFonts w:ascii="Helvetica" w:hAnsi="Helvetica" w:cs="Times New Roman"/>
          <w:color w:val="35382A"/>
        </w:rPr>
        <w:t>You may NOT charge for the copying and/or conveying of Onyx’s source code unless expressly stated otherwise by WillyG.</w:t>
      </w:r>
    </w:p>
    <w:p w14:paraId="6D3039C8"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7" w:name="section5"/>
      <w:bookmarkEnd w:id="7"/>
      <w:r w:rsidRPr="00763A12">
        <w:rPr>
          <w:rFonts w:ascii="Helvetica" w:eastAsia="Times New Roman" w:hAnsi="Helvetica" w:cs="Times New Roman"/>
          <w:b/>
          <w:bCs/>
          <w:color w:val="35382A"/>
          <w:sz w:val="26"/>
          <w:szCs w:val="26"/>
        </w:rPr>
        <w:t>5. Conveying Modified Source Versions.</w:t>
      </w:r>
    </w:p>
    <w:p w14:paraId="474E1E52" w14:textId="49FF51A6" w:rsidR="00BA571D" w:rsidRDefault="00BA571D" w:rsidP="00763A12">
      <w:pPr>
        <w:shd w:val="clear" w:color="auto" w:fill="FFFFFF"/>
        <w:spacing w:after="240" w:line="312" w:lineRule="atLeast"/>
        <w:rPr>
          <w:rFonts w:ascii="Helvetica" w:hAnsi="Helvetica" w:cs="Times New Roman"/>
          <w:color w:val="35382A"/>
        </w:rPr>
      </w:pPr>
      <w:r>
        <w:rPr>
          <w:rFonts w:ascii="Helvetica" w:hAnsi="Helvetica" w:cs="Times New Roman"/>
          <w:color w:val="35382A"/>
        </w:rPr>
        <w:t xml:space="preserve">You may convey modified versions of Onyx’s source code, or instructions to produce such a modified version, only with express permission from WillyG. </w:t>
      </w:r>
      <w:r w:rsidR="000E31E8">
        <w:rPr>
          <w:rFonts w:ascii="Helvetica" w:hAnsi="Helvetica" w:cs="Times New Roman"/>
          <w:color w:val="35382A"/>
        </w:rPr>
        <w:t>Along with the conditions of Section 4, you must also meet all of these conditions:</w:t>
      </w:r>
      <w:bookmarkStart w:id="8" w:name="_GoBack"/>
      <w:bookmarkEnd w:id="8"/>
    </w:p>
    <w:p w14:paraId="6E259E92"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You may convey a work based on the Program, or the modifications to produce it from the Program, in the form of source code under the terms of section 4, provided that you also meet all of these conditions:</w:t>
      </w:r>
    </w:p>
    <w:p w14:paraId="34413D0D" w14:textId="77777777" w:rsidR="00763A12" w:rsidRPr="00763A12" w:rsidRDefault="00763A12" w:rsidP="00763A12">
      <w:pPr>
        <w:numPr>
          <w:ilvl w:val="0"/>
          <w:numId w:val="1"/>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a) The work must carry prominent notices stating that you modified it, and giving a relevant date.</w:t>
      </w:r>
    </w:p>
    <w:p w14:paraId="45CFF8DC" w14:textId="77777777" w:rsidR="00763A12" w:rsidRPr="00763A12" w:rsidRDefault="00763A12" w:rsidP="00763A12">
      <w:pPr>
        <w:numPr>
          <w:ilvl w:val="0"/>
          <w:numId w:val="1"/>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b) The work must carry prominent notices stating that it is released under this License and any conditions added under section 7. This requirement modifies the requirement in section 4 to “keep intact all notices”.</w:t>
      </w:r>
    </w:p>
    <w:p w14:paraId="568AE14B" w14:textId="77777777" w:rsidR="00763A12" w:rsidRPr="00763A12" w:rsidRDefault="00763A12" w:rsidP="00763A12">
      <w:pPr>
        <w:numPr>
          <w:ilvl w:val="0"/>
          <w:numId w:val="1"/>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F1DE21" w14:textId="77777777" w:rsidR="00763A12" w:rsidRPr="00763A12" w:rsidRDefault="00763A12" w:rsidP="00763A12">
      <w:pPr>
        <w:numPr>
          <w:ilvl w:val="0"/>
          <w:numId w:val="1"/>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d) If the work has interactive user interfaces, each must display Appropriate Legal Notices; however, if the Program has interactive interfaces that do not display Appropriate Legal Notices, your work need not make them do so.</w:t>
      </w:r>
    </w:p>
    <w:p w14:paraId="61E35055"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88DBD7E"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9" w:name="section6"/>
      <w:bookmarkEnd w:id="9"/>
      <w:r w:rsidRPr="00763A12">
        <w:rPr>
          <w:rFonts w:ascii="Helvetica" w:eastAsia="Times New Roman" w:hAnsi="Helvetica" w:cs="Times New Roman"/>
          <w:b/>
          <w:bCs/>
          <w:color w:val="35382A"/>
          <w:sz w:val="26"/>
          <w:szCs w:val="26"/>
        </w:rPr>
        <w:t>6. Conveying Non-Source Forms.</w:t>
      </w:r>
    </w:p>
    <w:p w14:paraId="20AB8B34"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You may convey a covered work in object code form under the terms of sections 4 and 5, provided that you also convey the machine-readable Corresponding Source under the terms of this License, in one of these ways:</w:t>
      </w:r>
    </w:p>
    <w:p w14:paraId="70080A1A" w14:textId="77777777" w:rsidR="00763A12" w:rsidRPr="00763A12" w:rsidRDefault="00763A12" w:rsidP="00763A12">
      <w:pPr>
        <w:numPr>
          <w:ilvl w:val="0"/>
          <w:numId w:val="2"/>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a) Convey the object code in, or embodied in, a physical product (including a physical distribution medium), accompanied by the Corresponding Source fixed on a durable physical medium customarily used for software interchange.</w:t>
      </w:r>
    </w:p>
    <w:p w14:paraId="7F787AD5" w14:textId="77777777" w:rsidR="00763A12" w:rsidRPr="00763A12" w:rsidRDefault="00763A12" w:rsidP="00763A12">
      <w:pPr>
        <w:numPr>
          <w:ilvl w:val="0"/>
          <w:numId w:val="2"/>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4C0D3317" w14:textId="77777777" w:rsidR="00763A12" w:rsidRPr="00763A12" w:rsidRDefault="00763A12" w:rsidP="00763A12">
      <w:pPr>
        <w:numPr>
          <w:ilvl w:val="0"/>
          <w:numId w:val="2"/>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16DE0FC" w14:textId="77777777" w:rsidR="00763A12" w:rsidRPr="00763A12" w:rsidRDefault="00763A12" w:rsidP="00763A12">
      <w:pPr>
        <w:numPr>
          <w:ilvl w:val="0"/>
          <w:numId w:val="2"/>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5F5CDF0A" w14:textId="77777777" w:rsidR="00763A12" w:rsidRPr="00763A12" w:rsidRDefault="00763A12" w:rsidP="00763A12">
      <w:pPr>
        <w:numPr>
          <w:ilvl w:val="0"/>
          <w:numId w:val="2"/>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e) Convey the object code using peer-to-peer transmission, provided you inform other peers where the object code and Corresponding Source of the work are being offered to the general public at no charge under subsection 6d.</w:t>
      </w:r>
    </w:p>
    <w:p w14:paraId="08E56504"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 separable portion of the object code, whose source code is excluded from the Corresponding Source as a System Library, need not be included in conveying the object code work.</w:t>
      </w:r>
    </w:p>
    <w:p w14:paraId="636110E2"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1DD1A46A"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E9D4915"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4309648C"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5A63385B"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B75F1AC"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0" w:name="section7"/>
      <w:bookmarkEnd w:id="10"/>
      <w:r w:rsidRPr="00763A12">
        <w:rPr>
          <w:rFonts w:ascii="Helvetica" w:eastAsia="Times New Roman" w:hAnsi="Helvetica" w:cs="Times New Roman"/>
          <w:b/>
          <w:bCs/>
          <w:color w:val="35382A"/>
          <w:sz w:val="26"/>
          <w:szCs w:val="26"/>
        </w:rPr>
        <w:t>7. Additional Terms.</w:t>
      </w:r>
    </w:p>
    <w:p w14:paraId="66C51B90"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32BF597A"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71D861F4"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Notwithstanding any other provision of this License, for material you add to a covered work, you may (if authorized by the copyright holders of that material) supplement the terms of this License with terms:</w:t>
      </w:r>
    </w:p>
    <w:p w14:paraId="1532B62B" w14:textId="77777777" w:rsidR="00763A12" w:rsidRPr="00763A12" w:rsidRDefault="00763A12" w:rsidP="00763A12">
      <w:pPr>
        <w:numPr>
          <w:ilvl w:val="0"/>
          <w:numId w:val="3"/>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a) Disclaiming warranty or limiting liability differently from the terms of sections 15 and 16 of this License; or</w:t>
      </w:r>
    </w:p>
    <w:p w14:paraId="55835215" w14:textId="77777777" w:rsidR="00763A12" w:rsidRPr="00763A12" w:rsidRDefault="00763A12" w:rsidP="00763A12">
      <w:pPr>
        <w:numPr>
          <w:ilvl w:val="0"/>
          <w:numId w:val="3"/>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b) Requiring preservation of specified reasonable legal notices or author attributions in that material or in the Appropriate Legal Notices displayed by works containing it; or</w:t>
      </w:r>
    </w:p>
    <w:p w14:paraId="29F0CDE4" w14:textId="77777777" w:rsidR="00763A12" w:rsidRPr="00763A12" w:rsidRDefault="00763A12" w:rsidP="00763A12">
      <w:pPr>
        <w:numPr>
          <w:ilvl w:val="0"/>
          <w:numId w:val="3"/>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c) Prohibiting misrepresentation of the origin of that material, or requiring that modified versions of such material be marked in reasonable ways as different from the original version; or</w:t>
      </w:r>
    </w:p>
    <w:p w14:paraId="16176AA3" w14:textId="77777777" w:rsidR="00763A12" w:rsidRPr="00763A12" w:rsidRDefault="00763A12" w:rsidP="00763A12">
      <w:pPr>
        <w:numPr>
          <w:ilvl w:val="0"/>
          <w:numId w:val="3"/>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d) Limiting the use for publicity purposes of names of licensors or authors of the material; or</w:t>
      </w:r>
    </w:p>
    <w:p w14:paraId="1B62BBA5" w14:textId="77777777" w:rsidR="00763A12" w:rsidRPr="00763A12" w:rsidRDefault="00763A12" w:rsidP="00763A12">
      <w:pPr>
        <w:numPr>
          <w:ilvl w:val="0"/>
          <w:numId w:val="3"/>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e) Declining to grant rights under trademark law for use of some trade names, trademarks, or service marks; or</w:t>
      </w:r>
    </w:p>
    <w:p w14:paraId="35C566E8" w14:textId="77777777" w:rsidR="00763A12" w:rsidRPr="00763A12" w:rsidRDefault="00763A12" w:rsidP="00763A12">
      <w:pPr>
        <w:numPr>
          <w:ilvl w:val="0"/>
          <w:numId w:val="3"/>
        </w:numPr>
        <w:shd w:val="clear" w:color="auto" w:fill="FFFFFF"/>
        <w:spacing w:line="312" w:lineRule="atLeast"/>
        <w:ind w:left="336" w:right="240"/>
        <w:rPr>
          <w:rFonts w:ascii="Helvetica" w:eastAsia="Times New Roman" w:hAnsi="Helvetica" w:cs="Times New Roman"/>
          <w:color w:val="35382A"/>
        </w:rPr>
      </w:pPr>
      <w:r w:rsidRPr="00763A12">
        <w:rPr>
          <w:rFonts w:ascii="Helvetica" w:eastAsia="Times New Roman" w:hAnsi="Helvetica" w:cs="Times New Roman"/>
          <w:color w:val="35382A"/>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7109B46F"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C5C0495"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you add terms to a covered work in accord with this section, you must place, in the relevant source files, a statement of the additional terms that apply to those files, or a notice indicating where to find the applicable terms.</w:t>
      </w:r>
    </w:p>
    <w:p w14:paraId="11287E28"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Additional terms, permissive or non-permissive, may be stated in the form of a separately written license, or stated as exceptions; the above requirements apply either way.</w:t>
      </w:r>
    </w:p>
    <w:p w14:paraId="597C7695"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1" w:name="section8"/>
      <w:bookmarkEnd w:id="11"/>
      <w:r w:rsidRPr="00763A12">
        <w:rPr>
          <w:rFonts w:ascii="Helvetica" w:eastAsia="Times New Roman" w:hAnsi="Helvetica" w:cs="Times New Roman"/>
          <w:b/>
          <w:bCs/>
          <w:color w:val="35382A"/>
          <w:sz w:val="26"/>
          <w:szCs w:val="26"/>
        </w:rPr>
        <w:t>8. Termination.</w:t>
      </w:r>
    </w:p>
    <w:p w14:paraId="16DE18DC"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616C6485"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6592FCA"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68B1A51"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517D8FA2"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2" w:name="section9"/>
      <w:bookmarkEnd w:id="12"/>
      <w:r w:rsidRPr="00763A12">
        <w:rPr>
          <w:rFonts w:ascii="Helvetica" w:eastAsia="Times New Roman" w:hAnsi="Helvetica" w:cs="Times New Roman"/>
          <w:b/>
          <w:bCs/>
          <w:color w:val="35382A"/>
          <w:sz w:val="26"/>
          <w:szCs w:val="26"/>
        </w:rPr>
        <w:t>9. Acceptance Not Required for Having Copies.</w:t>
      </w:r>
    </w:p>
    <w:p w14:paraId="58FC1D94"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B07ADE6"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3" w:name="section10"/>
      <w:bookmarkEnd w:id="13"/>
      <w:r w:rsidRPr="00763A12">
        <w:rPr>
          <w:rFonts w:ascii="Helvetica" w:eastAsia="Times New Roman" w:hAnsi="Helvetica" w:cs="Times New Roman"/>
          <w:b/>
          <w:bCs/>
          <w:color w:val="35382A"/>
          <w:sz w:val="26"/>
          <w:szCs w:val="26"/>
        </w:rPr>
        <w:t>10. Automatic Licensing of Downstream Recipients.</w:t>
      </w:r>
    </w:p>
    <w:p w14:paraId="50A7496A"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CB840D3"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39BA5EA"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0538AB86"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4" w:name="section11"/>
      <w:bookmarkEnd w:id="14"/>
      <w:r w:rsidRPr="00763A12">
        <w:rPr>
          <w:rFonts w:ascii="Helvetica" w:eastAsia="Times New Roman" w:hAnsi="Helvetica" w:cs="Times New Roman"/>
          <w:b/>
          <w:bCs/>
          <w:color w:val="35382A"/>
          <w:sz w:val="26"/>
          <w:szCs w:val="26"/>
        </w:rPr>
        <w:t>11. Patents.</w:t>
      </w:r>
    </w:p>
    <w:p w14:paraId="6A18D8EB"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 “contributor” is a copyright holder who authorizes use under this License of the Program or a work on which the Program is based. The work thus licensed is called the contributor's “contributor version”.</w:t>
      </w:r>
    </w:p>
    <w:p w14:paraId="564693C6"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6C9FFC0D"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Each contributor grants you a non-exclusive, worldwide, royalty-free patent license under the contributor's essential patent claims, to make, use, sell, offer for sale, import and otherwise run, modify and propagate the contents of its contributor version.</w:t>
      </w:r>
    </w:p>
    <w:p w14:paraId="509578DB"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114A4666"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697B6C8D"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3F005196"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A46C4B5"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Nothing in this License shall be construed as excluding or limiting any implied license or other defenses to infringement that may otherwise be available to you under applicable patent law.</w:t>
      </w:r>
    </w:p>
    <w:p w14:paraId="57F505BB"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5" w:name="section12"/>
      <w:bookmarkEnd w:id="15"/>
      <w:r w:rsidRPr="00763A12">
        <w:rPr>
          <w:rFonts w:ascii="Helvetica" w:eastAsia="Times New Roman" w:hAnsi="Helvetica" w:cs="Times New Roman"/>
          <w:b/>
          <w:bCs/>
          <w:color w:val="35382A"/>
          <w:sz w:val="26"/>
          <w:szCs w:val="26"/>
        </w:rPr>
        <w:t>12. No Surrender of Others' Freedom.</w:t>
      </w:r>
    </w:p>
    <w:p w14:paraId="6DE9B6B1"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3A128363"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6" w:name="section13"/>
      <w:bookmarkEnd w:id="16"/>
      <w:r w:rsidRPr="00763A12">
        <w:rPr>
          <w:rFonts w:ascii="Helvetica" w:eastAsia="Times New Roman" w:hAnsi="Helvetica" w:cs="Times New Roman"/>
          <w:b/>
          <w:bCs/>
          <w:color w:val="35382A"/>
          <w:sz w:val="26"/>
          <w:szCs w:val="26"/>
        </w:rPr>
        <w:t>13. Use with the GNU Affero General Public License.</w:t>
      </w:r>
    </w:p>
    <w:p w14:paraId="734733C5"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0D99FF5C"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7" w:name="section14"/>
      <w:bookmarkEnd w:id="17"/>
      <w:r w:rsidRPr="00763A12">
        <w:rPr>
          <w:rFonts w:ascii="Helvetica" w:eastAsia="Times New Roman" w:hAnsi="Helvetica" w:cs="Times New Roman"/>
          <w:b/>
          <w:bCs/>
          <w:color w:val="35382A"/>
          <w:sz w:val="26"/>
          <w:szCs w:val="26"/>
        </w:rPr>
        <w:t>14. Revised Versions of this License.</w:t>
      </w:r>
    </w:p>
    <w:p w14:paraId="67E62A63"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The Free Software Foundation may publish revised and/or new versions of the GNU General Public License from time to time. Such new versions will be similar in spirit to the present version, but may differ in detail to address new problems or concerns.</w:t>
      </w:r>
    </w:p>
    <w:p w14:paraId="03F4FA20"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682C4F27"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the Program specifies that a proxy can decide which future versions of the GNU General Public License can be used, that proxy's public statement of acceptance of a version permanently authorizes you to choose that version for the Program.</w:t>
      </w:r>
    </w:p>
    <w:p w14:paraId="06E5677C"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Later license versions may give you additional or different permissions. However, no additional obligations are imposed on any author or copyright holder as a result of your choosing to follow a later version.</w:t>
      </w:r>
    </w:p>
    <w:p w14:paraId="29BFAB22"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8" w:name="section15"/>
      <w:bookmarkEnd w:id="18"/>
      <w:r w:rsidRPr="00763A12">
        <w:rPr>
          <w:rFonts w:ascii="Helvetica" w:eastAsia="Times New Roman" w:hAnsi="Helvetica" w:cs="Times New Roman"/>
          <w:b/>
          <w:bCs/>
          <w:color w:val="35382A"/>
          <w:sz w:val="26"/>
          <w:szCs w:val="26"/>
        </w:rPr>
        <w:t>15. Disclaimer of Warranty.</w:t>
      </w:r>
    </w:p>
    <w:p w14:paraId="3914FBD6" w14:textId="1E0D9E59"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 xml:space="preserve">THERE IS NO WARRANTY FOR </w:t>
      </w:r>
      <w:r w:rsidR="00256444">
        <w:rPr>
          <w:rFonts w:ascii="Helvetica" w:hAnsi="Helvetica" w:cs="Times New Roman"/>
          <w:color w:val="35382A"/>
        </w:rPr>
        <w:t>ONYX</w:t>
      </w:r>
      <w:r w:rsidRPr="00763A12">
        <w:rPr>
          <w:rFonts w:ascii="Helvetica" w:hAnsi="Helvetica" w:cs="Times New Roman"/>
          <w:color w:val="35382A"/>
        </w:rPr>
        <w:t xml:space="preserve">, TO THE EXTENT PERMITTED BY APPLICABLE LAW. EXCEPT WHEN OTHERWISE STATED IN WRITING THE COPYRIGHT HOLDERS AND/OR OTHER PARTIES PROVIDE </w:t>
      </w:r>
      <w:r w:rsidR="005D7123">
        <w:rPr>
          <w:rFonts w:ascii="Helvetica" w:hAnsi="Helvetica" w:cs="Times New Roman"/>
          <w:color w:val="35382A"/>
        </w:rPr>
        <w:t>ONYX</w:t>
      </w:r>
      <w:r w:rsidRPr="00763A12">
        <w:rPr>
          <w:rFonts w:ascii="Helvetica" w:hAnsi="Helvetica" w:cs="Times New Roman"/>
          <w:color w:val="35382A"/>
        </w:rPr>
        <w:t xml:space="preserve"> “AS IS” WITHOUT WARRANTY OF ANY KIND, EITHER EXPRESSED OR IMPLIED, INCLUDING, BUT NOT LIMITED TO, THE IMPLIED WARRANTIES OF MERCHANTABILITY AND FITNESS FOR A PARTICULAR PURPOSE. THE ENTIRE RISK AS TO THE QUALITY AND PERFORMANCE OF </w:t>
      </w:r>
      <w:r w:rsidR="00F33150">
        <w:rPr>
          <w:rFonts w:ascii="Helvetica" w:hAnsi="Helvetica" w:cs="Times New Roman"/>
          <w:color w:val="35382A"/>
        </w:rPr>
        <w:t>ONYX</w:t>
      </w:r>
      <w:r w:rsidRPr="00763A12">
        <w:rPr>
          <w:rFonts w:ascii="Helvetica" w:hAnsi="Helvetica" w:cs="Times New Roman"/>
          <w:color w:val="35382A"/>
        </w:rPr>
        <w:t xml:space="preserve"> IS WITH YOU. SHOULD THE PROGRAM PROVE DEFECTIVE, YOU ASSUME THE COST OF ALL NECESSARY SERVICING, REPAIR OR CORRECTION.</w:t>
      </w:r>
    </w:p>
    <w:p w14:paraId="750E1B54"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19" w:name="section16"/>
      <w:bookmarkEnd w:id="19"/>
      <w:r w:rsidRPr="00763A12">
        <w:rPr>
          <w:rFonts w:ascii="Helvetica" w:eastAsia="Times New Roman" w:hAnsi="Helvetica" w:cs="Times New Roman"/>
          <w:b/>
          <w:bCs/>
          <w:color w:val="35382A"/>
          <w:sz w:val="26"/>
          <w:szCs w:val="26"/>
        </w:rPr>
        <w:t>16. Limitation of Liability.</w:t>
      </w:r>
    </w:p>
    <w:p w14:paraId="393B5682"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4728FC5" w14:textId="77777777" w:rsidR="00763A12" w:rsidRPr="00763A12" w:rsidRDefault="00763A12" w:rsidP="00763A12">
      <w:pPr>
        <w:shd w:val="clear" w:color="auto" w:fill="FFFFFF"/>
        <w:spacing w:line="360" w:lineRule="atLeast"/>
        <w:outlineLvl w:val="3"/>
        <w:rPr>
          <w:rFonts w:ascii="Helvetica" w:eastAsia="Times New Roman" w:hAnsi="Helvetica" w:cs="Times New Roman"/>
          <w:b/>
          <w:bCs/>
          <w:color w:val="35382A"/>
          <w:sz w:val="26"/>
          <w:szCs w:val="26"/>
        </w:rPr>
      </w:pPr>
      <w:bookmarkStart w:id="20" w:name="section17"/>
      <w:bookmarkEnd w:id="20"/>
      <w:r w:rsidRPr="00763A12">
        <w:rPr>
          <w:rFonts w:ascii="Helvetica" w:eastAsia="Times New Roman" w:hAnsi="Helvetica" w:cs="Times New Roman"/>
          <w:b/>
          <w:bCs/>
          <w:color w:val="35382A"/>
          <w:sz w:val="26"/>
          <w:szCs w:val="26"/>
        </w:rPr>
        <w:t>17. Interpretation of Sections 15 and 16.</w:t>
      </w:r>
    </w:p>
    <w:p w14:paraId="2A024A8A" w14:textId="77777777" w:rsidR="00763A12" w:rsidRPr="00763A12" w:rsidRDefault="00763A12" w:rsidP="00763A12">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C872F17" w14:textId="23822816" w:rsidR="00BD7223" w:rsidRPr="006E3163" w:rsidRDefault="00763A12" w:rsidP="006E3163">
      <w:pPr>
        <w:shd w:val="clear" w:color="auto" w:fill="FFFFFF"/>
        <w:spacing w:after="240" w:line="312" w:lineRule="atLeast"/>
        <w:rPr>
          <w:rFonts w:ascii="Helvetica" w:hAnsi="Helvetica" w:cs="Times New Roman"/>
          <w:color w:val="35382A"/>
        </w:rPr>
      </w:pPr>
      <w:r w:rsidRPr="00763A12">
        <w:rPr>
          <w:rFonts w:ascii="Helvetica" w:hAnsi="Helvetica" w:cs="Times New Roman"/>
          <w:color w:val="35382A"/>
        </w:rPr>
        <w:t>END OF TERMS AND CONDITIONS</w:t>
      </w:r>
      <w:bookmarkStart w:id="21" w:name="howto"/>
      <w:bookmarkEnd w:id="21"/>
    </w:p>
    <w:sectPr w:rsidR="00BD7223" w:rsidRPr="006E3163" w:rsidSect="0076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9380D"/>
    <w:multiLevelType w:val="multilevel"/>
    <w:tmpl w:val="F1D4E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F34F5E"/>
    <w:multiLevelType w:val="multilevel"/>
    <w:tmpl w:val="31BC7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CC3A65"/>
    <w:multiLevelType w:val="multilevel"/>
    <w:tmpl w:val="DE88C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0E7D3E"/>
    <w:multiLevelType w:val="hybridMultilevel"/>
    <w:tmpl w:val="140E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12"/>
    <w:rsid w:val="000417E2"/>
    <w:rsid w:val="00067CC2"/>
    <w:rsid w:val="000950A3"/>
    <w:rsid w:val="000E31E8"/>
    <w:rsid w:val="0010083E"/>
    <w:rsid w:val="001909B5"/>
    <w:rsid w:val="00194069"/>
    <w:rsid w:val="001C1C9A"/>
    <w:rsid w:val="00210A4D"/>
    <w:rsid w:val="00253BE9"/>
    <w:rsid w:val="00256444"/>
    <w:rsid w:val="00280C61"/>
    <w:rsid w:val="002857F1"/>
    <w:rsid w:val="002A6A99"/>
    <w:rsid w:val="002E2285"/>
    <w:rsid w:val="002F0DE2"/>
    <w:rsid w:val="002F6028"/>
    <w:rsid w:val="00340BFF"/>
    <w:rsid w:val="003956FF"/>
    <w:rsid w:val="003D6E33"/>
    <w:rsid w:val="003F0F89"/>
    <w:rsid w:val="00430DA3"/>
    <w:rsid w:val="00534A70"/>
    <w:rsid w:val="00565559"/>
    <w:rsid w:val="00572BF0"/>
    <w:rsid w:val="005D7123"/>
    <w:rsid w:val="00646F70"/>
    <w:rsid w:val="006D283E"/>
    <w:rsid w:val="006E3163"/>
    <w:rsid w:val="006F3E10"/>
    <w:rsid w:val="00726E63"/>
    <w:rsid w:val="00763A12"/>
    <w:rsid w:val="007E5F24"/>
    <w:rsid w:val="00857894"/>
    <w:rsid w:val="009777BF"/>
    <w:rsid w:val="0099298C"/>
    <w:rsid w:val="009A4B73"/>
    <w:rsid w:val="009A6D8D"/>
    <w:rsid w:val="00A73926"/>
    <w:rsid w:val="00A85F9C"/>
    <w:rsid w:val="00AB55E5"/>
    <w:rsid w:val="00B101AB"/>
    <w:rsid w:val="00B1127B"/>
    <w:rsid w:val="00B31B60"/>
    <w:rsid w:val="00B80E24"/>
    <w:rsid w:val="00B867CB"/>
    <w:rsid w:val="00BA571D"/>
    <w:rsid w:val="00BA732C"/>
    <w:rsid w:val="00BB459E"/>
    <w:rsid w:val="00BD6652"/>
    <w:rsid w:val="00BD7223"/>
    <w:rsid w:val="00C16856"/>
    <w:rsid w:val="00C26471"/>
    <w:rsid w:val="00C3721C"/>
    <w:rsid w:val="00C5051E"/>
    <w:rsid w:val="00CA6FE3"/>
    <w:rsid w:val="00D70BEF"/>
    <w:rsid w:val="00D74B8E"/>
    <w:rsid w:val="00DB4D84"/>
    <w:rsid w:val="00E13A9A"/>
    <w:rsid w:val="00E43D53"/>
    <w:rsid w:val="00E80489"/>
    <w:rsid w:val="00EA1964"/>
    <w:rsid w:val="00EB1467"/>
    <w:rsid w:val="00ED402C"/>
    <w:rsid w:val="00F33150"/>
    <w:rsid w:val="00F65610"/>
    <w:rsid w:val="00FB7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4C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3A1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63A1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A12"/>
    <w:rPr>
      <w:rFonts w:ascii="Times" w:hAnsi="Times"/>
      <w:b/>
      <w:bCs/>
      <w:sz w:val="27"/>
      <w:szCs w:val="27"/>
    </w:rPr>
  </w:style>
  <w:style w:type="character" w:customStyle="1" w:styleId="Heading4Char">
    <w:name w:val="Heading 4 Char"/>
    <w:basedOn w:val="DefaultParagraphFont"/>
    <w:link w:val="Heading4"/>
    <w:uiPriority w:val="9"/>
    <w:rsid w:val="00763A12"/>
    <w:rPr>
      <w:rFonts w:ascii="Times" w:hAnsi="Times"/>
      <w:b/>
      <w:bCs/>
    </w:rPr>
  </w:style>
  <w:style w:type="paragraph" w:styleId="NormalWeb">
    <w:name w:val="Normal (Web)"/>
    <w:basedOn w:val="Normal"/>
    <w:uiPriority w:val="99"/>
    <w:semiHidden/>
    <w:unhideWhenUsed/>
    <w:rsid w:val="00763A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63A12"/>
    <w:rPr>
      <w:color w:val="0000FF"/>
      <w:u w:val="single"/>
    </w:rPr>
  </w:style>
  <w:style w:type="paragraph" w:styleId="HTMLPreformatted">
    <w:name w:val="HTML Preformatted"/>
    <w:basedOn w:val="Normal"/>
    <w:link w:val="HTMLPreformattedChar"/>
    <w:uiPriority w:val="99"/>
    <w:semiHidden/>
    <w:unhideWhenUsed/>
    <w:rsid w:val="00763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3A12"/>
    <w:rPr>
      <w:rFonts w:ascii="Courier" w:hAnsi="Courier" w:cs="Courier"/>
      <w:sz w:val="20"/>
      <w:szCs w:val="20"/>
    </w:rPr>
  </w:style>
  <w:style w:type="paragraph" w:styleId="ListParagraph">
    <w:name w:val="List Paragraph"/>
    <w:basedOn w:val="Normal"/>
    <w:uiPriority w:val="34"/>
    <w:qFormat/>
    <w:rsid w:val="001C1C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3A1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763A1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A12"/>
    <w:rPr>
      <w:rFonts w:ascii="Times" w:hAnsi="Times"/>
      <w:b/>
      <w:bCs/>
      <w:sz w:val="27"/>
      <w:szCs w:val="27"/>
    </w:rPr>
  </w:style>
  <w:style w:type="character" w:customStyle="1" w:styleId="Heading4Char">
    <w:name w:val="Heading 4 Char"/>
    <w:basedOn w:val="DefaultParagraphFont"/>
    <w:link w:val="Heading4"/>
    <w:uiPriority w:val="9"/>
    <w:rsid w:val="00763A12"/>
    <w:rPr>
      <w:rFonts w:ascii="Times" w:hAnsi="Times"/>
      <w:b/>
      <w:bCs/>
    </w:rPr>
  </w:style>
  <w:style w:type="paragraph" w:styleId="NormalWeb">
    <w:name w:val="Normal (Web)"/>
    <w:basedOn w:val="Normal"/>
    <w:uiPriority w:val="99"/>
    <w:semiHidden/>
    <w:unhideWhenUsed/>
    <w:rsid w:val="00763A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63A12"/>
    <w:rPr>
      <w:color w:val="0000FF"/>
      <w:u w:val="single"/>
    </w:rPr>
  </w:style>
  <w:style w:type="paragraph" w:styleId="HTMLPreformatted">
    <w:name w:val="HTML Preformatted"/>
    <w:basedOn w:val="Normal"/>
    <w:link w:val="HTMLPreformattedChar"/>
    <w:uiPriority w:val="99"/>
    <w:semiHidden/>
    <w:unhideWhenUsed/>
    <w:rsid w:val="00763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3A12"/>
    <w:rPr>
      <w:rFonts w:ascii="Courier" w:hAnsi="Courier" w:cs="Courier"/>
      <w:sz w:val="20"/>
      <w:szCs w:val="20"/>
    </w:rPr>
  </w:style>
  <w:style w:type="paragraph" w:styleId="ListParagraph">
    <w:name w:val="List Paragraph"/>
    <w:basedOn w:val="Normal"/>
    <w:uiPriority w:val="34"/>
    <w:qFormat/>
    <w:rsid w:val="001C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05509-702B-B449-ABF5-8D88B4C8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3731</Words>
  <Characters>21272</Characters>
  <Application>Microsoft Macintosh Word</Application>
  <DocSecurity>0</DocSecurity>
  <Lines>177</Lines>
  <Paragraphs>49</Paragraphs>
  <ScaleCrop>false</ScaleCrop>
  <Company/>
  <LinksUpToDate>false</LinksUpToDate>
  <CharactersWithSpaces>24954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Gaul</dc:creator>
  <cp:keywords/>
  <dc:description/>
  <cp:lastModifiedBy>William Gaul</cp:lastModifiedBy>
  <cp:revision>65</cp:revision>
  <dcterms:created xsi:type="dcterms:W3CDTF">2012-02-22T22:47:00Z</dcterms:created>
  <dcterms:modified xsi:type="dcterms:W3CDTF">2012-02-23T05:43:00Z</dcterms:modified>
</cp:coreProperties>
</file>