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</w:pPr>
    </w:p>
    <w:p>
      <w:pPr>
        <w:spacing w:line="480" w:lineRule="auto" w:after="0"/>
      </w:pPr>
    </w:p>
    <w:p>
      <w:pPr>
        <w:spacing w:line="480" w:lineRule="auto" w:after="0"/>
      </w:pPr>
    </w:p>
    <w:p>
      <w:pPr>
        <w:spacing w:line="480" w:lineRule="auto" w:after="0"/>
        <w:jc w:val="center"/>
      </w:pPr>
      <w:r>
        <w:rPr>
          <w:rFonts w:ascii="Times New Roman" w:hAnsi="Times New Roman"/>
          <w:b/>
          <w:sz w:val="24"/>
        </w:rPr>
        <w:t>Fase 7: Reporte de Carga GlobalRemit</w:t>
      </w:r>
    </w:p>
    <w:p>
      <w:pPr>
        <w:spacing w:line="480" w:lineRule="auto" w:after="0"/>
        <w:jc w:val="center"/>
      </w:pPr>
      <w:r>
        <w:t>Reporte técnico de carga de datos</w:t>
      </w:r>
    </w:p>
    <w:p>
      <w:pPr>
        <w:spacing w:line="480" w:lineRule="auto" w:after="0"/>
        <w:jc w:val="center"/>
      </w:pPr>
      <w:r>
        <w:t>Generado: 22 de junio de 2026, 17:21:30</w:t>
      </w:r>
    </w:p>
    <w:p>
      <w:pPr>
        <w:spacing w:line="480" w:lineRule="auto" w:after="0"/>
        <w:jc w:val="center"/>
      </w:pPr>
      <w:r>
        <w:t>GlobalRemit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Times New Roman"/>
          <w:color w:val="000000"/>
        </w:rPr>
        <w:t>Fase 7: Reporte de Carga GlobalRemit</w:t>
      </w:r>
    </w:p>
    <w:p>
      <w:pPr>
        <w:spacing w:line="480" w:lineRule="auto" w:after="0"/>
      </w:pPr>
      <w:r>
        <w:rPr>
          <w:b/>
        </w:rPr>
        <w:t xml:space="preserve">Generado: </w:t>
      </w:r>
      <w:r>
        <w:t>22 de junio de 2026, 17:21:30.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Resultado</w:t>
      </w:r>
    </w:p>
    <w:p>
      <w:pPr>
        <w:pStyle w:val="ListBullet"/>
        <w:spacing w:line="480" w:lineRule="auto" w:after="0"/>
      </w:pPr>
      <w:r>
        <w:t>PostgreSQL: cargado.</w:t>
      </w:r>
    </w:p>
    <w:p>
      <w:pPr>
        <w:pStyle w:val="ListBullet"/>
        <w:spacing w:line="480" w:lineRule="auto" w:after="0"/>
      </w:pPr>
      <w:r>
        <w:t>MongoDB: cargado.</w:t>
      </w:r>
    </w:p>
    <w:p>
      <w:pPr>
        <w:pStyle w:val="ListBullet"/>
        <w:spacing w:line="480" w:lineRule="auto" w:after="0"/>
      </w:pPr>
      <w:r>
        <w:t>Duración: 13.58 segundos.</w:t>
      </w:r>
    </w:p>
    <w:p>
      <w:pPr>
        <w:spacing w:line="480" w:lineRule="auto" w:after="0"/>
      </w:pPr>
      <w:r>
        <w:rPr>
          <w:b/>
        </w:rPr>
        <w:t>Tabla 1</w:t>
      </w:r>
    </w:p>
    <w:p>
      <w:pPr>
        <w:spacing w:line="480" w:lineRule="auto" w:after="0"/>
      </w:pPr>
      <w:r>
        <w:rPr>
          <w:i/>
        </w:rPr>
        <w:t>Cantidades cargadas por entidad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Entidad</w:t>
            </w:r>
          </w:p>
        </w:tc>
        <w:tc>
          <w:tcPr>
            <w:tcW w:type="dxa" w:w="468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Cantidad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customers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200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beneficiaries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350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corridors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exchange_rates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155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remittances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1,500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financial_movements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7,357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settlement_batches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42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mongo_documents</w:t>
            </w:r>
          </w:p>
        </w:tc>
        <w:tc>
          <w:tcPr>
            <w:tcW w:type="dxa" w:w="468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3,897</w:t>
            </w:r>
          </w:p>
        </w:tc>
      </w:tr>
    </w:tbl>
    <w:p>
      <w:pPr>
        <w:spacing w:line="480" w:lineRule="auto" w:after="0"/>
      </w:pPr>
      <w:r>
        <w:rPr>
          <w:i/>
        </w:rPr>
        <w:t xml:space="preserve">Nota. </w:t>
      </w:r>
      <w:r>
        <w:t>Las cantidades reflejan los registros cargados durante la Fase 7.</w:t>
      </w:r>
    </w:p>
    <w:p>
      <w:r>
        <w:br w:type="page"/>
      </w:r>
    </w:p>
    <w:p>
      <w:pPr>
        <w:spacing w:line="480" w:lineRule="auto" w:after="0"/>
      </w:pPr>
      <w:r>
        <w:rPr>
          <w:b/>
        </w:rPr>
        <w:t>Tabla 2</w:t>
      </w:r>
    </w:p>
    <w:p>
      <w:pPr>
        <w:spacing w:line="480" w:lineRule="auto" w:after="0"/>
      </w:pPr>
      <w:r>
        <w:rPr>
          <w:i/>
        </w:rPr>
        <w:t>Distribución de remesas por estado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Estado</w:t>
            </w:r>
          </w:p>
        </w:tc>
        <w:tc>
          <w:tcPr>
            <w:tcW w:type="dxa" w:w="4680"/>
            <w:vAlign w:val="center"/>
            <w:tcBorders>
              <w:top w:val="single" w:sz="8" w:color="000000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Cantidad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SETTLED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388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PAID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639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REJECTED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54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AVAILABLE_FOR_PAYOUT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55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SENT_TO_PARTNER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69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AUTHORIZED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56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EXPIRED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CANCELLED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UNDER_REVIEW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131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FUNDED</w:t>
            </w:r>
          </w:p>
        </w:tc>
        <w:tc>
          <w:tcPr>
            <w:tcW w:type="dxa" w:w="4680"/>
            <w:vAlign w:val="center"/>
            <w:tcBorders>
              <w:top w:val="nil"/>
              <w:bottom w:val="nil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40</w:t>
            </w:r>
          </w:p>
        </w:tc>
      </w:tr>
      <w:tr>
        <w:tc>
          <w:tcPr>
            <w:tcW w:type="dxa" w:w="468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REVERSED</w:t>
            </w:r>
          </w:p>
        </w:tc>
        <w:tc>
          <w:tcPr>
            <w:tcW w:type="dxa" w:w="468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after="0" w:line="276" w:lineRule="auto"/>
              <w:jc w:val="right"/>
            </w:pPr>
            <w:r>
              <w:rPr>
                <w:rFonts w:ascii="Times New Roman" w:hAnsi="Times New Roman"/>
                <w:color w:val="000000"/>
                <w:sz w:val="24"/>
              </w:rPr>
            </w: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19</w:t>
            </w:r>
          </w:p>
        </w:tc>
      </w:tr>
    </w:tbl>
    <w:p>
      <w:pPr>
        <w:spacing w:line="480" w:lineRule="auto" w:after="0"/>
      </w:pPr>
      <w:r>
        <w:rPr>
          <w:i/>
        </w:rPr>
        <w:t xml:space="preserve">Nota. </w:t>
      </w:r>
      <w:r>
        <w:t>La distribución resume el estado operativo de las remesas registradas en la carga.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Fraude y riesgo</w:t>
      </w:r>
    </w:p>
    <w:p>
      <w:pPr>
        <w:pStyle w:val="ListBullet"/>
        <w:spacing w:line="480" w:lineRule="auto" w:after="0"/>
      </w:pPr>
      <w:r>
        <w:t>Remesas sospechosas: 223.</w:t>
      </w:r>
    </w:p>
    <w:p>
      <w:pPr>
        <w:pStyle w:val="ListBullet"/>
        <w:spacing w:line="480" w:lineRule="auto" w:after="0"/>
      </w:pPr>
      <w:r>
        <w:t>Señales de fraude: 223.</w:t>
      </w:r>
    </w:p>
    <w:p>
      <w:pPr>
        <w:pStyle w:val="ListBullet"/>
        <w:spacing w:line="480" w:lineRule="auto" w:after="0"/>
      </w:pPr>
      <w:r>
        <w:t>Casos AML: 126.</w:t>
      </w:r>
    </w:p>
    <w:p>
      <w:pPr>
        <w:pStyle w:val="Heading2"/>
      </w:pPr>
      <w:r>
        <w:rPr>
          <w:rFonts w:ascii="Times New Roman" w:hAnsi="Times New Roman" w:eastAsia="Times New Roman"/>
          <w:color w:val="000000"/>
        </w:rPr>
        <w:t>Observaciones</w:t>
      </w:r>
    </w:p>
    <w:p>
      <w:pPr>
        <w:pStyle w:val="ListBullet"/>
        <w:spacing w:line="480" w:lineRule="auto" w:after="0"/>
      </w:pPr>
      <w:r>
        <w:t>PostgreSQL permanece como la fuente transaccional de verdad.</w:t>
      </w:r>
    </w:p>
    <w:p>
      <w:pPr>
        <w:pStyle w:val="ListBullet"/>
        <w:spacing w:line="480" w:lineRule="auto" w:after="0"/>
      </w:pPr>
      <w:r>
        <w:t>Los productos en MongoDB fueron generados a partir de registros sintéticos del dominio SQL.</w:t>
      </w:r>
    </w:p>
    <w:p>
      <w:pPr>
        <w:pStyle w:val="ListBullet"/>
        <w:spacing w:line="480" w:lineRule="auto" w:after="0"/>
      </w:pPr>
      <w:r>
        <w:t>Los productos en MongoDB se cargaron correctamente.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48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48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48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480" w:lineRule="auto" w:after="0"/>
      <w:contextualSpacing/>
    </w:pPr>
    <w:rPr>
      <w:rFonts w:ascii="Times New Roman" w:hAnsi="Times New Roman" w:eastAsia="Times New Roman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Fase 7: Reporte de Carga GlobalRemit</dc:title>
  <dc:subject>Reporte de carga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