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08E" w:rsidRDefault="00244E89">
      <w:pPr>
        <w:pStyle w:val="Heading1"/>
        <w:spacing w:before="240" w:after="0" w:line="259" w:lineRule="auto"/>
        <w:rPr>
          <w:rFonts w:ascii="Calibri" w:eastAsia="Calibri" w:hAnsi="Calibri" w:cs="Calibri"/>
          <w:i/>
          <w:color w:val="7030A0"/>
          <w:sz w:val="32"/>
          <w:szCs w:val="32"/>
        </w:rPr>
      </w:pPr>
      <w:r>
        <w:rPr>
          <w:rFonts w:ascii="Calibri" w:eastAsia="Calibri" w:hAnsi="Calibri" w:cs="Calibri"/>
          <w:color w:val="7030A0"/>
          <w:sz w:val="32"/>
          <w:szCs w:val="32"/>
        </w:rPr>
        <w:t xml:space="preserve">Assessment Item 1: Portfolio – </w:t>
      </w:r>
      <w:r>
        <w:rPr>
          <w:rFonts w:ascii="Calibri" w:eastAsia="Calibri" w:hAnsi="Calibri" w:cs="Calibri"/>
          <w:i/>
          <w:color w:val="7030A0"/>
          <w:sz w:val="32"/>
          <w:szCs w:val="32"/>
        </w:rPr>
        <w:t>Argument Essay</w:t>
      </w:r>
    </w:p>
    <w:p w:rsidR="0037508E" w:rsidRDefault="00244E89">
      <w:pPr>
        <w:pStyle w:val="Heading2"/>
        <w:spacing w:before="40" w:after="0" w:line="259" w:lineRule="auto"/>
        <w:rPr>
          <w:rFonts w:ascii="Calibri" w:eastAsia="Calibri" w:hAnsi="Calibri" w:cs="Calibri"/>
          <w:b/>
          <w:color w:val="0070C0"/>
          <w:sz w:val="26"/>
          <w:szCs w:val="26"/>
          <w:highlight w:val="yellow"/>
        </w:rPr>
      </w:pPr>
      <w:bookmarkStart w:id="0" w:name="_gjdgxs" w:colFirst="0" w:colLast="0"/>
      <w:bookmarkEnd w:id="0"/>
      <w:r>
        <w:rPr>
          <w:rFonts w:ascii="Calibri" w:eastAsia="Calibri" w:hAnsi="Calibri" w:cs="Calibri"/>
          <w:b/>
          <w:color w:val="CC7F18"/>
          <w:sz w:val="26"/>
          <w:szCs w:val="26"/>
          <w:u w:val="single"/>
        </w:rPr>
        <w:t xml:space="preserve">Outline Plan: </w:t>
      </w:r>
      <w:r>
        <w:rPr>
          <w:rFonts w:ascii="Calibri" w:eastAsia="Calibri" w:hAnsi="Calibri" w:cs="Calibri"/>
          <w:b/>
          <w:color w:val="660066"/>
          <w:sz w:val="26"/>
          <w:szCs w:val="26"/>
          <w:u w:val="single"/>
        </w:rPr>
        <w:t xml:space="preserve">Submission date: </w:t>
      </w:r>
      <w:r>
        <w:rPr>
          <w:rFonts w:ascii="Calibri" w:eastAsia="Calibri" w:hAnsi="Calibri" w:cs="Calibri"/>
          <w:b/>
          <w:color w:val="0070C0"/>
          <w:sz w:val="26"/>
          <w:szCs w:val="26"/>
          <w:highlight w:val="yellow"/>
        </w:rPr>
        <w:t>Before 12 noon (UK time) Friday March 11 2022</w:t>
      </w:r>
    </w:p>
    <w:p w:rsidR="0037508E" w:rsidRDefault="0037508E">
      <w:pPr>
        <w:spacing w:line="259" w:lineRule="auto"/>
        <w:rPr>
          <w:rFonts w:ascii="Calibri" w:eastAsia="Calibri" w:hAnsi="Calibri" w:cs="Calibri"/>
        </w:rPr>
      </w:pPr>
    </w:p>
    <w:tbl>
      <w:tblPr>
        <w:tblStyle w:val="Style10"/>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8"/>
        <w:gridCol w:w="7178"/>
      </w:tblGrid>
      <w:tr w:rsidR="0037508E">
        <w:tc>
          <w:tcPr>
            <w:tcW w:w="1838" w:type="dxa"/>
            <w:shd w:val="clear" w:color="auto" w:fill="FFC000"/>
          </w:tcPr>
          <w:p w:rsidR="0037508E" w:rsidRDefault="00244E89">
            <w:pPr>
              <w:spacing w:line="240" w:lineRule="auto"/>
              <w:rPr>
                <w:rFonts w:ascii="Calibri" w:eastAsia="Calibri" w:hAnsi="Calibri" w:cs="Calibri"/>
                <w:b/>
                <w:color w:val="660066"/>
              </w:rPr>
            </w:pPr>
            <w:r>
              <w:rPr>
                <w:rFonts w:ascii="Calibri" w:eastAsia="Calibri" w:hAnsi="Calibri" w:cs="Calibri"/>
                <w:b/>
                <w:color w:val="660066"/>
              </w:rPr>
              <w:t>Student number:</w:t>
            </w:r>
          </w:p>
        </w:tc>
        <w:tc>
          <w:tcPr>
            <w:tcW w:w="7178" w:type="dxa"/>
          </w:tcPr>
          <w:p w:rsidR="0037508E" w:rsidRDefault="00A74D57">
            <w:pPr>
              <w:spacing w:line="240" w:lineRule="auto"/>
              <w:rPr>
                <w:rFonts w:ascii="Calibri" w:eastAsia="Calibri" w:hAnsi="Calibri" w:cs="Calibri"/>
              </w:rPr>
            </w:pPr>
            <w:r>
              <w:t>744518</w:t>
            </w:r>
          </w:p>
          <w:p w:rsidR="0037508E" w:rsidRDefault="0037508E">
            <w:pPr>
              <w:spacing w:line="240" w:lineRule="auto"/>
              <w:rPr>
                <w:rFonts w:ascii="Calibri" w:eastAsia="Calibri" w:hAnsi="Calibri" w:cs="Calibri"/>
              </w:rPr>
            </w:pPr>
          </w:p>
        </w:tc>
      </w:tr>
      <w:tr w:rsidR="0037508E">
        <w:tc>
          <w:tcPr>
            <w:tcW w:w="1838" w:type="dxa"/>
            <w:shd w:val="clear" w:color="auto" w:fill="FFC000"/>
          </w:tcPr>
          <w:p w:rsidR="0037508E" w:rsidRDefault="00244E89">
            <w:pPr>
              <w:spacing w:line="240" w:lineRule="auto"/>
              <w:rPr>
                <w:rFonts w:ascii="Calibri" w:eastAsia="Calibri" w:hAnsi="Calibri" w:cs="Calibri"/>
                <w:b/>
                <w:color w:val="660066"/>
              </w:rPr>
            </w:pPr>
            <w:r>
              <w:rPr>
                <w:rFonts w:ascii="Calibri" w:eastAsia="Calibri" w:hAnsi="Calibri" w:cs="Calibri"/>
                <w:b/>
                <w:color w:val="660066"/>
              </w:rPr>
              <w:t>GL6 Tutor:</w:t>
            </w:r>
          </w:p>
        </w:tc>
        <w:tc>
          <w:tcPr>
            <w:tcW w:w="7178" w:type="dxa"/>
          </w:tcPr>
          <w:p w:rsidR="0037508E" w:rsidRDefault="00A74D57">
            <w:pPr>
              <w:spacing w:line="240" w:lineRule="auto"/>
              <w:rPr>
                <w:rFonts w:ascii="Calibri" w:eastAsia="Calibri" w:hAnsi="Calibri" w:cs="Calibri"/>
              </w:rPr>
            </w:pPr>
            <w:r>
              <w:t>Margaret Kemble</w:t>
            </w:r>
          </w:p>
          <w:p w:rsidR="0037508E" w:rsidRDefault="0037508E">
            <w:pPr>
              <w:spacing w:line="240" w:lineRule="auto"/>
              <w:rPr>
                <w:rFonts w:ascii="Calibri" w:eastAsia="Calibri" w:hAnsi="Calibri" w:cs="Calibri"/>
              </w:rPr>
            </w:pPr>
          </w:p>
        </w:tc>
      </w:tr>
    </w:tbl>
    <w:p w:rsidR="0037508E" w:rsidRDefault="00244E89">
      <w:pPr>
        <w:spacing w:line="240" w:lineRule="auto"/>
        <w:rPr>
          <w:rFonts w:ascii="Calibri" w:eastAsia="Calibri" w:hAnsi="Calibri" w:cs="Calibri"/>
          <w:b/>
          <w:color w:val="0070C0"/>
          <w:sz w:val="20"/>
          <w:szCs w:val="20"/>
        </w:rPr>
      </w:pPr>
      <w:r>
        <w:rPr>
          <w:rFonts w:ascii="Calibri" w:eastAsia="Calibri" w:hAnsi="Calibri" w:cs="Calibri"/>
          <w:b/>
          <w:color w:val="0070C0"/>
          <w:sz w:val="20"/>
          <w:szCs w:val="20"/>
        </w:rPr>
        <w:tab/>
      </w:r>
      <w:r>
        <w:rPr>
          <w:rFonts w:ascii="Calibri" w:eastAsia="Calibri" w:hAnsi="Calibri" w:cs="Calibri"/>
          <w:b/>
          <w:color w:val="0070C0"/>
          <w:sz w:val="20"/>
          <w:szCs w:val="20"/>
        </w:rPr>
        <w:tab/>
      </w:r>
    </w:p>
    <w:tbl>
      <w:tblPr>
        <w:tblStyle w:val="Style11"/>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366"/>
        <w:gridCol w:w="1650"/>
      </w:tblGrid>
      <w:tr w:rsidR="0037508E">
        <w:tc>
          <w:tcPr>
            <w:tcW w:w="7366" w:type="dxa"/>
            <w:shd w:val="clear" w:color="auto" w:fill="FFC000"/>
          </w:tcPr>
          <w:p w:rsidR="0037508E" w:rsidRDefault="00244E89">
            <w:pPr>
              <w:spacing w:line="240" w:lineRule="auto"/>
              <w:rPr>
                <w:rFonts w:ascii="Calibri" w:eastAsia="Calibri" w:hAnsi="Calibri" w:cs="Calibri"/>
                <w:b/>
                <w:color w:val="0070C0"/>
                <w:sz w:val="20"/>
                <w:szCs w:val="20"/>
              </w:rPr>
            </w:pPr>
            <w:r>
              <w:rPr>
                <w:rFonts w:ascii="Calibri" w:eastAsia="Calibri" w:hAnsi="Calibri" w:cs="Calibri"/>
                <w:b/>
                <w:color w:val="660066"/>
                <w:sz w:val="20"/>
                <w:szCs w:val="20"/>
              </w:rPr>
              <w:t>Which ESSAY QUESTION have you chosen to answer?</w:t>
            </w:r>
          </w:p>
        </w:tc>
        <w:tc>
          <w:tcPr>
            <w:tcW w:w="1650" w:type="dxa"/>
            <w:shd w:val="clear" w:color="auto" w:fill="FFC000"/>
          </w:tcPr>
          <w:p w:rsidR="0037508E" w:rsidRDefault="00244E89">
            <w:pPr>
              <w:spacing w:line="240" w:lineRule="auto"/>
              <w:rPr>
                <w:rFonts w:ascii="Calibri" w:eastAsia="Calibri" w:hAnsi="Calibri" w:cs="Calibri"/>
                <w:b/>
                <w:color w:val="660066"/>
                <w:sz w:val="20"/>
                <w:szCs w:val="20"/>
              </w:rPr>
            </w:pPr>
            <w:r>
              <w:rPr>
                <w:rFonts w:ascii="Calibri" w:eastAsia="Calibri" w:hAnsi="Calibri" w:cs="Calibri"/>
                <w:b/>
                <w:color w:val="660066"/>
                <w:sz w:val="20"/>
                <w:szCs w:val="20"/>
              </w:rPr>
              <w:t>Please put an X in the box for your choice.</w:t>
            </w:r>
          </w:p>
          <w:p w:rsidR="0037508E" w:rsidRDefault="0037508E">
            <w:pPr>
              <w:spacing w:line="240" w:lineRule="auto"/>
              <w:rPr>
                <w:rFonts w:ascii="Calibri" w:eastAsia="Calibri" w:hAnsi="Calibri" w:cs="Calibri"/>
                <w:b/>
                <w:color w:val="0070C0"/>
                <w:sz w:val="20"/>
                <w:szCs w:val="20"/>
              </w:rPr>
            </w:pPr>
          </w:p>
        </w:tc>
      </w:tr>
      <w:tr w:rsidR="0037508E">
        <w:tc>
          <w:tcPr>
            <w:tcW w:w="7366" w:type="dxa"/>
            <w:shd w:val="clear" w:color="auto" w:fill="FFFFFF"/>
          </w:tcPr>
          <w:p w:rsidR="0037508E" w:rsidRDefault="00244E89">
            <w:pPr>
              <w:spacing w:line="240" w:lineRule="auto"/>
              <w:rPr>
                <w:rFonts w:ascii="Calibri" w:eastAsia="Calibri" w:hAnsi="Calibri" w:cs="Calibri"/>
                <w:color w:val="0070C0"/>
                <w:sz w:val="20"/>
                <w:szCs w:val="20"/>
              </w:rPr>
            </w:pPr>
            <w:r>
              <w:rPr>
                <w:rFonts w:ascii="Calibri" w:eastAsia="Calibri" w:hAnsi="Calibri" w:cs="Calibri"/>
                <w:b/>
                <w:color w:val="0070C0"/>
                <w:sz w:val="20"/>
                <w:szCs w:val="20"/>
              </w:rPr>
              <w:t xml:space="preserve">Q1 </w:t>
            </w:r>
          </w:p>
          <w:p w:rsidR="0037508E" w:rsidRDefault="0037508E">
            <w:pPr>
              <w:spacing w:line="240" w:lineRule="auto"/>
              <w:rPr>
                <w:rFonts w:ascii="Calibri" w:eastAsia="Calibri" w:hAnsi="Calibri" w:cs="Calibri"/>
                <w:b/>
                <w:color w:val="0070C0"/>
                <w:sz w:val="20"/>
                <w:szCs w:val="20"/>
              </w:rPr>
            </w:pPr>
          </w:p>
        </w:tc>
        <w:tc>
          <w:tcPr>
            <w:tcW w:w="1650" w:type="dxa"/>
          </w:tcPr>
          <w:p w:rsidR="0037508E" w:rsidRDefault="0037508E">
            <w:pPr>
              <w:spacing w:line="240" w:lineRule="auto"/>
              <w:rPr>
                <w:rFonts w:ascii="Calibri" w:eastAsia="Calibri" w:hAnsi="Calibri" w:cs="Calibri"/>
                <w:b/>
                <w:color w:val="0070C0"/>
                <w:sz w:val="20"/>
                <w:szCs w:val="20"/>
              </w:rPr>
            </w:pPr>
          </w:p>
        </w:tc>
      </w:tr>
      <w:tr w:rsidR="0037508E">
        <w:tc>
          <w:tcPr>
            <w:tcW w:w="7366" w:type="dxa"/>
            <w:shd w:val="clear" w:color="auto" w:fill="FFFFFF"/>
          </w:tcPr>
          <w:p w:rsidR="0037508E" w:rsidRPr="00FE0F1F" w:rsidRDefault="00244E89">
            <w:pPr>
              <w:spacing w:line="240" w:lineRule="auto"/>
              <w:rPr>
                <w:rFonts w:ascii="Calibri" w:eastAsiaTheme="minorEastAsia" w:hAnsi="Calibri" w:cs="Calibri" w:hint="eastAsia"/>
                <w:color w:val="0070C0"/>
                <w:sz w:val="20"/>
                <w:szCs w:val="20"/>
                <w:lang w:eastAsia="zh-CN"/>
              </w:rPr>
            </w:pPr>
            <w:r>
              <w:rPr>
                <w:rFonts w:ascii="Calibri" w:eastAsia="Calibri" w:hAnsi="Calibri" w:cs="Calibri"/>
                <w:b/>
                <w:color w:val="0070C0"/>
                <w:sz w:val="20"/>
                <w:szCs w:val="20"/>
              </w:rPr>
              <w:t xml:space="preserve">Q2 </w:t>
            </w:r>
          </w:p>
          <w:p w:rsidR="0037508E" w:rsidRDefault="0037508E">
            <w:pPr>
              <w:spacing w:line="240" w:lineRule="auto"/>
              <w:rPr>
                <w:rFonts w:ascii="Calibri" w:eastAsia="Calibri" w:hAnsi="Calibri" w:cs="Calibri"/>
                <w:color w:val="0070C0"/>
                <w:sz w:val="20"/>
                <w:szCs w:val="20"/>
              </w:rPr>
            </w:pPr>
          </w:p>
        </w:tc>
        <w:tc>
          <w:tcPr>
            <w:tcW w:w="1650" w:type="dxa"/>
          </w:tcPr>
          <w:p w:rsidR="0037508E" w:rsidRDefault="00A74D57">
            <w:pPr>
              <w:spacing w:line="240" w:lineRule="auto"/>
              <w:rPr>
                <w:rFonts w:ascii="Calibri" w:eastAsia="Calibri" w:hAnsi="Calibri" w:cs="Calibri"/>
                <w:b/>
                <w:color w:val="0070C0"/>
                <w:sz w:val="20"/>
                <w:szCs w:val="20"/>
              </w:rPr>
            </w:pPr>
            <w:r w:rsidRPr="00FE0F1F">
              <w:rPr>
                <w:rFonts w:ascii="Calibri" w:eastAsia="Calibri" w:hAnsi="Calibri" w:cs="Calibri"/>
                <w:b/>
                <w:color w:val="0070C0"/>
                <w:sz w:val="52"/>
                <w:szCs w:val="52"/>
              </w:rPr>
              <w:t>×</w:t>
            </w:r>
          </w:p>
        </w:tc>
      </w:tr>
      <w:tr w:rsidR="0037508E">
        <w:tc>
          <w:tcPr>
            <w:tcW w:w="7366" w:type="dxa"/>
            <w:shd w:val="clear" w:color="auto" w:fill="FFFFFF"/>
          </w:tcPr>
          <w:p w:rsidR="0037508E" w:rsidRDefault="00244E89">
            <w:pPr>
              <w:spacing w:line="240" w:lineRule="auto"/>
              <w:rPr>
                <w:rFonts w:ascii="Calibri" w:eastAsia="Calibri" w:hAnsi="Calibri" w:cs="Calibri"/>
                <w:color w:val="0070C0"/>
                <w:sz w:val="20"/>
                <w:szCs w:val="20"/>
              </w:rPr>
            </w:pPr>
            <w:r>
              <w:rPr>
                <w:rFonts w:ascii="Calibri" w:eastAsia="Calibri" w:hAnsi="Calibri" w:cs="Calibri"/>
                <w:b/>
                <w:color w:val="0070C0"/>
                <w:sz w:val="20"/>
                <w:szCs w:val="20"/>
              </w:rPr>
              <w:t>Q3</w:t>
            </w:r>
            <w:r>
              <w:rPr>
                <w:rFonts w:ascii="Calibri" w:eastAsia="Calibri" w:hAnsi="Calibri" w:cs="Calibri"/>
                <w:color w:val="0070C0"/>
                <w:sz w:val="20"/>
                <w:szCs w:val="20"/>
              </w:rPr>
              <w:t xml:space="preserve"> </w:t>
            </w:r>
          </w:p>
          <w:p w:rsidR="0037508E" w:rsidRDefault="0037508E">
            <w:pPr>
              <w:spacing w:line="240" w:lineRule="auto"/>
              <w:rPr>
                <w:rFonts w:ascii="Calibri" w:eastAsia="Calibri" w:hAnsi="Calibri" w:cs="Calibri"/>
                <w:b/>
                <w:color w:val="0070C0"/>
                <w:sz w:val="20"/>
                <w:szCs w:val="20"/>
              </w:rPr>
            </w:pPr>
          </w:p>
        </w:tc>
        <w:tc>
          <w:tcPr>
            <w:tcW w:w="1650" w:type="dxa"/>
          </w:tcPr>
          <w:p w:rsidR="0037508E" w:rsidRPr="00A74D57" w:rsidRDefault="0037508E">
            <w:pPr>
              <w:spacing w:line="240" w:lineRule="auto"/>
              <w:rPr>
                <w:rFonts w:ascii="Calibri" w:eastAsia="Calibri" w:hAnsi="Calibri" w:cs="Calibri"/>
                <w:b/>
                <w:color w:val="0070C0"/>
                <w:sz w:val="20"/>
                <w:szCs w:val="20"/>
              </w:rPr>
            </w:pPr>
          </w:p>
        </w:tc>
      </w:tr>
    </w:tbl>
    <w:p w:rsidR="0037508E" w:rsidRDefault="0037508E">
      <w:pPr>
        <w:spacing w:line="259" w:lineRule="auto"/>
        <w:rPr>
          <w:rFonts w:ascii="Calibri" w:eastAsia="Calibri" w:hAnsi="Calibri" w:cs="Calibri"/>
        </w:rPr>
      </w:pPr>
    </w:p>
    <w:p w:rsidR="0037508E" w:rsidRDefault="00244E89">
      <w:pPr>
        <w:spacing w:line="240" w:lineRule="auto"/>
        <w:rPr>
          <w:rFonts w:ascii="Calibri" w:eastAsia="Calibri" w:hAnsi="Calibri" w:cs="Calibri"/>
          <w:b/>
          <w:color w:val="660066"/>
          <w:sz w:val="20"/>
          <w:szCs w:val="20"/>
        </w:rPr>
      </w:pPr>
      <w:r>
        <w:rPr>
          <w:rFonts w:ascii="Calibri" w:eastAsia="Calibri" w:hAnsi="Calibri" w:cs="Calibri"/>
          <w:b/>
          <w:color w:val="660066"/>
          <w:sz w:val="20"/>
          <w:szCs w:val="20"/>
        </w:rPr>
        <w:t>Educational use of this content</w:t>
      </w:r>
    </w:p>
    <w:p w:rsidR="0037508E" w:rsidRDefault="0037508E">
      <w:pPr>
        <w:spacing w:line="240" w:lineRule="auto"/>
        <w:rPr>
          <w:rFonts w:ascii="Calibri" w:eastAsia="Calibri" w:hAnsi="Calibri" w:cs="Calibri"/>
          <w:b/>
          <w:color w:val="0070C0"/>
          <w:sz w:val="20"/>
          <w:szCs w:val="20"/>
        </w:rPr>
      </w:pPr>
    </w:p>
    <w:p w:rsidR="0037508E" w:rsidRDefault="00244E89">
      <w:pPr>
        <w:spacing w:line="240" w:lineRule="auto"/>
        <w:rPr>
          <w:rFonts w:ascii="Calibri" w:eastAsia="Calibri" w:hAnsi="Calibri" w:cs="Calibri"/>
          <w:color w:val="0070C0"/>
          <w:sz w:val="20"/>
          <w:szCs w:val="20"/>
        </w:rPr>
      </w:pPr>
      <w:r>
        <w:rPr>
          <w:rFonts w:ascii="Calibri" w:eastAsia="Calibri" w:hAnsi="Calibri" w:cs="Calibri"/>
          <w:color w:val="0070C0"/>
          <w:sz w:val="20"/>
          <w:szCs w:val="20"/>
        </w:rPr>
        <w:t xml:space="preserve">By submitting this work, you agree to give permission for the content to be used anonymously for educational and research purposes. If you would prefer not to have your work used for such purposes, </w:t>
      </w:r>
      <w:r>
        <w:rPr>
          <w:rFonts w:ascii="Calibri" w:eastAsia="Calibri" w:hAnsi="Calibri" w:cs="Calibri"/>
          <w:color w:val="0070C0"/>
          <w:sz w:val="20"/>
          <w:szCs w:val="20"/>
        </w:rPr>
        <w:t>please highlight the box below.</w:t>
      </w:r>
    </w:p>
    <w:p w:rsidR="0037508E" w:rsidRDefault="0037508E">
      <w:pPr>
        <w:spacing w:line="240" w:lineRule="auto"/>
        <w:rPr>
          <w:rFonts w:ascii="Calibri" w:eastAsia="Calibri" w:hAnsi="Calibri" w:cs="Calibri"/>
          <w:color w:val="0070C0"/>
          <w:sz w:val="20"/>
          <w:szCs w:val="20"/>
        </w:rPr>
      </w:pPr>
    </w:p>
    <w:p w:rsidR="0037508E" w:rsidRDefault="00244E89">
      <w:pPr>
        <w:spacing w:line="240" w:lineRule="auto"/>
        <w:rPr>
          <w:rFonts w:ascii="Calibri" w:eastAsia="Calibri" w:hAnsi="Calibri" w:cs="Calibri"/>
          <w:color w:val="0070C0"/>
          <w:sz w:val="20"/>
          <w:szCs w:val="20"/>
        </w:rPr>
      </w:pPr>
      <w:r>
        <w:rPr>
          <w:rFonts w:ascii="Calibri" w:eastAsia="Calibri" w:hAnsi="Calibri" w:cs="Calibri"/>
          <w:color w:val="0070C0"/>
          <w:sz w:val="20"/>
          <w:szCs w:val="20"/>
        </w:rPr>
        <w:t xml:space="preserve">Please do </w:t>
      </w:r>
      <w:r>
        <w:rPr>
          <w:rFonts w:ascii="Calibri" w:eastAsia="Calibri" w:hAnsi="Calibri" w:cs="Calibri"/>
          <w:color w:val="0070C0"/>
          <w:sz w:val="20"/>
          <w:szCs w:val="20"/>
          <w:u w:val="single"/>
        </w:rPr>
        <w:t>not</w:t>
      </w:r>
      <w:r>
        <w:rPr>
          <w:rFonts w:ascii="Calibri" w:eastAsia="Calibri" w:hAnsi="Calibri" w:cs="Calibri"/>
          <w:color w:val="0070C0"/>
          <w:sz w:val="20"/>
          <w:szCs w:val="20"/>
        </w:rPr>
        <w:t xml:space="preserve"> use the content in this document for future education and research. </w:t>
      </w:r>
      <w:r>
        <w:rPr>
          <w:noProof/>
          <w:lang w:val="en-US"/>
        </w:rPr>
        <mc:AlternateContent>
          <mc:Choice Requires="wps">
            <w:drawing>
              <wp:anchor distT="0" distB="0" distL="114300" distR="114300" simplePos="0" relativeHeight="251658240" behindDoc="0" locked="0" layoutInCell="1" allowOverlap="1">
                <wp:simplePos x="0" y="0"/>
                <wp:positionH relativeFrom="column">
                  <wp:posOffset>4292600</wp:posOffset>
                </wp:positionH>
                <wp:positionV relativeFrom="paragraph">
                  <wp:posOffset>0</wp:posOffset>
                </wp:positionV>
                <wp:extent cx="177800" cy="158750"/>
                <wp:effectExtent l="0" t="0" r="0" b="0"/>
                <wp:wrapNone/>
                <wp:docPr id="1" name="矩形 1"/>
                <wp:cNvGraphicFramePr/>
                <a:graphic xmlns:a="http://schemas.openxmlformats.org/drawingml/2006/main">
                  <a:graphicData uri="http://schemas.microsoft.com/office/word/2010/wordprocessingShape">
                    <wps:wsp>
                      <wps:cNvSpPr/>
                      <wps:spPr>
                        <a:xfrm>
                          <a:off x="5263450" y="3706975"/>
                          <a:ext cx="165100" cy="14605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rsidR="0037508E" w:rsidRDefault="0037508E">
                            <w:pPr>
                              <w:spacing w:after="0" w:line="240" w:lineRule="auto"/>
                            </w:pPr>
                          </w:p>
                        </w:txbxContent>
                      </wps:txbx>
                      <wps:bodyPr spcFirstLastPara="1" wrap="square" lIns="91425" tIns="91425" rIns="91425" bIns="91425" anchor="ctr" anchorCtr="0">
                        <a:noAutofit/>
                      </wps:bodyPr>
                    </wps:wsp>
                  </a:graphicData>
                </a:graphic>
              </wp:anchor>
            </w:drawing>
          </mc:Choice>
          <mc:Fallback>
            <w:pict>
              <v:rect id="矩形 1" o:spid="_x0000_s1026" style="position:absolute;margin-left:338pt;margin-top:0;width:14pt;height:12.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tYnPwIAAG4EAAAOAAAAZHJzL2Uyb0RvYy54bWysVG2O0zAQ/Y/EHSz/p0m6bXc3arpCW4qQ&#10;VlBp4QBTx2ks/IXtNulpkPjHIfY4iGswdsq2C0hIiP5wPcn0zXvzZjq/6ZUke+68MLqixSinhGtm&#10;aqG3Ff3wfvXiihIfQNcgjeYVPXBPbxbPn807W/KxaY2suSMIon3Z2Yq2IdgyyzxruQI/MpZrfNkY&#10;pyBg6LZZ7aBDdCWzcZ7Pss642jrDuPf4dDm8pIuE3zSchXdN43kgsqLILaTTpXMTz2wxh3LrwLaC&#10;HWnAP7BQIDQWfYRaQgCyc+I3KCWYM940YcSMykzTCMaTBlRT5L+ouW/B8qQFm+PtY5v8/4Nlb/dr&#10;R0SN3lGiQaFF3z9//fbwhRSxN531Jabc27U7Rh6vUWjfOBW/UQLpKzodzy4mU+zwoaIXl/ns+nI6&#10;9Jb3gTBMKGbTIsf3DBOKySzHXETMTkDW+fCaG0XipaIOrUsdhf2dD0Pqz5RY1xsp6pWQMgVxXPit&#10;dGQPaLQMiTyCP8mSmnRYfHyZeABOWyMhICVlUb/X21TvyU/SHJ6A649/BI68luDboXoCGMQrEXC6&#10;pVAVvcrjZ3jccqhf6ZqEg8V+a1wMGpl5RYnkuEZ4QcFQBhDy73koU2psZfRqcCfeQr/pj5ZtTH1A&#10;k71lK4FM78CHNTgcc7S8w9HHgp924JCEfKNxtq6LyXiKu3IeuPNgcx6AZq3BjWLBUTIEtyFtWJSg&#10;zctdMI1IDkZeA5kjXRzqNAPHBYxbcx6nrNPfxOIHAAAA//8DAFBLAwQUAAYACAAAACEA1xjs/NwA&#10;AAAHAQAADwAAAGRycy9kb3ducmV2LnhtbEyPQUvDQBCF74L/YRnBm91tMWlJsymiCF4ErRU8TpNp&#10;NpqdDdltG/+940kvwxve8N435WbyvTrRGLvAFuYzA4q4Dk3HrYXd2+PNClRMyA32gcnCN0XYVJcX&#10;JRZNOPMrnbapVRLCsUALLqWh0DrWjjzGWRiIxTuE0WOSdWx1M+JZwn2vF8bk2mPH0uBwoHtH9df2&#10;6C2k1VP+wi57dp/mY/fw7nCOGVp7fTXdrUElmtLfMfziCzpUwrQPR26i6i3ky1x+SRZkir00tyL2&#10;FhaZAV2V+j9/9QMAAP//AwBQSwECLQAUAAYACAAAACEAtoM4kv4AAADhAQAAEwAAAAAAAAAAAAAA&#10;AAAAAAAAW0NvbnRlbnRfVHlwZXNdLnhtbFBLAQItABQABgAIAAAAIQA4/SH/1gAAAJQBAAALAAAA&#10;AAAAAAAAAAAAAC8BAABfcmVscy8ucmVsc1BLAQItABQABgAIAAAAIQA4utYnPwIAAG4EAAAOAAAA&#10;AAAAAAAAAAAAAC4CAABkcnMvZTJvRG9jLnhtbFBLAQItABQABgAIAAAAIQDXGOz83AAAAAcBAAAP&#10;AAAAAAAAAAAAAAAAAJkEAABkcnMvZG93bnJldi54bWxQSwUGAAAAAAQABADzAAAAogUAAAAA&#10;" fillcolor="white [3201]" strokecolor="black [3200]" strokeweight="1pt">
                <v:stroke startarrowwidth="narrow" startarrowlength="short" endarrowwidth="narrow" endarrowlength="short"/>
                <v:textbox inset="2.53958mm,2.53958mm,2.53958mm,2.53958mm">
                  <w:txbxContent>
                    <w:p w:rsidR="0037508E" w:rsidRDefault="0037508E">
                      <w:pPr>
                        <w:spacing w:after="0" w:line="240" w:lineRule="auto"/>
                      </w:pPr>
                    </w:p>
                  </w:txbxContent>
                </v:textbox>
              </v:rect>
            </w:pict>
          </mc:Fallback>
        </mc:AlternateContent>
      </w:r>
    </w:p>
    <w:p w:rsidR="0037508E" w:rsidRDefault="0037508E">
      <w:pPr>
        <w:spacing w:line="259" w:lineRule="auto"/>
        <w:rPr>
          <w:rFonts w:ascii="Calibri" w:eastAsia="Calibri" w:hAnsi="Calibri" w:cs="Calibri"/>
        </w:rPr>
      </w:pPr>
    </w:p>
    <w:p w:rsidR="0037508E" w:rsidRDefault="0037508E">
      <w:pPr>
        <w:spacing w:line="259" w:lineRule="auto"/>
        <w:jc w:val="center"/>
        <w:rPr>
          <w:rFonts w:ascii="Calibri" w:eastAsia="Calibri" w:hAnsi="Calibri" w:cs="Calibri"/>
          <w:b/>
        </w:rPr>
      </w:pPr>
    </w:p>
    <w:p w:rsidR="0037508E" w:rsidRDefault="00244E89">
      <w:pPr>
        <w:spacing w:line="259" w:lineRule="auto"/>
        <w:jc w:val="center"/>
        <w:rPr>
          <w:rFonts w:ascii="Calibri" w:eastAsia="Calibri" w:hAnsi="Calibri" w:cs="Calibri"/>
          <w:b/>
        </w:rPr>
      </w:pPr>
      <w:r>
        <w:rPr>
          <w:rFonts w:ascii="Calibri" w:eastAsia="Calibri" w:hAnsi="Calibri" w:cs="Calibri"/>
          <w:b/>
        </w:rPr>
        <w:t>Write or Copy-Paste your notes on the next page.</w:t>
      </w:r>
    </w:p>
    <w:p w:rsidR="00FE0F1F" w:rsidRDefault="00FE0F1F">
      <w:pPr>
        <w:spacing w:line="259" w:lineRule="auto"/>
        <w:rPr>
          <w:rFonts w:ascii="Calibri" w:eastAsia="Calibri" w:hAnsi="Calibri" w:cs="Calibri"/>
          <w:b/>
          <w:color w:val="0070C0"/>
        </w:rPr>
      </w:pPr>
      <w:r>
        <w:rPr>
          <w:rFonts w:ascii="Calibri" w:eastAsia="Calibri" w:hAnsi="Calibri" w:cs="Calibri"/>
          <w:b/>
          <w:color w:val="0070C0"/>
        </w:rPr>
        <w:br w:type="page"/>
      </w:r>
    </w:p>
    <w:p w:rsidR="0037508E" w:rsidRDefault="0037508E">
      <w:pPr>
        <w:spacing w:line="259" w:lineRule="auto"/>
        <w:rPr>
          <w:rFonts w:ascii="Calibri" w:eastAsia="Calibri" w:hAnsi="Calibri" w:cs="Calibri"/>
          <w:b/>
          <w:color w:val="0070C0"/>
        </w:rPr>
      </w:pPr>
    </w:p>
    <w:p w:rsidR="00A74D57" w:rsidRPr="00C0308A" w:rsidRDefault="00A74D57" w:rsidP="00A74D57">
      <w:pPr>
        <w:rPr>
          <w:rFonts w:ascii="Times New Roman" w:hAnsi="Times New Roman" w:cs="Times New Roman"/>
          <w:b/>
          <w:sz w:val="24"/>
          <w:szCs w:val="24"/>
        </w:rPr>
      </w:pPr>
      <w:r w:rsidRPr="00C0308A">
        <w:rPr>
          <w:rFonts w:ascii="Times New Roman" w:hAnsi="Times New Roman" w:cs="Times New Roman"/>
          <w:b/>
          <w:sz w:val="24"/>
          <w:szCs w:val="24"/>
        </w:rPr>
        <w:t>Topic: Video game violence increases aggression and leads to violence in the real world. The solution is therefore to ban such games.</w:t>
      </w:r>
    </w:p>
    <w:p w:rsidR="00A74D57" w:rsidRPr="00C0308A" w:rsidRDefault="00A74D57" w:rsidP="00A74D57">
      <w:pPr>
        <w:rPr>
          <w:rFonts w:ascii="Times New Roman" w:hAnsi="Times New Roman" w:cs="Times New Roman"/>
          <w:b/>
          <w:i/>
          <w:sz w:val="24"/>
          <w:szCs w:val="24"/>
        </w:rPr>
      </w:pPr>
      <w:r w:rsidRPr="00C0308A">
        <w:rPr>
          <w:rFonts w:ascii="Times New Roman" w:hAnsi="Times New Roman" w:cs="Times New Roman"/>
          <w:b/>
          <w:i/>
          <w:sz w:val="24"/>
          <w:szCs w:val="24"/>
        </w:rPr>
        <w:t>Introduction</w:t>
      </w:r>
    </w:p>
    <w:p w:rsidR="00A74D57" w:rsidRPr="00C0308A" w:rsidRDefault="00A74D57" w:rsidP="00A74D57">
      <w:pPr>
        <w:rPr>
          <w:rFonts w:ascii="Times New Roman" w:hAnsi="Times New Roman" w:cs="Times New Roman"/>
          <w:sz w:val="24"/>
          <w:szCs w:val="24"/>
        </w:rPr>
      </w:pPr>
      <w:r w:rsidRPr="00C0308A">
        <w:rPr>
          <w:rFonts w:ascii="Times New Roman" w:hAnsi="Times New Roman" w:cs="Times New Roman"/>
          <w:b/>
          <w:sz w:val="24"/>
          <w:szCs w:val="24"/>
        </w:rPr>
        <w:t>Thesis: Glorification of violence caused by increased aggression through video games is one of the acts that should be stopped in society.</w:t>
      </w:r>
    </w:p>
    <w:p w:rsidR="00A74D57" w:rsidRPr="00C0308A" w:rsidRDefault="00A74D57" w:rsidP="00A74D57">
      <w:pPr>
        <w:rPr>
          <w:rFonts w:ascii="Times New Roman" w:hAnsi="Times New Roman" w:cs="Times New Roman"/>
          <w:b/>
          <w:i/>
          <w:sz w:val="24"/>
          <w:szCs w:val="24"/>
        </w:rPr>
      </w:pPr>
      <w:r w:rsidRPr="00C0308A">
        <w:rPr>
          <w:rFonts w:ascii="Times New Roman" w:hAnsi="Times New Roman" w:cs="Times New Roman"/>
          <w:b/>
          <w:i/>
          <w:sz w:val="24"/>
          <w:szCs w:val="24"/>
        </w:rPr>
        <w:t>Body paragraph- 1</w:t>
      </w:r>
    </w:p>
    <w:p w:rsidR="00A74D57" w:rsidRPr="00C0308A" w:rsidRDefault="00A74D57" w:rsidP="00A74D57">
      <w:pPr>
        <w:rPr>
          <w:rFonts w:ascii="Times New Roman" w:hAnsi="Times New Roman" w:cs="Times New Roman"/>
          <w:sz w:val="24"/>
          <w:szCs w:val="24"/>
        </w:rPr>
      </w:pPr>
      <w:r w:rsidRPr="00C0308A">
        <w:rPr>
          <w:rFonts w:ascii="Times New Roman" w:hAnsi="Times New Roman" w:cs="Times New Roman"/>
          <w:b/>
          <w:sz w:val="24"/>
          <w:szCs w:val="24"/>
        </w:rPr>
        <w:t>Topic sentence</w:t>
      </w:r>
      <w:r w:rsidRPr="00C0308A">
        <w:rPr>
          <w:rFonts w:ascii="Times New Roman" w:hAnsi="Times New Roman" w:cs="Times New Roman"/>
          <w:sz w:val="24"/>
          <w:szCs w:val="24"/>
        </w:rPr>
        <w:t>: Playing violent video games causes people to be violent in real life.</w:t>
      </w:r>
    </w:p>
    <w:p w:rsidR="00A74D57" w:rsidRPr="00C0308A" w:rsidRDefault="00A74D57" w:rsidP="00A74D57">
      <w:pPr>
        <w:pStyle w:val="ListParagraph"/>
        <w:numPr>
          <w:ilvl w:val="0"/>
          <w:numId w:val="1"/>
        </w:numPr>
        <w:rPr>
          <w:rFonts w:ascii="Times New Roman" w:hAnsi="Times New Roman" w:cs="Times New Roman"/>
          <w:sz w:val="24"/>
          <w:szCs w:val="24"/>
        </w:rPr>
      </w:pPr>
      <w:r w:rsidRPr="00C0308A">
        <w:rPr>
          <w:rFonts w:ascii="Times New Roman" w:hAnsi="Times New Roman" w:cs="Times New Roman"/>
          <w:b/>
          <w:sz w:val="24"/>
          <w:szCs w:val="24"/>
        </w:rPr>
        <w:t>Detail 1</w:t>
      </w:r>
      <w:r w:rsidRPr="00C0308A">
        <w:rPr>
          <w:rFonts w:ascii="Times New Roman" w:hAnsi="Times New Roman" w:cs="Times New Roman"/>
          <w:sz w:val="24"/>
          <w:szCs w:val="24"/>
        </w:rPr>
        <w:t xml:space="preserve">: Games like GTA increases the susceptibility to antisocial behaviors </w:t>
      </w:r>
      <w:r w:rsidRPr="000F4194">
        <w:rPr>
          <w:rFonts w:ascii="Times New Roman" w:eastAsia="Times New Roman" w:hAnsi="Times New Roman" w:cs="Times New Roman"/>
          <w:color w:val="000000"/>
          <w:sz w:val="24"/>
          <w:szCs w:val="24"/>
        </w:rPr>
        <w:t>(</w:t>
      </w:r>
      <w:r w:rsidRPr="00C0308A">
        <w:rPr>
          <w:rFonts w:ascii="Times New Roman" w:eastAsia="Times New Roman" w:hAnsi="Times New Roman" w:cs="Times New Roman"/>
          <w:color w:val="000000"/>
          <w:sz w:val="24"/>
          <w:szCs w:val="24"/>
        </w:rPr>
        <w:t xml:space="preserve">Griffiths, </w:t>
      </w:r>
      <w:r w:rsidRPr="000F4194">
        <w:rPr>
          <w:rFonts w:ascii="Times New Roman" w:eastAsia="Times New Roman" w:hAnsi="Times New Roman" w:cs="Times New Roman"/>
          <w:color w:val="000000"/>
          <w:sz w:val="24"/>
          <w:szCs w:val="24"/>
        </w:rPr>
        <w:t>2015</w:t>
      </w:r>
      <w:r w:rsidRPr="00C0308A">
        <w:rPr>
          <w:rFonts w:ascii="Times New Roman" w:eastAsia="Times New Roman" w:hAnsi="Times New Roman" w:cs="Times New Roman"/>
          <w:color w:val="000000"/>
          <w:sz w:val="24"/>
          <w:szCs w:val="24"/>
        </w:rPr>
        <w:t>).</w:t>
      </w:r>
      <w:r w:rsidRPr="00C0308A">
        <w:rPr>
          <w:rFonts w:ascii="Times New Roman" w:hAnsi="Times New Roman" w:cs="Times New Roman"/>
          <w:sz w:val="24"/>
          <w:szCs w:val="24"/>
        </w:rPr>
        <w:t xml:space="preserve"> </w:t>
      </w:r>
    </w:p>
    <w:p w:rsidR="00A74D57" w:rsidRPr="00C0308A" w:rsidRDefault="00A74D57" w:rsidP="00A74D57">
      <w:pPr>
        <w:pStyle w:val="ListParagraph"/>
        <w:numPr>
          <w:ilvl w:val="0"/>
          <w:numId w:val="1"/>
        </w:numPr>
        <w:rPr>
          <w:rFonts w:ascii="Times New Roman" w:hAnsi="Times New Roman" w:cs="Times New Roman"/>
          <w:sz w:val="24"/>
          <w:szCs w:val="24"/>
        </w:rPr>
      </w:pPr>
      <w:r w:rsidRPr="00C0308A">
        <w:rPr>
          <w:rFonts w:ascii="Times New Roman" w:hAnsi="Times New Roman" w:cs="Times New Roman"/>
          <w:b/>
          <w:sz w:val="24"/>
          <w:szCs w:val="24"/>
        </w:rPr>
        <w:t>Detail 2</w:t>
      </w:r>
      <w:r w:rsidRPr="00C0308A">
        <w:rPr>
          <w:rFonts w:ascii="Times New Roman" w:hAnsi="Times New Roman" w:cs="Times New Roman"/>
          <w:sz w:val="24"/>
          <w:szCs w:val="24"/>
        </w:rPr>
        <w:t xml:space="preserve">: Playing of violent video games has a contagious impact on aggression </w:t>
      </w:r>
      <w:r w:rsidRPr="00C0308A">
        <w:rPr>
          <w:rFonts w:ascii="Times New Roman" w:hAnsi="Times New Roman" w:cs="Times New Roman"/>
          <w:color w:val="222222"/>
          <w:sz w:val="24"/>
          <w:szCs w:val="24"/>
          <w:shd w:val="clear" w:color="auto" w:fill="FFFFFF"/>
        </w:rPr>
        <w:t>Greitemeyer, 2019).</w:t>
      </w:r>
    </w:p>
    <w:p w:rsidR="00A74D57" w:rsidRPr="00C0308A" w:rsidRDefault="00A74D57" w:rsidP="00A74D57">
      <w:pPr>
        <w:rPr>
          <w:rFonts w:ascii="Times New Roman" w:hAnsi="Times New Roman" w:cs="Times New Roman"/>
          <w:b/>
          <w:i/>
          <w:sz w:val="24"/>
          <w:szCs w:val="24"/>
        </w:rPr>
      </w:pPr>
      <w:r w:rsidRPr="00C0308A">
        <w:rPr>
          <w:rFonts w:ascii="Times New Roman" w:hAnsi="Times New Roman" w:cs="Times New Roman"/>
          <w:b/>
          <w:i/>
          <w:sz w:val="24"/>
          <w:szCs w:val="24"/>
        </w:rPr>
        <w:t>Body paragraph- 2</w:t>
      </w:r>
    </w:p>
    <w:p w:rsidR="00A74D57" w:rsidRPr="00C0308A" w:rsidRDefault="00A74D57" w:rsidP="00A74D57">
      <w:pPr>
        <w:rPr>
          <w:rFonts w:ascii="Times New Roman" w:hAnsi="Times New Roman" w:cs="Times New Roman"/>
          <w:sz w:val="24"/>
          <w:szCs w:val="24"/>
        </w:rPr>
      </w:pPr>
      <w:r w:rsidRPr="00C0308A">
        <w:rPr>
          <w:rFonts w:ascii="Times New Roman" w:hAnsi="Times New Roman" w:cs="Times New Roman"/>
          <w:b/>
          <w:sz w:val="24"/>
          <w:szCs w:val="24"/>
        </w:rPr>
        <w:t>Topic sentence</w:t>
      </w:r>
      <w:r w:rsidRPr="00C0308A">
        <w:rPr>
          <w:rFonts w:ascii="Times New Roman" w:hAnsi="Times New Roman" w:cs="Times New Roman"/>
          <w:sz w:val="24"/>
          <w:szCs w:val="24"/>
        </w:rPr>
        <w:t>: Banning violent video games would not be an effective solution.</w:t>
      </w:r>
    </w:p>
    <w:p w:rsidR="00A74D57" w:rsidRPr="00C0308A" w:rsidRDefault="00A74D57" w:rsidP="00A74D57">
      <w:pPr>
        <w:pStyle w:val="ListParagraph"/>
        <w:numPr>
          <w:ilvl w:val="0"/>
          <w:numId w:val="1"/>
        </w:numPr>
        <w:rPr>
          <w:rFonts w:ascii="Times New Roman" w:hAnsi="Times New Roman" w:cs="Times New Roman"/>
          <w:sz w:val="24"/>
          <w:szCs w:val="24"/>
        </w:rPr>
      </w:pPr>
      <w:r w:rsidRPr="00C0308A">
        <w:rPr>
          <w:rFonts w:ascii="Times New Roman" w:hAnsi="Times New Roman" w:cs="Times New Roman"/>
          <w:b/>
          <w:sz w:val="24"/>
          <w:szCs w:val="24"/>
        </w:rPr>
        <w:t>Detail 1</w:t>
      </w:r>
      <w:r w:rsidRPr="00C0308A">
        <w:rPr>
          <w:rFonts w:ascii="Times New Roman" w:hAnsi="Times New Roman" w:cs="Times New Roman"/>
          <w:sz w:val="24"/>
          <w:szCs w:val="24"/>
        </w:rPr>
        <w:t xml:space="preserve">: Increased rates of crimes is negligibly associated with the increased fame of violent video games (Cunningham, </w:t>
      </w:r>
      <w:proofErr w:type="spellStart"/>
      <w:r w:rsidRPr="00C0308A">
        <w:rPr>
          <w:rFonts w:ascii="Times New Roman" w:hAnsi="Times New Roman" w:cs="Times New Roman"/>
          <w:sz w:val="24"/>
          <w:szCs w:val="24"/>
        </w:rPr>
        <w:t>Engelstätter</w:t>
      </w:r>
      <w:proofErr w:type="spellEnd"/>
      <w:r w:rsidRPr="00C0308A">
        <w:rPr>
          <w:rFonts w:ascii="Times New Roman" w:hAnsi="Times New Roman" w:cs="Times New Roman"/>
          <w:sz w:val="24"/>
          <w:szCs w:val="24"/>
        </w:rPr>
        <w:t xml:space="preserve"> &amp; Ward, 2016).</w:t>
      </w:r>
    </w:p>
    <w:p w:rsidR="00A74D57" w:rsidRPr="00C0308A" w:rsidRDefault="00A74D57" w:rsidP="00A74D57">
      <w:pPr>
        <w:pStyle w:val="ListParagraph"/>
        <w:numPr>
          <w:ilvl w:val="0"/>
          <w:numId w:val="1"/>
        </w:numPr>
        <w:rPr>
          <w:rFonts w:ascii="Times New Roman" w:hAnsi="Times New Roman" w:cs="Times New Roman"/>
          <w:sz w:val="24"/>
          <w:szCs w:val="24"/>
        </w:rPr>
      </w:pPr>
      <w:r w:rsidRPr="00C0308A">
        <w:rPr>
          <w:rFonts w:ascii="Times New Roman" w:hAnsi="Times New Roman" w:cs="Times New Roman"/>
          <w:b/>
          <w:sz w:val="24"/>
          <w:szCs w:val="24"/>
        </w:rPr>
        <w:t>Detail 2</w:t>
      </w:r>
      <w:r w:rsidRPr="00C0308A">
        <w:rPr>
          <w:rFonts w:ascii="Times New Roman" w:hAnsi="Times New Roman" w:cs="Times New Roman"/>
          <w:sz w:val="24"/>
          <w:szCs w:val="24"/>
        </w:rPr>
        <w:t>: video games have flaws that can be corrected easily by the contributors and producers (</w:t>
      </w:r>
      <w:r w:rsidRPr="00C0308A">
        <w:rPr>
          <w:rFonts w:ascii="Times New Roman" w:eastAsia="Times New Roman" w:hAnsi="Times New Roman" w:cs="Times New Roman"/>
          <w:color w:val="000000"/>
          <w:sz w:val="24"/>
          <w:szCs w:val="24"/>
        </w:rPr>
        <w:t>Narcisse, </w:t>
      </w:r>
      <w:r w:rsidRPr="000F4194">
        <w:rPr>
          <w:rFonts w:ascii="Times New Roman" w:eastAsia="Times New Roman" w:hAnsi="Times New Roman" w:cs="Times New Roman"/>
          <w:color w:val="000000"/>
          <w:sz w:val="24"/>
          <w:szCs w:val="24"/>
        </w:rPr>
        <w:t>2014</w:t>
      </w:r>
      <w:r w:rsidRPr="00C0308A">
        <w:rPr>
          <w:rFonts w:ascii="Times New Roman" w:eastAsia="Times New Roman" w:hAnsi="Times New Roman" w:cs="Times New Roman"/>
          <w:color w:val="000000"/>
          <w:sz w:val="24"/>
          <w:szCs w:val="24"/>
        </w:rPr>
        <w:t>).</w:t>
      </w:r>
    </w:p>
    <w:p w:rsidR="00A74D57" w:rsidRPr="00C0308A" w:rsidRDefault="00A74D57" w:rsidP="00A74D57">
      <w:pPr>
        <w:rPr>
          <w:rFonts w:ascii="Times New Roman" w:hAnsi="Times New Roman" w:cs="Times New Roman"/>
          <w:b/>
          <w:i/>
          <w:sz w:val="24"/>
          <w:szCs w:val="24"/>
        </w:rPr>
      </w:pPr>
      <w:r w:rsidRPr="00C0308A">
        <w:rPr>
          <w:rFonts w:ascii="Times New Roman" w:hAnsi="Times New Roman" w:cs="Times New Roman"/>
          <w:b/>
          <w:i/>
          <w:sz w:val="24"/>
          <w:szCs w:val="24"/>
        </w:rPr>
        <w:t>Conclusion</w:t>
      </w:r>
    </w:p>
    <w:p w:rsidR="00A74D57" w:rsidRPr="00C0308A" w:rsidRDefault="00A74D57" w:rsidP="00A74D57">
      <w:pPr>
        <w:rPr>
          <w:rFonts w:ascii="Times New Roman" w:hAnsi="Times New Roman" w:cs="Times New Roman"/>
          <w:sz w:val="24"/>
          <w:szCs w:val="24"/>
        </w:rPr>
      </w:pPr>
      <w:r w:rsidRPr="00C0308A">
        <w:rPr>
          <w:rFonts w:ascii="Times New Roman" w:hAnsi="Times New Roman" w:cs="Times New Roman"/>
          <w:sz w:val="24"/>
          <w:szCs w:val="24"/>
        </w:rPr>
        <w:t>Playing violent video games causes people to be violent in real life. However, I disagree that banning such games is the solution… (Followed by a justified conclusion as indicated in the whole essay.)</w:t>
      </w:r>
    </w:p>
    <w:p w:rsidR="00A74D57" w:rsidRPr="00C0308A" w:rsidRDefault="00A74D57" w:rsidP="00A74D57">
      <w:pPr>
        <w:rPr>
          <w:rFonts w:ascii="Times New Roman" w:eastAsia="Times New Roman" w:hAnsi="Times New Roman" w:cs="Times New Roman"/>
          <w:color w:val="000000"/>
          <w:sz w:val="24"/>
          <w:szCs w:val="24"/>
        </w:rPr>
      </w:pPr>
      <w:r w:rsidRPr="00C0308A">
        <w:rPr>
          <w:rFonts w:ascii="Times New Roman" w:eastAsia="Times New Roman" w:hAnsi="Times New Roman" w:cs="Times New Roman"/>
          <w:color w:val="000000"/>
          <w:sz w:val="24"/>
          <w:szCs w:val="24"/>
        </w:rPr>
        <w:br w:type="page"/>
      </w:r>
    </w:p>
    <w:p w:rsidR="00A74D57" w:rsidRPr="000F4194" w:rsidRDefault="00A74D57" w:rsidP="00A74D57">
      <w:pPr>
        <w:shd w:val="clear" w:color="auto" w:fill="FFFFFF"/>
        <w:spacing w:after="0" w:line="240" w:lineRule="auto"/>
        <w:jc w:val="center"/>
        <w:rPr>
          <w:rFonts w:ascii="Times New Roman" w:eastAsia="Times New Roman" w:hAnsi="Times New Roman" w:cs="Times New Roman"/>
          <w:b/>
          <w:color w:val="000000"/>
          <w:sz w:val="24"/>
          <w:szCs w:val="24"/>
        </w:rPr>
      </w:pPr>
      <w:r w:rsidRPr="000F4194">
        <w:rPr>
          <w:rFonts w:ascii="Times New Roman" w:eastAsia="Times New Roman" w:hAnsi="Times New Roman" w:cs="Times New Roman"/>
          <w:b/>
          <w:color w:val="000000"/>
          <w:sz w:val="24"/>
          <w:szCs w:val="24"/>
        </w:rPr>
        <w:lastRenderedPageBreak/>
        <w:t>References</w:t>
      </w:r>
    </w:p>
    <w:p w:rsidR="00244E89" w:rsidRPr="00C0308A" w:rsidRDefault="00244E89" w:rsidP="00A74D57">
      <w:pPr>
        <w:shd w:val="clear" w:color="auto" w:fill="FFFFFF"/>
        <w:spacing w:after="0" w:line="550" w:lineRule="atLeast"/>
        <w:ind w:left="720" w:right="75" w:hanging="720"/>
        <w:rPr>
          <w:rFonts w:ascii="Times New Roman" w:hAnsi="Times New Roman" w:cs="Times New Roman"/>
          <w:color w:val="222222"/>
          <w:sz w:val="24"/>
          <w:szCs w:val="24"/>
          <w:shd w:val="clear" w:color="auto" w:fill="FFFFFF"/>
        </w:rPr>
      </w:pPr>
      <w:r w:rsidRPr="00C0308A">
        <w:rPr>
          <w:rFonts w:ascii="Times New Roman" w:hAnsi="Times New Roman" w:cs="Times New Roman"/>
          <w:color w:val="222222"/>
          <w:sz w:val="24"/>
          <w:szCs w:val="24"/>
          <w:shd w:val="clear" w:color="auto" w:fill="FFFFFF"/>
        </w:rPr>
        <w:t>Greitemeyer, T. (2019). The contagious impact of playing violent video games on aggression: Longitudinal evidence. </w:t>
      </w:r>
      <w:r w:rsidRPr="00C0308A">
        <w:rPr>
          <w:rFonts w:ascii="Times New Roman" w:hAnsi="Times New Roman" w:cs="Times New Roman"/>
          <w:i/>
          <w:iCs/>
          <w:color w:val="222222"/>
          <w:sz w:val="24"/>
          <w:szCs w:val="24"/>
          <w:shd w:val="clear" w:color="auto" w:fill="FFFFFF"/>
        </w:rPr>
        <w:t>Aggressive behavior</w:t>
      </w:r>
      <w:r w:rsidRPr="00C0308A">
        <w:rPr>
          <w:rFonts w:ascii="Times New Roman" w:hAnsi="Times New Roman" w:cs="Times New Roman"/>
          <w:color w:val="222222"/>
          <w:sz w:val="24"/>
          <w:szCs w:val="24"/>
          <w:shd w:val="clear" w:color="auto" w:fill="FFFFFF"/>
        </w:rPr>
        <w:t>, </w:t>
      </w:r>
      <w:r w:rsidRPr="00C0308A">
        <w:rPr>
          <w:rFonts w:ascii="Times New Roman" w:hAnsi="Times New Roman" w:cs="Times New Roman"/>
          <w:i/>
          <w:iCs/>
          <w:color w:val="222222"/>
          <w:sz w:val="24"/>
          <w:szCs w:val="24"/>
          <w:shd w:val="clear" w:color="auto" w:fill="FFFFFF"/>
        </w:rPr>
        <w:t>45</w:t>
      </w:r>
      <w:r w:rsidRPr="00C0308A">
        <w:rPr>
          <w:rFonts w:ascii="Times New Roman" w:hAnsi="Times New Roman" w:cs="Times New Roman"/>
          <w:color w:val="222222"/>
          <w:sz w:val="24"/>
          <w:szCs w:val="24"/>
          <w:shd w:val="clear" w:color="auto" w:fill="FFFFFF"/>
        </w:rPr>
        <w:t>(6), 635-642.</w:t>
      </w:r>
    </w:p>
    <w:p w:rsidR="00244E89" w:rsidRPr="00C0308A" w:rsidRDefault="00244E89" w:rsidP="00A74D57">
      <w:pPr>
        <w:shd w:val="clear" w:color="auto" w:fill="FFFFFF"/>
        <w:spacing w:after="0" w:line="550" w:lineRule="atLeast"/>
        <w:ind w:left="720" w:right="75" w:hanging="720"/>
        <w:rPr>
          <w:rFonts w:ascii="Times New Roman" w:hAnsi="Times New Roman" w:cs="Times New Roman"/>
          <w:sz w:val="24"/>
          <w:szCs w:val="24"/>
        </w:rPr>
      </w:pPr>
      <w:r w:rsidRPr="00C0308A">
        <w:rPr>
          <w:rFonts w:ascii="Times New Roman" w:hAnsi="Times New Roman" w:cs="Times New Roman"/>
          <w:sz w:val="24"/>
          <w:szCs w:val="24"/>
        </w:rPr>
        <w:t>Cunningham, S., Engelstätter, B., &amp; Ward, M. R. (2016). Violent video games and violent crime. </w:t>
      </w:r>
      <w:r w:rsidRPr="00C0308A">
        <w:rPr>
          <w:rFonts w:ascii="Times New Roman" w:hAnsi="Times New Roman" w:cs="Times New Roman"/>
          <w:i/>
          <w:iCs/>
          <w:sz w:val="24"/>
          <w:szCs w:val="24"/>
        </w:rPr>
        <w:t>Southern Economic Journal</w:t>
      </w:r>
      <w:r w:rsidRPr="00C0308A">
        <w:rPr>
          <w:rFonts w:ascii="Times New Roman" w:hAnsi="Times New Roman" w:cs="Times New Roman"/>
          <w:sz w:val="24"/>
          <w:szCs w:val="24"/>
        </w:rPr>
        <w:t>, </w:t>
      </w:r>
      <w:r w:rsidRPr="00C0308A">
        <w:rPr>
          <w:rFonts w:ascii="Times New Roman" w:hAnsi="Times New Roman" w:cs="Times New Roman"/>
          <w:i/>
          <w:iCs/>
          <w:sz w:val="24"/>
          <w:szCs w:val="24"/>
        </w:rPr>
        <w:t>82</w:t>
      </w:r>
      <w:r w:rsidRPr="00C0308A">
        <w:rPr>
          <w:rFonts w:ascii="Times New Roman" w:hAnsi="Times New Roman" w:cs="Times New Roman"/>
          <w:sz w:val="24"/>
          <w:szCs w:val="24"/>
        </w:rPr>
        <w:t>(4), 1247-1265.</w:t>
      </w:r>
    </w:p>
    <w:p w:rsidR="00244E89" w:rsidRPr="00C0308A" w:rsidRDefault="00244E89" w:rsidP="00A74D57">
      <w:pPr>
        <w:shd w:val="clear" w:color="auto" w:fill="FFFFFF"/>
        <w:spacing w:after="0" w:line="550" w:lineRule="atLeast"/>
        <w:ind w:left="720" w:right="75" w:hanging="720"/>
        <w:rPr>
          <w:rFonts w:ascii="Times New Roman" w:eastAsia="Times New Roman" w:hAnsi="Times New Roman" w:cs="Times New Roman"/>
          <w:color w:val="000000"/>
          <w:sz w:val="24"/>
          <w:szCs w:val="24"/>
        </w:rPr>
      </w:pPr>
      <w:r w:rsidRPr="000F4194">
        <w:rPr>
          <w:rFonts w:ascii="Times New Roman" w:eastAsia="Times New Roman" w:hAnsi="Times New Roman" w:cs="Times New Roman"/>
          <w:color w:val="000000"/>
          <w:sz w:val="24"/>
          <w:szCs w:val="24"/>
        </w:rPr>
        <w:t>Narcisse, E. (2014, August 27). </w:t>
      </w:r>
      <w:r w:rsidRPr="00C0308A">
        <w:rPr>
          <w:rFonts w:ascii="Times New Roman" w:eastAsia="Times New Roman" w:hAnsi="Times New Roman" w:cs="Times New Roman"/>
          <w:i/>
          <w:iCs/>
          <w:color w:val="000000"/>
          <w:sz w:val="24"/>
          <w:szCs w:val="24"/>
        </w:rPr>
        <w:t>The problem with 'The casual cruelty' against women in video games</w:t>
      </w:r>
      <w:r w:rsidRPr="000F4194">
        <w:rPr>
          <w:rFonts w:ascii="Times New Roman" w:eastAsia="Times New Roman" w:hAnsi="Times New Roman" w:cs="Times New Roman"/>
          <w:color w:val="000000"/>
          <w:sz w:val="24"/>
          <w:szCs w:val="24"/>
        </w:rPr>
        <w:t>. Kota</w:t>
      </w:r>
      <w:bookmarkStart w:id="1" w:name="_GoBack"/>
      <w:bookmarkEnd w:id="1"/>
      <w:r w:rsidRPr="000F4194">
        <w:rPr>
          <w:rFonts w:ascii="Times New Roman" w:eastAsia="Times New Roman" w:hAnsi="Times New Roman" w:cs="Times New Roman"/>
          <w:color w:val="000000"/>
          <w:sz w:val="24"/>
          <w:szCs w:val="24"/>
        </w:rPr>
        <w:t>ku. Retrieved March 10, 2022, from </w:t>
      </w:r>
      <w:hyperlink r:id="rId6" w:history="1">
        <w:r w:rsidRPr="00C0308A">
          <w:rPr>
            <w:rFonts w:ascii="Times New Roman" w:eastAsia="Times New Roman" w:hAnsi="Times New Roman" w:cs="Times New Roman"/>
            <w:color w:val="000000"/>
            <w:sz w:val="24"/>
            <w:szCs w:val="24"/>
          </w:rPr>
          <w:t>https://kotaku.com/the-problem-with-the-casual-cruelty-against-women-in-vi-1626659439</w:t>
        </w:r>
      </w:hyperlink>
    </w:p>
    <w:p w:rsidR="00244E89" w:rsidRPr="000F4194" w:rsidRDefault="00244E89" w:rsidP="00A74D57">
      <w:pPr>
        <w:shd w:val="clear" w:color="auto" w:fill="FFFFFF"/>
        <w:spacing w:after="0" w:line="550" w:lineRule="atLeast"/>
        <w:ind w:left="720" w:right="75" w:hanging="720"/>
        <w:rPr>
          <w:rFonts w:ascii="Times New Roman" w:eastAsia="Times New Roman" w:hAnsi="Times New Roman" w:cs="Times New Roman"/>
          <w:color w:val="000000"/>
          <w:sz w:val="24"/>
          <w:szCs w:val="24"/>
        </w:rPr>
      </w:pPr>
      <w:r w:rsidRPr="000F4194">
        <w:rPr>
          <w:rFonts w:ascii="Times New Roman" w:eastAsia="Times New Roman" w:hAnsi="Times New Roman" w:cs="Times New Roman"/>
          <w:color w:val="000000"/>
          <w:sz w:val="24"/>
          <w:szCs w:val="24"/>
        </w:rPr>
        <w:t>Griffiths, M. (2015, February 20). </w:t>
      </w:r>
      <w:r w:rsidRPr="00C0308A">
        <w:rPr>
          <w:rFonts w:ascii="Times New Roman" w:eastAsia="Times New Roman" w:hAnsi="Times New Roman" w:cs="Times New Roman"/>
          <w:i/>
          <w:iCs/>
          <w:color w:val="000000"/>
          <w:sz w:val="24"/>
          <w:szCs w:val="24"/>
        </w:rPr>
        <w:t>Is there a link between games like GTA and real-life violence?</w:t>
      </w:r>
      <w:r w:rsidRPr="000F4194">
        <w:rPr>
          <w:rFonts w:ascii="Times New Roman" w:eastAsia="Times New Roman" w:hAnsi="Times New Roman" w:cs="Times New Roman"/>
          <w:color w:val="000000"/>
          <w:sz w:val="24"/>
          <w:szCs w:val="24"/>
        </w:rPr>
        <w:t> The Independent. Retrieved March 10, 2022, from </w:t>
      </w:r>
      <w:hyperlink r:id="rId7" w:history="1">
        <w:r w:rsidRPr="00C0308A">
          <w:rPr>
            <w:rFonts w:ascii="Times New Roman" w:eastAsia="Times New Roman" w:hAnsi="Times New Roman" w:cs="Times New Roman"/>
            <w:color w:val="000000"/>
            <w:sz w:val="24"/>
            <w:szCs w:val="24"/>
          </w:rPr>
          <w:t>https://www.independent.co.uk/life-style/gadgets-and-tech/gaming/video-game-bans-the-debate-about-guns-gta-and-reallife-violence-10057296.html</w:t>
        </w:r>
      </w:hyperlink>
    </w:p>
    <w:p w:rsidR="0037508E" w:rsidRDefault="0037508E">
      <w:pPr>
        <w:spacing w:line="259" w:lineRule="auto"/>
        <w:rPr>
          <w:rFonts w:ascii="Calibri" w:eastAsia="Calibri" w:hAnsi="Calibri" w:cs="Calibri"/>
          <w:color w:val="0070C0"/>
        </w:rPr>
      </w:pPr>
    </w:p>
    <w:p w:rsidR="0037508E" w:rsidRDefault="0037508E"/>
    <w:sectPr w:rsidR="0037508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altName w:val="苹方-简"/>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6B455E"/>
    <w:multiLevelType w:val="hybridMultilevel"/>
    <w:tmpl w:val="C240B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08E"/>
    <w:rsid w:val="F763D491"/>
    <w:rsid w:val="00244E89"/>
    <w:rsid w:val="0037508E"/>
    <w:rsid w:val="00A74D57"/>
    <w:rsid w:val="00FE0F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05362"/>
  <w15:docId w15:val="{DC82220A-096D-4E7E-B36B-2DA2DCEE5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lang w:val="en-US" w:eastAsia="en-US" w:bidi="ar-SA"/>
      </w:rPr>
    </w:rPrDefault>
    <w:pPrDefault>
      <w:pPr>
        <w:spacing w:after="160" w:line="259" w:lineRule="auto"/>
      </w:pPr>
    </w:pPrDefault>
  </w:docDefaults>
  <w:latentStyles w:defLockedState="0" w:defUIPriority="0" w:defSemiHidden="0" w:defUnhideWhenUsed="0" w:defQFormat="0" w:count="371">
    <w:lsdException w:name="heading 1"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line="276" w:lineRule="auto"/>
    </w:pPr>
    <w:rPr>
      <w:rFonts w:eastAsia="Arial"/>
      <w:sz w:val="22"/>
      <w:szCs w:val="22"/>
      <w:lang w:val="zh-CN"/>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qFormat/>
    <w:pPr>
      <w:keepNext/>
      <w:keepLines/>
      <w:spacing w:after="320"/>
    </w:pPr>
    <w:rPr>
      <w:color w:val="666666"/>
      <w:sz w:val="30"/>
      <w:szCs w:val="30"/>
    </w:rPr>
  </w:style>
  <w:style w:type="paragraph" w:styleId="Title">
    <w:name w:val="Title"/>
    <w:basedOn w:val="Normal"/>
    <w:next w:val="Normal"/>
    <w:qFormat/>
    <w:pPr>
      <w:keepNext/>
      <w:keepLines/>
      <w:spacing w:after="60"/>
    </w:pPr>
    <w:rPr>
      <w:sz w:val="52"/>
      <w:szCs w:val="52"/>
    </w:rPr>
  </w:style>
  <w:style w:type="table" w:customStyle="1" w:styleId="TableNormal1">
    <w:name w:val="Table Normal1"/>
    <w:qFormat/>
    <w:tblPr>
      <w:tblCellMar>
        <w:top w:w="0" w:type="dxa"/>
        <w:left w:w="0" w:type="dxa"/>
        <w:bottom w:w="0" w:type="dxa"/>
        <w:right w:w="0" w:type="dxa"/>
      </w:tblCellMar>
    </w:tblPr>
  </w:style>
  <w:style w:type="table" w:customStyle="1" w:styleId="Style10">
    <w:name w:val="_Style 10"/>
    <w:basedOn w:val="TableNormal1"/>
    <w:qFormat/>
    <w:pPr>
      <w:spacing w:after="0" w:line="240" w:lineRule="auto"/>
    </w:pPr>
    <w:tblPr>
      <w:tblCellMar>
        <w:top w:w="0" w:type="dxa"/>
        <w:left w:w="108" w:type="dxa"/>
        <w:bottom w:w="0" w:type="dxa"/>
        <w:right w:w="108" w:type="dxa"/>
      </w:tblCellMar>
    </w:tblPr>
  </w:style>
  <w:style w:type="table" w:customStyle="1" w:styleId="Style11">
    <w:name w:val="_Style 11"/>
    <w:basedOn w:val="TableNormal1"/>
    <w:qFormat/>
    <w:pPr>
      <w:spacing w:after="0" w:line="240" w:lineRule="auto"/>
    </w:pPr>
    <w:tblPr>
      <w:tblCellMar>
        <w:top w:w="0" w:type="dxa"/>
        <w:left w:w="108" w:type="dxa"/>
        <w:bottom w:w="0" w:type="dxa"/>
        <w:right w:w="108" w:type="dxa"/>
      </w:tblCellMar>
    </w:tblPr>
  </w:style>
  <w:style w:type="paragraph" w:styleId="ListParagraph">
    <w:name w:val="List Paragraph"/>
    <w:basedOn w:val="Normal"/>
    <w:uiPriority w:val="34"/>
    <w:qFormat/>
    <w:rsid w:val="00A74D57"/>
    <w:pPr>
      <w:spacing w:line="259" w:lineRule="auto"/>
      <w:ind w:left="720"/>
      <w:contextualSpacing/>
    </w:pPr>
    <w:rPr>
      <w:rFonts w:asciiTheme="minorHAnsi" w:eastAsiaTheme="minorHAnsi"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independent.co.uk/life-style/gadgets-and-tech/gaming/video-game-bans-the-debate-about-guns-gta-and-reallife-violence-10057296.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kotaku.com/the-problem-with-the-casual-cruelty-against-women-in-vi-1626659439"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439</Words>
  <Characters>2503</Characters>
  <Application>Microsoft Office Word</Application>
  <DocSecurity>0</DocSecurity>
  <Lines>20</Lines>
  <Paragraphs>5</Paragraphs>
  <ScaleCrop>false</ScaleCrop>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dc:creator>
  <cp:lastModifiedBy>Aldrie</cp:lastModifiedBy>
  <cp:revision>4</cp:revision>
  <dcterms:created xsi:type="dcterms:W3CDTF">2022-03-09T10:50:00Z</dcterms:created>
  <dcterms:modified xsi:type="dcterms:W3CDTF">2022-03-11T10:20:00Z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2052-3.4.2.5348</vt:lpwstr>
  </property>
</Properties>
</file>