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CF89" w14:textId="77777777" w:rsidR="0032067F" w:rsidRDefault="00000000">
      <w:pPr>
        <w:spacing w:before="1200" w:after="200"/>
        <w:jc w:val="center"/>
      </w:pPr>
      <w:r>
        <w:rPr>
          <w:b/>
          <w:bCs/>
          <w:sz w:val="40"/>
          <w:szCs w:val="40"/>
        </w:rPr>
        <w:t>INTRODUCTION TO THEOLOGY</w:t>
      </w:r>
    </w:p>
    <w:p w14:paraId="7CC79B20" w14:textId="77777777" w:rsidR="0032067F" w:rsidRDefault="00000000">
      <w:pPr>
        <w:spacing w:after="120"/>
        <w:jc w:val="center"/>
      </w:pPr>
      <w:r>
        <w:rPr>
          <w:b/>
          <w:bCs/>
          <w:sz w:val="32"/>
          <w:szCs w:val="32"/>
        </w:rPr>
        <w:t>Part Two: The Sources and Resources of Theology</w:t>
      </w:r>
    </w:p>
    <w:p w14:paraId="10970B18" w14:textId="77777777" w:rsidR="0032067F" w:rsidRDefault="00000000">
      <w:pPr>
        <w:spacing w:after="120"/>
        <w:jc w:val="center"/>
      </w:pPr>
      <w:r>
        <w:rPr>
          <w:i/>
          <w:iCs/>
          <w:sz w:val="26"/>
          <w:szCs w:val="26"/>
        </w:rPr>
        <w:t>Tell the Elders: How the Fire of Horeb Is Handed On</w:t>
      </w:r>
    </w:p>
    <w:p w14:paraId="0D9163ED" w14:textId="77777777" w:rsidR="0032067F" w:rsidRDefault="00000000">
      <w:pPr>
        <w:spacing w:after="600"/>
        <w:jc w:val="center"/>
      </w:pPr>
      <w:r>
        <w:t xml:space="preserve">Morning Star Regional Seminary, Barrackpore | </w:t>
      </w:r>
      <w:proofErr w:type="spellStart"/>
      <w:r>
        <w:t>BTh</w:t>
      </w:r>
      <w:proofErr w:type="spellEnd"/>
      <w:r>
        <w:t xml:space="preserve"> First Year | Student Edition</w:t>
      </w:r>
    </w:p>
    <w:p w14:paraId="1DB32429" w14:textId="77777777" w:rsidR="0032067F" w:rsidRDefault="00000000">
      <w:pPr>
        <w:pStyle w:val="Heading1"/>
        <w:spacing w:before="280" w:after="160"/>
      </w:pPr>
      <w:r>
        <w:t>A Word Before We Continue</w:t>
      </w:r>
    </w:p>
    <w:p w14:paraId="7C7F010C" w14:textId="77777777" w:rsidR="0032067F" w:rsidRDefault="00000000">
      <w:pPr>
        <w:spacing w:after="120"/>
      </w:pPr>
      <w:r>
        <w:t xml:space="preserve">Part One ended on the mountain, with the voice and the yes. Part Two begins with the strangest instruction in the whole of Exodus 3. The God who has just given the unspeakable name immediately says: Go and gather the elders of Israel together, and say to them, The LORD, the God of your fathers, has appeared to me (Ex 3:16). The private encounter </w:t>
      </w:r>
      <w:proofErr w:type="gramStart"/>
      <w:r>
        <w:t>is ordered,</w:t>
      </w:r>
      <w:proofErr w:type="gramEnd"/>
      <w:r>
        <w:t xml:space="preserve"> at once, toward public transmission. Moses may not keep the fire; he must carry it, tell it, hand it on. The theological word for that handing on is tradition, and the question of Part Two is the question of transmission: through what channels does the fire of Horeb reach a seminarian in Barrackpore three and a half thousand years later, without going out and without burning down the house?</w:t>
      </w:r>
    </w:p>
    <w:p w14:paraId="2F58267E" w14:textId="77777777" w:rsidR="0032067F" w:rsidRDefault="00000000">
      <w:pPr>
        <w:spacing w:after="120"/>
      </w:pPr>
      <w:r>
        <w:t>The answer of the Catholic tradition names three sources so intertwined that none stands without the others: Sacred Scripture, Sacred Tradition, and the living teaching office of the Church (DV 10). Around these three flow the wider resources: the experience of peoples, the socio-cultural heritage, the religious traditions of humanity, the movements of the poor, and the human sciences. The architecture of Part Two follows that map: the story written (Unit 5), the story handed on (Unit 6), the story guarded and discerned (Unit 7), and the wells beyond the camp from which theology also draws (Unit 8).</w:t>
      </w:r>
    </w:p>
    <w:p w14:paraId="63C9706F" w14:textId="77777777" w:rsidR="0032067F" w:rsidRDefault="00000000">
      <w:pPr>
        <w:pStyle w:val="Heading1"/>
        <w:spacing w:before="280" w:after="160"/>
      </w:pPr>
      <w:r>
        <w:t>Unit 5. The Story Written: Sacred Scripture</w:t>
      </w:r>
    </w:p>
    <w:p w14:paraId="41EB4929" w14:textId="77777777" w:rsidR="0032067F" w:rsidRDefault="00000000">
      <w:pPr>
        <w:pStyle w:val="Heading2"/>
        <w:spacing w:before="220" w:after="120"/>
      </w:pPr>
      <w:r>
        <w:t>5.1 The Burning Question</w:t>
      </w:r>
    </w:p>
    <w:p w14:paraId="7A6286E1" w14:textId="77777777" w:rsidR="0032067F" w:rsidRDefault="00000000">
      <w:pPr>
        <w:spacing w:after="120"/>
      </w:pPr>
      <w:r>
        <w:t>When Moses stood before the elders, he had only his voice and his staff. Israel later did something remarkable: she wrote the encounter down, and kept writing, for over a thousand years, until a library existed, law and story, oracle and song, letter and apocalypse. The burning question of this unit: what kind of book is this library, that the Church should call it the Word of God while every page of it is unmistakably the work of human beings?</w:t>
      </w:r>
    </w:p>
    <w:p w14:paraId="30DD4F8A" w14:textId="77777777" w:rsidR="0032067F" w:rsidRDefault="00000000">
      <w:pPr>
        <w:pStyle w:val="Heading2"/>
        <w:spacing w:before="220" w:after="120"/>
      </w:pPr>
      <w:r>
        <w:t>5.2 One Book, Two Authors</w:t>
      </w:r>
    </w:p>
    <w:p w14:paraId="354126E4" w14:textId="77777777" w:rsidR="0032067F" w:rsidRDefault="00000000">
      <w:pPr>
        <w:spacing w:after="120"/>
      </w:pPr>
      <w:r>
        <w:t xml:space="preserve">The Bible of the Catholic Church holds seventy-three books, forty-six of the Old Testament and twenty-seven of the New, received by the apostolic community as reflecting, directly or indirectly, its experience of the divine revelation given in the person of Jesus Christ. The decisive doctrine is twofold authorship. </w:t>
      </w:r>
      <w:r w:rsidRPr="00BC43E2">
        <w:rPr>
          <w:highlight w:val="yellow"/>
        </w:rPr>
        <w:t xml:space="preserve">Dei Verbum states it with balance: God chose human authors, who made full use of their own faculties and powers, so that, with God acting in them and through them, it was as true authors that they consigned to writing everything and </w:t>
      </w:r>
      <w:r w:rsidRPr="00BC43E2">
        <w:rPr>
          <w:highlight w:val="yellow"/>
        </w:rPr>
        <w:lastRenderedPageBreak/>
        <w:t>only those things which God wanted written (DV 11).</w:t>
      </w:r>
      <w:r w:rsidRPr="00BC43E2">
        <w:rPr>
          <w:rStyle w:val="FootnoteReference"/>
          <w:highlight w:val="yellow"/>
        </w:rPr>
        <w:footnoteReference w:id="1"/>
      </w:r>
      <w:r>
        <w:t xml:space="preserve"> God did not dictate; God inspired. The human author remains a genuine author, with a style, a vocabulary, a historical horizon, and limits; and precisely through that humanity the divine intention is given.</w:t>
      </w:r>
    </w:p>
    <w:p w14:paraId="1F7DD6CA" w14:textId="77777777" w:rsidR="0032067F" w:rsidRDefault="00000000">
      <w:pPr>
        <w:pBdr>
          <w:left w:val="single" w:sz="24" w:space="0" w:color="1565C0"/>
        </w:pBdr>
        <w:shd w:val="clear" w:color="auto" w:fill="E3F2FD"/>
        <w:spacing w:before="160" w:after="160"/>
        <w:ind w:left="240"/>
      </w:pPr>
      <w:r>
        <w:rPr>
          <w:b/>
          <w:bCs/>
          <w:color w:val="1565C0"/>
        </w:rPr>
        <w:t xml:space="preserve">EXAMPLE: </w:t>
      </w:r>
      <w:r>
        <w:t>Think of the difference between a telegram and a love letter. A telegram transmits information and the messenger adds nothing. A love letter carries the beloved in every turn of phrase; the handwriting, the hesitations, the chosen images all belong to the message. The older dictation theories imagined Scripture as a telegram from heaven. Dei Verbum teaches that it is a love letter written through fully human hands, which is why the exegesis courses ahead of you will study Hebrew idiom, Greek rhetoric, and the history of Israel, not as obstacles between you and the Word but as the very ink in which the Word chose to be written.</w:t>
      </w:r>
    </w:p>
    <w:p w14:paraId="39A5D4AE" w14:textId="77777777" w:rsidR="0032067F" w:rsidRDefault="00000000">
      <w:pPr>
        <w:spacing w:after="120"/>
      </w:pPr>
      <w:r>
        <w:t xml:space="preserve">From twofold authorship follows the rule of reading given by the tradition and renewed by the Council. The Old Testament is read in the light of Christ crucified and risen; the New Testament is read in the light of the Old, for, in the formula of Augustine, the </w:t>
      </w:r>
      <w:proofErr w:type="gramStart"/>
      <w:r>
        <w:t>New</w:t>
      </w:r>
      <w:proofErr w:type="gramEnd"/>
      <w:r>
        <w:t xml:space="preserve"> lies hidden in the Old and the Old is unveiled in the New. Among all the books the four Gospels hold the central place, because Christ Jesus is their centre. And the whole is summed up in two lapidary phrases: Scripture is the </w:t>
      </w:r>
      <w:proofErr w:type="spellStart"/>
      <w:r>
        <w:t>unnormed</w:t>
      </w:r>
      <w:proofErr w:type="spellEnd"/>
      <w:r>
        <w:t xml:space="preserve"> norm of faith, the norm that measures all other norms and is measured by none; and the study of the sacred page is, as it were, the soul of sacred theology (DV 24).</w:t>
      </w:r>
    </w:p>
    <w:p w14:paraId="29DCF420" w14:textId="77777777" w:rsidR="0032067F" w:rsidRDefault="00000000">
      <w:pPr>
        <w:pBdr>
          <w:left w:val="single" w:sz="24" w:space="0" w:color="2E7D32"/>
        </w:pBdr>
        <w:shd w:val="clear" w:color="auto" w:fill="E8F5E9"/>
        <w:spacing w:before="160" w:after="160"/>
        <w:ind w:left="240"/>
      </w:pPr>
      <w:r>
        <w:rPr>
          <w:b/>
          <w:bCs/>
          <w:color w:val="2E7D32"/>
        </w:rPr>
        <w:t xml:space="preserve">INDIAN CONTEXT: </w:t>
      </w:r>
      <w:r>
        <w:t xml:space="preserve">India receives the written Word into a civilisation with its own deep theology of sacred text, from the eternal Veda of the Mimamsa school to the sung scriptures of the bhakti saints. The convergences illumine and the differences instruct: the Christian claim is not that a text descended, but that a person came, and that the text is the inspired witness to the person. Soares-Prabhu drew the pastoral consequence for India: </w:t>
      </w:r>
      <w:proofErr w:type="gramStart"/>
      <w:r>
        <w:t>the</w:t>
      </w:r>
      <w:proofErr w:type="gramEnd"/>
      <w:r>
        <w:t xml:space="preserve"> Bible must be read here not as a colonial artefact nor as a purely academic object, but with Indian eyes, from within the struggles of the poor, so that the text releases what he called its liberative thrust.</w:t>
      </w:r>
      <w:r>
        <w:rPr>
          <w:rStyle w:val="FootnoteReference"/>
        </w:rPr>
        <w:footnoteReference w:id="2"/>
      </w:r>
    </w:p>
    <w:p w14:paraId="1C8E2C18" w14:textId="77777777" w:rsidR="0032067F" w:rsidRDefault="00000000">
      <w:pPr>
        <w:pStyle w:val="Heading2"/>
        <w:spacing w:before="220" w:after="120"/>
      </w:pPr>
      <w:r>
        <w:t>5.3 Review Questions for Unit 5</w:t>
      </w:r>
    </w:p>
    <w:p w14:paraId="153E5E9A" w14:textId="77777777" w:rsidR="0032067F" w:rsidRDefault="00000000">
      <w:pPr>
        <w:pStyle w:val="ListParagraph"/>
        <w:numPr>
          <w:ilvl w:val="0"/>
          <w:numId w:val="1"/>
        </w:numPr>
        <w:spacing w:after="80"/>
      </w:pPr>
      <w:r>
        <w:t>Explain twofold authorship from DV 11 and show why the dictation model fails to honour either author.</w:t>
      </w:r>
    </w:p>
    <w:p w14:paraId="14BFF12C" w14:textId="77777777" w:rsidR="0032067F" w:rsidRDefault="00000000">
      <w:pPr>
        <w:pStyle w:val="ListParagraph"/>
        <w:numPr>
          <w:ilvl w:val="0"/>
          <w:numId w:val="1"/>
        </w:numPr>
        <w:spacing w:after="80"/>
      </w:pPr>
      <w:r>
        <w:t xml:space="preserve">What does it mean to call Scripture the </w:t>
      </w:r>
      <w:proofErr w:type="spellStart"/>
      <w:r>
        <w:t>unnormed</w:t>
      </w:r>
      <w:proofErr w:type="spellEnd"/>
      <w:r>
        <w:t xml:space="preserve"> norm, and how does that phrase order the relation between Scripture, Tradition, and Magisterium in advance?</w:t>
      </w:r>
    </w:p>
    <w:p w14:paraId="2293D371" w14:textId="77777777" w:rsidR="0032067F" w:rsidRDefault="00000000">
      <w:pPr>
        <w:pStyle w:val="ListParagraph"/>
        <w:numPr>
          <w:ilvl w:val="0"/>
          <w:numId w:val="1"/>
        </w:numPr>
        <w:spacing w:after="80"/>
      </w:pPr>
      <w:r>
        <w:t>Why do the Gospels hold the central place among the seventy-three books?</w:t>
      </w:r>
    </w:p>
    <w:p w14:paraId="1C236135" w14:textId="77777777" w:rsidR="0032067F" w:rsidRDefault="00000000">
      <w:pPr>
        <w:pStyle w:val="Heading1"/>
        <w:spacing w:before="280" w:after="160"/>
      </w:pPr>
      <w:r>
        <w:t>Unit 6. The Story Handed On: Sacred Tradition and Her Monuments</w:t>
      </w:r>
    </w:p>
    <w:p w14:paraId="1454E8DA" w14:textId="77777777" w:rsidR="0032067F" w:rsidRDefault="00000000">
      <w:pPr>
        <w:pStyle w:val="Heading2"/>
        <w:spacing w:before="220" w:after="120"/>
      </w:pPr>
      <w:r>
        <w:t>6.1 The Burning Question</w:t>
      </w:r>
    </w:p>
    <w:p w14:paraId="1875A852" w14:textId="77777777" w:rsidR="0032067F" w:rsidRDefault="00000000">
      <w:pPr>
        <w:spacing w:after="120"/>
      </w:pPr>
      <w:r>
        <w:t xml:space="preserve">Israel did not first write the exodus; she ate it. Every Passover, before a line of the Pentateuch existed in its final form, families kept the night of liberation with lamb and unleavened bread, and the youngest child asked why this night differs from all other nights (Ex 12:26). Paul </w:t>
      </w:r>
      <w:r>
        <w:lastRenderedPageBreak/>
        <w:t>stands in the same current when he tells Corinth: for I received from the Lord what I also handed on to you (1 Cor 11:23). The burning question of this unit: what exactly is being handed on when the Church hands on her faith, and how do we tell the living Tradition from the accumulated luggage of the centuries?</w:t>
      </w:r>
    </w:p>
    <w:p w14:paraId="74C7234F" w14:textId="77777777" w:rsidR="0032067F" w:rsidRDefault="00000000">
      <w:pPr>
        <w:pStyle w:val="Heading2"/>
        <w:spacing w:before="220" w:after="120"/>
      </w:pPr>
      <w:r>
        <w:t xml:space="preserve">6.2 </w:t>
      </w:r>
      <w:proofErr w:type="spellStart"/>
      <w:r>
        <w:t>Trado</w:t>
      </w:r>
      <w:proofErr w:type="spellEnd"/>
      <w:r>
        <w:t xml:space="preserve">, </w:t>
      </w:r>
      <w:proofErr w:type="spellStart"/>
      <w:r>
        <w:t>Tradere</w:t>
      </w:r>
      <w:proofErr w:type="spellEnd"/>
      <w:r>
        <w:t>: The Act of Handing Over</w:t>
      </w:r>
    </w:p>
    <w:p w14:paraId="16A27F85" w14:textId="77777777" w:rsidR="0032067F" w:rsidRDefault="00000000">
      <w:pPr>
        <w:spacing w:after="120"/>
      </w:pPr>
      <w:r>
        <w:t xml:space="preserve">Tradition comes from the Latin </w:t>
      </w:r>
      <w:proofErr w:type="spellStart"/>
      <w:r>
        <w:t>trado</w:t>
      </w:r>
      <w:proofErr w:type="spellEnd"/>
      <w:r>
        <w:t xml:space="preserve">, </w:t>
      </w:r>
      <w:proofErr w:type="spellStart"/>
      <w:r>
        <w:t>tradere</w:t>
      </w:r>
      <w:proofErr w:type="spellEnd"/>
      <w:r>
        <w:t>, to hand over, to deliver. The New Testament already speaks its grammar: stand firm and hold fast to the traditions that you were taught by us (2 Thess 2:15); guard what has been entrusted to you (1 Tim 6:20). Dei Verbum gathers the biblical threads: revelation is passed on by the apostles and their successors, who, led by the Spirit of truth, preserve the Word of God, explain it, and cause it to spread (DV 8-9). Tradition is therefore not a warehouse but a handing over, an action before it is a content, and the primary agent of the action is the Holy Spirit working through the community across generations.</w:t>
      </w:r>
      <w:r>
        <w:rPr>
          <w:rStyle w:val="FootnoteReference"/>
        </w:rPr>
        <w:footnoteReference w:id="3"/>
      </w:r>
    </w:p>
    <w:p w14:paraId="7302C17E" w14:textId="77777777" w:rsidR="0032067F" w:rsidRDefault="00000000">
      <w:pPr>
        <w:spacing w:after="120"/>
      </w:pPr>
      <w:r>
        <w:t>Congar supplied the distinction that keeps the doctrine honest: Tradition with a capital T, and traditions with a small t. Tradition is the life of the Church as a whole, rooted in the apostolic preaching and continuing to live and grow today; it includes the sum of the beliefs, the practices, and the worship of the community. The traditions, plural and lower case, are the concrete historical expressions of that life, in worship, structures, customs, and formulations, and these must be continually checked and judged against the authentic Spirit of the one Tradition.</w:t>
      </w:r>
      <w:r>
        <w:rPr>
          <w:rStyle w:val="FootnoteReference"/>
        </w:rPr>
        <w:footnoteReference w:id="4"/>
      </w:r>
      <w:r>
        <w:t xml:space="preserve"> The One is found only in and through the many, and the ongoing self-communication of God by Tradition through the traditions is fundamentally the work of the Holy Spirit.</w:t>
      </w:r>
    </w:p>
    <w:p w14:paraId="4BC5F71C" w14:textId="77777777" w:rsidR="0032067F" w:rsidRDefault="00000000">
      <w:pPr>
        <w:pBdr>
          <w:left w:val="single" w:sz="24" w:space="0" w:color="1565C0"/>
        </w:pBdr>
        <w:shd w:val="clear" w:color="auto" w:fill="E3F2FD"/>
        <w:spacing w:before="160" w:after="160"/>
        <w:ind w:left="240"/>
      </w:pPr>
      <w:r>
        <w:rPr>
          <w:b/>
          <w:bCs/>
          <w:color w:val="1565C0"/>
        </w:rPr>
        <w:t xml:space="preserve">EXAMPLE: </w:t>
      </w:r>
      <w:r>
        <w:t>A Bengali family recipe teaches the distinction. What grandmother hands to mother and mother to daughter is not finally the exact gram-weight of mustard seed; it is the dish itself, the taste, the festival it belongs to, the love it carries. The measurements shift with the market and the stove; the dish endures. Woe to the family that canonises the measurements and loses the taste, and woe equally to the family that, in the name of freedom, forgets the dish. Tradition is the dish; traditions are the measurements. The Church needs both, in that order.</w:t>
      </w:r>
    </w:p>
    <w:p w14:paraId="04A5BC3A" w14:textId="77777777" w:rsidR="0032067F" w:rsidRDefault="00000000">
      <w:pPr>
        <w:spacing w:after="120"/>
      </w:pPr>
      <w:r>
        <w:t xml:space="preserve">The distinction bears fruit at once in ecclesiology. </w:t>
      </w:r>
      <w:proofErr w:type="spellStart"/>
      <w:r>
        <w:t>Unitatis</w:t>
      </w:r>
      <w:proofErr w:type="spellEnd"/>
      <w:r>
        <w:t xml:space="preserve"> </w:t>
      </w:r>
      <w:proofErr w:type="spellStart"/>
      <w:r>
        <w:t>Redintegratio</w:t>
      </w:r>
      <w:proofErr w:type="spellEnd"/>
      <w:r>
        <w:t xml:space="preserve"> teaches the equal dignity of the Eastern and Western Churches (UR 14-18): the Catholic Church is a communion of twenty-four Churches, the Latin Church and twenty-three Oriental Churches, following six liturgical families, Roman, Alexandrian, Antiochian, Armenian, Chaldean, and Byzantine. Two of the Oriental Churches are daughters of Indian soil, the </w:t>
      </w:r>
      <w:proofErr w:type="spellStart"/>
      <w:r>
        <w:t>Syro</w:t>
      </w:r>
      <w:proofErr w:type="spellEnd"/>
      <w:r>
        <w:t xml:space="preserve">-Malabar and the </w:t>
      </w:r>
      <w:proofErr w:type="spellStart"/>
      <w:r>
        <w:t>Syro</w:t>
      </w:r>
      <w:proofErr w:type="spellEnd"/>
      <w:r>
        <w:t>-Malankara.</w:t>
      </w:r>
      <w:r>
        <w:rPr>
          <w:rStyle w:val="FootnoteReference"/>
        </w:rPr>
        <w:footnoteReference w:id="5"/>
      </w:r>
    </w:p>
    <w:p w14:paraId="6532A262" w14:textId="77777777" w:rsidR="0032067F" w:rsidRDefault="00000000">
      <w:pPr>
        <w:pStyle w:val="Heading2"/>
        <w:spacing w:before="220" w:after="120"/>
      </w:pPr>
      <w:r>
        <w:t>6.3 The Monuments of Tradition</w:t>
      </w:r>
    </w:p>
    <w:p w14:paraId="628C74F9" w14:textId="77777777" w:rsidR="0032067F" w:rsidRDefault="00000000">
      <w:pPr>
        <w:spacing w:after="120"/>
      </w:pPr>
      <w:r>
        <w:t>Tradition, being life, leaves footprints, and theology reads them. The classical list of the monuments of Tradition runs as follows.</w:t>
      </w:r>
    </w:p>
    <w:p w14:paraId="41705976" w14:textId="77777777" w:rsidR="0032067F" w:rsidRDefault="00000000">
      <w:pPr>
        <w:pStyle w:val="ListParagraph"/>
        <w:numPr>
          <w:ilvl w:val="0"/>
          <w:numId w:val="1"/>
        </w:numPr>
        <w:spacing w:after="80"/>
      </w:pPr>
      <w:r>
        <w:lastRenderedPageBreak/>
        <w:t>Liturgy, sacraments, and prayers. Liturgy is the participation of the people in the work of God, the saving work of Jesus Christ, in which Christ is present and continues the work of redemption. A sacrament is the visible sign of invisible grace, a prophetic symbolic action united with the acts and words of Jesus and now repeated in the power of the Spirit by the Church. Prayers, from the Divine Office to popular devotions, are the elementary forms of faith-experience. The old rule holds: the law of prayer grounds the law of belief; the Church believed in the divinity of Christ in her doxologies before she defined it at Nicaea.</w:t>
      </w:r>
    </w:p>
    <w:p w14:paraId="0E24D804" w14:textId="77777777" w:rsidR="0032067F" w:rsidRDefault="00000000">
      <w:pPr>
        <w:pStyle w:val="ListParagraph"/>
        <w:numPr>
          <w:ilvl w:val="0"/>
          <w:numId w:val="1"/>
        </w:numPr>
        <w:spacing w:after="80"/>
      </w:pPr>
      <w:r>
        <w:t>Creeds. From the Latin credo, I believe. The earliest creeds are single cries: Jesus is Lord; Jesus is the Christ; Jesus is the Son of God. From these grew the baptismal creeds, the Apostles Creed with its twelve articles, and the Nicene-Constantinopolitan Creed sung at Sunday Eucharist. A creed is compressed doxology: the community placing its whole weight, amen, upon the triune God.</w:t>
      </w:r>
    </w:p>
    <w:p w14:paraId="367FC441" w14:textId="77777777" w:rsidR="0032067F" w:rsidRDefault="00000000">
      <w:pPr>
        <w:pStyle w:val="ListParagraph"/>
        <w:numPr>
          <w:ilvl w:val="0"/>
          <w:numId w:val="1"/>
        </w:numPr>
        <w:spacing w:after="80"/>
      </w:pPr>
      <w:r>
        <w:t>Doctrines and dogmas. The Fathers of the Church, the ancient writers marked by soundness of doctrine, holiness of life, ecclesial endorsement, and antiquity, articulated the faith against distortion. A dogma is an article of faith revealed by God and defined by the Church with her full authority. The standard collection for the student is the Neuner-Dupuis volume, cited throughout your courses as ND.</w:t>
      </w:r>
      <w:r>
        <w:rPr>
          <w:rStyle w:val="FootnoteReference"/>
        </w:rPr>
        <w:footnoteReference w:id="6"/>
      </w:r>
    </w:p>
    <w:p w14:paraId="5E98D14C" w14:textId="77777777" w:rsidR="0032067F" w:rsidRDefault="00000000">
      <w:pPr>
        <w:pStyle w:val="ListParagraph"/>
        <w:numPr>
          <w:ilvl w:val="0"/>
          <w:numId w:val="1"/>
        </w:numPr>
        <w:spacing w:after="80"/>
      </w:pPr>
      <w:r>
        <w:t>Customs, disciplines, and codes. Because the Church is a human community as well as a spiritual one, she requires law. Christian law has its taproot in Scripture, the Decalogue (Ex 20:1-17; Dt 5:1-22) and the law of love (Jn 15; Mt 22:34-40). The medieval decretals grew into the standard canonical collections, reformed in the Code of 1917, and replaced by the present Code of Canon Law for the Latin Church in 1983 and the Code of Canons of the Eastern Churches in 1990. In India both codes are living law, since Latin and Oriental faithful share the same towns and often the same families.</w:t>
      </w:r>
    </w:p>
    <w:p w14:paraId="27A228BA" w14:textId="77777777" w:rsidR="0032067F" w:rsidRDefault="00000000">
      <w:pPr>
        <w:pStyle w:val="ListParagraph"/>
        <w:numPr>
          <w:ilvl w:val="0"/>
          <w:numId w:val="1"/>
        </w:numPr>
        <w:spacing w:after="80"/>
      </w:pPr>
      <w:r>
        <w:t>The Catechism of the Catholic Church, promulgated by John Paul II with the apostolic constitution Fidei Depositum on 11 October 1992, thirty years to the day after the opening of the Council. Its four parts trace a single arc: the faith professed (creed), the faith celebrated (liturgy and sacraments), the faith lived (morality), and the faith prayed (with the Our Father as summit).</w:t>
      </w:r>
      <w:r>
        <w:rPr>
          <w:rStyle w:val="FootnoteReference"/>
        </w:rPr>
        <w:footnoteReference w:id="7"/>
      </w:r>
    </w:p>
    <w:p w14:paraId="1301326D" w14:textId="77777777" w:rsidR="0032067F" w:rsidRDefault="00000000">
      <w:pPr>
        <w:pStyle w:val="ListParagraph"/>
        <w:numPr>
          <w:ilvl w:val="0"/>
          <w:numId w:val="1"/>
        </w:numPr>
        <w:spacing w:after="80"/>
      </w:pPr>
      <w:r>
        <w:t>The sixteen documents of the Second Vatican Council: four constitutions (SC, LG, DV, GS), nine decrees (IM, AG, AA, UR, OE, PC, OT, PO, CD), and three declarations (DH, GE, NA). You will live inside these documents for four years; learn the sigla now as one learns the names of new neighbours.</w:t>
      </w:r>
    </w:p>
    <w:p w14:paraId="2FF844AF" w14:textId="77777777" w:rsidR="0032067F" w:rsidRDefault="00000000">
      <w:pPr>
        <w:pBdr>
          <w:left w:val="single" w:sz="24" w:space="0" w:color="6A1B9A"/>
        </w:pBdr>
        <w:shd w:val="clear" w:color="auto" w:fill="F3E5F5"/>
        <w:spacing w:before="160" w:after="160"/>
        <w:ind w:left="240"/>
      </w:pPr>
      <w:r>
        <w:rPr>
          <w:b/>
          <w:bCs/>
          <w:color w:val="6A1B9A"/>
        </w:rPr>
        <w:t xml:space="preserve">A NOTE FOR THE CLASSROOM: </w:t>
      </w:r>
      <w:r>
        <w:t>Manual theology once spoke of Scripture and Tradition as two sources of revelation, as though each carried a separate parcel of truths. Dei Verbum deliberately retired that language: there is one wellspring, the self-revelation of God in Christ, flowing in two connected streams. Scripture and Tradition form one sacred deposit of the Word of God (DV 10), and the Council refused to quantify how much comes through which stream. Examiners notice the difference between the two-source language of the older manuals and the one-wellspring language of the Council.</w:t>
      </w:r>
    </w:p>
    <w:p w14:paraId="626FB32E" w14:textId="77777777" w:rsidR="0032067F" w:rsidRDefault="00000000">
      <w:pPr>
        <w:pBdr>
          <w:left w:val="single" w:sz="24" w:space="0" w:color="2E7D32"/>
        </w:pBdr>
        <w:shd w:val="clear" w:color="auto" w:fill="E8F5E9"/>
        <w:spacing w:before="160" w:after="160"/>
        <w:ind w:left="240"/>
      </w:pPr>
      <w:r>
        <w:rPr>
          <w:b/>
          <w:bCs/>
          <w:color w:val="2E7D32"/>
        </w:rPr>
        <w:lastRenderedPageBreak/>
        <w:t xml:space="preserve">INDIAN CONTEXT: </w:t>
      </w:r>
      <w:r>
        <w:t xml:space="preserve">The monuments of Tradition are not only Roman and Greek. The Thomas Christians of the Malabar coast kept Eucharist, creed, and canonical order in East Syriac idiom for fifteen centuries before European ships arrived, a standing proof within our own country that the one Tradition wears many garments. A seminarian in Bengal, where the Latin rite predominates, should learn to revere the </w:t>
      </w:r>
      <w:proofErr w:type="spellStart"/>
      <w:r>
        <w:t>Syro</w:t>
      </w:r>
      <w:proofErr w:type="spellEnd"/>
      <w:r>
        <w:t>-Malabar Qurbana as an elder sister, not a curiosity: her antiquity in India outstrips that of every European tradition here by a millennium.</w:t>
      </w:r>
    </w:p>
    <w:p w14:paraId="7239E218" w14:textId="77777777" w:rsidR="0032067F" w:rsidRDefault="00000000">
      <w:pPr>
        <w:pStyle w:val="Heading2"/>
        <w:spacing w:before="220" w:after="120"/>
      </w:pPr>
      <w:r>
        <w:t>6.4 Review Questions for Unit 6</w:t>
      </w:r>
    </w:p>
    <w:p w14:paraId="31A3B29F" w14:textId="77777777" w:rsidR="0032067F" w:rsidRDefault="00000000">
      <w:pPr>
        <w:pStyle w:val="ListParagraph"/>
        <w:numPr>
          <w:ilvl w:val="0"/>
          <w:numId w:val="1"/>
        </w:numPr>
        <w:spacing w:after="80"/>
      </w:pPr>
      <w:r>
        <w:t xml:space="preserve">Define Tradition and traditions after </w:t>
      </w:r>
      <w:proofErr w:type="gramStart"/>
      <w:r>
        <w:t>Congar, and</w:t>
      </w:r>
      <w:proofErr w:type="gramEnd"/>
      <w:r>
        <w:t xml:space="preserve"> give one liturgical and one disciplinary example of a tradition that has rightly changed.</w:t>
      </w:r>
    </w:p>
    <w:p w14:paraId="700859FF" w14:textId="77777777" w:rsidR="0032067F" w:rsidRDefault="00000000">
      <w:pPr>
        <w:pStyle w:val="ListParagraph"/>
        <w:numPr>
          <w:ilvl w:val="0"/>
          <w:numId w:val="1"/>
        </w:numPr>
        <w:spacing w:after="80"/>
      </w:pPr>
      <w:r>
        <w:t>Why does the Council prefer one wellspring in two streams to the older two-sources language (DV 9-10)?</w:t>
      </w:r>
    </w:p>
    <w:p w14:paraId="0B717C7B" w14:textId="77777777" w:rsidR="0032067F" w:rsidRDefault="00000000">
      <w:pPr>
        <w:pStyle w:val="ListParagraph"/>
        <w:numPr>
          <w:ilvl w:val="0"/>
          <w:numId w:val="1"/>
        </w:numPr>
        <w:spacing w:after="80"/>
      </w:pPr>
      <w:r>
        <w:t>List the monuments of Tradition and explain, with the Nicaea example, why liturgy stands first among them.</w:t>
      </w:r>
    </w:p>
    <w:p w14:paraId="1BC14371" w14:textId="77777777" w:rsidR="0032067F" w:rsidRDefault="00000000">
      <w:pPr>
        <w:pStyle w:val="Heading1"/>
        <w:spacing w:before="280" w:after="160"/>
      </w:pPr>
      <w:r>
        <w:t>Unit 7. The Story Guarded and Discerned: Church, Magisterium, Synodality, Sensus Fidei</w:t>
      </w:r>
    </w:p>
    <w:p w14:paraId="604507D6" w14:textId="77777777" w:rsidR="0032067F" w:rsidRDefault="00000000">
      <w:pPr>
        <w:pStyle w:val="Heading2"/>
        <w:spacing w:before="220" w:after="120"/>
      </w:pPr>
      <w:r>
        <w:t>7.1 The Burning Question</w:t>
      </w:r>
    </w:p>
    <w:p w14:paraId="534A8903" w14:textId="77777777" w:rsidR="0032067F" w:rsidRDefault="00000000">
      <w:pPr>
        <w:spacing w:after="120"/>
      </w:pPr>
      <w:r>
        <w:t>At the bush God does not send Moses alone in the end; Aaron is given as companion and voice (Ex 4:14-16), the elders are gathered, and a people is formed at Sinai. Revelation creates community, and community requires order. The burning question of this unit: who guards the story, and how does guarding avoid becoming owning? The Catholic answer weaves four strands, Church, Magisterium, synodality, and the sense of the faithful, and the weave matters more than any single strand.</w:t>
      </w:r>
    </w:p>
    <w:p w14:paraId="6D7723FC" w14:textId="77777777" w:rsidR="0032067F" w:rsidRDefault="00000000">
      <w:pPr>
        <w:pStyle w:val="Heading2"/>
        <w:spacing w:before="220" w:after="120"/>
      </w:pPr>
      <w:r>
        <w:t>7.2 The Church: Sacrament of the Encounter</w:t>
      </w:r>
    </w:p>
    <w:p w14:paraId="0EAC69F8" w14:textId="77777777" w:rsidR="0032067F" w:rsidRDefault="00000000">
      <w:pPr>
        <w:spacing w:after="120"/>
      </w:pPr>
      <w:r>
        <w:t>What Jesus accomplished at one moment of history was to be continued through his Church. He called disciples to himself (Mk 3:13-19), taught them (Mt 5-7; Jn 13-16), entrusted them with authority and mission (Mt 28:18-20), promised and sent the Holy Spirit (Jn 16; Jn 20; Acts 2). At Pentecost the Church was made manifest by the outpouring of the Spirit, and Lumen Gentium dares the great phrase: the Church, sent to the nations, is the universal sacrament of salvation (LG 48). She is the sacrament of the Christ-event, the sacrament of the Sacrament: as the humanity of Jesus made God visible, so the community of Jesus prolongs that visibility in time. Her life takes the fourfold public shape learned in Part One, witness, worship, communion, and service, and as People of God (LG 9-17) she is a network of relations among the baptised, the theologians, and the college of bishops, each with a role in proclaiming the saving deeds of God.</w:t>
      </w:r>
    </w:p>
    <w:p w14:paraId="076A0678" w14:textId="77777777" w:rsidR="0032067F" w:rsidRDefault="00000000">
      <w:pPr>
        <w:pStyle w:val="Heading2"/>
        <w:spacing w:before="220" w:after="120"/>
      </w:pPr>
      <w:r>
        <w:t>7.3 The Magisterium: Servant of the Word</w:t>
      </w:r>
    </w:p>
    <w:p w14:paraId="0986E5FD" w14:textId="77777777" w:rsidR="0032067F" w:rsidRDefault="00000000">
      <w:pPr>
        <w:spacing w:after="120"/>
      </w:pPr>
      <w:r>
        <w:t xml:space="preserve">Magisterium, from the Latin magister, names the teaching office of the Church, exercised by the pope and the bishops with pastoral authority derived from Christ. The single most examinable sentence about it comes from Dei Verbum: this Magisterium is not above the Word of God but serves it, teaching only what has been handed on (DV 10). Scripture, Tradition, and Magisterium are so linked that one cannot stand without the others; working </w:t>
      </w:r>
      <w:r>
        <w:lastRenderedPageBreak/>
        <w:t>together, each in its own way under the one Holy Spirit, they contribute to the salvation of souls.</w:t>
      </w:r>
      <w:r>
        <w:rPr>
          <w:rStyle w:val="FootnoteReference"/>
        </w:rPr>
        <w:footnoteReference w:id="8"/>
      </w:r>
    </w:p>
    <w:p w14:paraId="1731DDD3" w14:textId="77777777" w:rsidR="0032067F" w:rsidRDefault="00000000">
      <w:pPr>
        <w:spacing w:after="120"/>
      </w:pPr>
      <w:r>
        <w:t xml:space="preserve">The pope, as successor of Peter (Mt 16:18), is the visible sign of unity and the bond of communion, with juridical and teaching authority over all the Churches, and, under precise conditions defined by the First Vatican Council in Pastor </w:t>
      </w:r>
      <w:proofErr w:type="spellStart"/>
      <w:r>
        <w:t>Aeternus</w:t>
      </w:r>
      <w:proofErr w:type="spellEnd"/>
      <w:r>
        <w:t xml:space="preserve"> (1870), the charism of infallibility when defining ex cathedra a doctrine of faith or morals.</w:t>
      </w:r>
      <w:r>
        <w:rPr>
          <w:rStyle w:val="FootnoteReference"/>
        </w:rPr>
        <w:footnoteReference w:id="9"/>
      </w:r>
      <w:r>
        <w:t xml:space="preserve"> The exercise of that extraordinary charism has been rare: the Immaculate Conception (1854) and the Assumption of Mary (1950) are the two solemn papal definitions. The ordinary papal teaching flows in encyclicals, apostolic letters, and exhortations, pastoral guidance on doctrine, morality, devotion, and discipline. The Second Vatican Council balanced the Petrine accent of 1870 with the doctrine of episcopal collegiality: the bishops, successors of the apostles, together constitute one college in which the supreme teaching authority of the Church is vested (LG 18-23), teaching ordinarily while dispersed through the world and extraordinarily when gathered in ecumenical council or when the pope defines as head of the college (LG 25).</w:t>
      </w:r>
    </w:p>
    <w:p w14:paraId="6F17A2FE" w14:textId="77777777" w:rsidR="0032067F" w:rsidRDefault="00000000">
      <w:pPr>
        <w:pBdr>
          <w:left w:val="single" w:sz="24" w:space="0" w:color="1565C0"/>
        </w:pBdr>
        <w:shd w:val="clear" w:color="auto" w:fill="E3F2FD"/>
        <w:spacing w:before="160" w:after="160"/>
        <w:ind w:left="240"/>
      </w:pPr>
      <w:r>
        <w:rPr>
          <w:b/>
          <w:bCs/>
          <w:color w:val="1565C0"/>
        </w:rPr>
        <w:t xml:space="preserve">EXAMPLE: </w:t>
      </w:r>
      <w:r>
        <w:t>Picture a village well in North 24 Parganas. The water belongs to everyone; the panchayat neither owns the water nor invented it. Yet without someone to keep the well clean, test the water, and prevent its poisoning, the common gift would be lost. The Magisterium is the keeper of the well, not the source of the water. When the keeper begins to speak as though the water were his, the well itself corrects him, for DV 10 stands written above every magisterial act: not above the Word, but its servant.</w:t>
      </w:r>
    </w:p>
    <w:p w14:paraId="78D4E514" w14:textId="77777777" w:rsidR="0032067F" w:rsidRDefault="00000000">
      <w:pPr>
        <w:pStyle w:val="Heading2"/>
        <w:spacing w:before="220" w:after="120"/>
      </w:pPr>
      <w:r>
        <w:t>7.4 Synodality: Walking the Way Together</w:t>
      </w:r>
    </w:p>
    <w:p w14:paraId="1A652562" w14:textId="77777777" w:rsidR="0032067F" w:rsidRDefault="00000000">
      <w:pPr>
        <w:spacing w:after="120"/>
      </w:pPr>
      <w:r>
        <w:t xml:space="preserve">Synodality comes from the Greek </w:t>
      </w:r>
      <w:proofErr w:type="spellStart"/>
      <w:r>
        <w:t>syn-hodos</w:t>
      </w:r>
      <w:proofErr w:type="spellEnd"/>
      <w:r>
        <w:t>, the road walked together, an apt name for the followers of the one whom Acts calls simply the Way. Pope Francis, in a message of 2018, described the synodal art in homely verbs: moving, walking together, meeting, listening, reflecting, and he named listening the hardest labour of all, since while the other speaks we are already rehearsing our reply; hence his plea for the apostolate of the ear.</w:t>
      </w:r>
      <w:r>
        <w:rPr>
          <w:rStyle w:val="FootnoteReference"/>
        </w:rPr>
        <w:footnoteReference w:id="10"/>
      </w:r>
      <w:r>
        <w:t xml:space="preserve"> Synodality is not democracy, a counting of heads; it is a structured conversation among all the ecclesial members, bishops, priests, religious, and laity, for the sake of hearing the voice of the Holy Spirit. The lineage runs from the council of Jerusalem (Acts 15), where the apostles and elders deliberated with the whole church and dared to write, it has seemed good to the Holy Spirit and to us (Acts 15:28), through the ecumenical councils, to the synodal processes of our own decade.</w:t>
      </w:r>
      <w:r>
        <w:rPr>
          <w:rStyle w:val="FootnoteReference"/>
        </w:rPr>
        <w:footnoteReference w:id="11"/>
      </w:r>
    </w:p>
    <w:p w14:paraId="3557D07B" w14:textId="77777777" w:rsidR="0032067F" w:rsidRDefault="00000000">
      <w:pPr>
        <w:pStyle w:val="Heading2"/>
        <w:spacing w:before="220" w:after="120"/>
      </w:pPr>
      <w:r>
        <w:t>7.5 Sensus Fidei: The Nose of the Flock</w:t>
      </w:r>
    </w:p>
    <w:p w14:paraId="04E5DB26" w14:textId="77777777" w:rsidR="0032067F" w:rsidRDefault="00000000">
      <w:pPr>
        <w:spacing w:after="120"/>
      </w:pPr>
      <w:r>
        <w:t xml:space="preserve">The deposit of faith resides in the entire body of the faithful, the People of God, who by baptism share in the priestly, prophetic, and pastoral ministry of Christ (LG 12, 31). The tradition calls this instinct the </w:t>
      </w:r>
      <w:proofErr w:type="spellStart"/>
      <w:r>
        <w:t>sensus</w:t>
      </w:r>
      <w:proofErr w:type="spellEnd"/>
      <w:r>
        <w:t xml:space="preserve"> fidei, the sense of the faith, and its corporate form the </w:t>
      </w:r>
      <w:proofErr w:type="spellStart"/>
      <w:r>
        <w:t>sensus</w:t>
      </w:r>
      <w:proofErr w:type="spellEnd"/>
      <w:r>
        <w:t xml:space="preserve"> </w:t>
      </w:r>
      <w:proofErr w:type="spellStart"/>
      <w:r>
        <w:t>fidelium</w:t>
      </w:r>
      <w:proofErr w:type="spellEnd"/>
      <w:r>
        <w:t xml:space="preserve">. The International Theological Commission describes it as a kind of spiritual instinct by which the believer discerns what accords with the Gospel, akin to the nose by </w:t>
      </w:r>
      <w:r>
        <w:lastRenderedPageBreak/>
        <w:t>which a healthy body detects what is nourishing and what is spoiled.</w:t>
      </w:r>
      <w:r>
        <w:rPr>
          <w:rStyle w:val="FootnoteReference"/>
        </w:rPr>
        <w:footnoteReference w:id="12"/>
      </w:r>
      <w:r>
        <w:t xml:space="preserve"> History supplies the proof text: John Henry Newman showed that during the Arian crisis of the fourth century the faith of the baptised laity held firm in places where numbers of bishops wavered.</w:t>
      </w:r>
      <w:r>
        <w:rPr>
          <w:rStyle w:val="FootnoteReference"/>
        </w:rPr>
        <w:footnoteReference w:id="13"/>
      </w:r>
      <w:r>
        <w:t xml:space="preserve"> The Magisterium therefore listens and consults the whole community before judging in matters of faith and morals; the sense of faith of the whole Church is a norm and basis of authentic teaching; and one standing task of theology is to discern this sense, make it explicit, and interpret it for changing times.</w:t>
      </w:r>
    </w:p>
    <w:p w14:paraId="0114F9D4" w14:textId="77777777" w:rsidR="0032067F" w:rsidRDefault="00000000">
      <w:pPr>
        <w:pBdr>
          <w:left w:val="single" w:sz="24" w:space="0" w:color="6A1B9A"/>
        </w:pBdr>
        <w:shd w:val="clear" w:color="auto" w:fill="F3E5F5"/>
        <w:spacing w:before="160" w:after="160"/>
        <w:ind w:left="240"/>
      </w:pPr>
      <w:r>
        <w:rPr>
          <w:b/>
          <w:bCs/>
          <w:color w:val="6A1B9A"/>
        </w:rPr>
        <w:t xml:space="preserve">A NOTE FOR THE CLASSROOM: </w:t>
      </w:r>
      <w:r>
        <w:t xml:space="preserve">Two shortcuts must be refused. The first reduces the </w:t>
      </w:r>
      <w:proofErr w:type="spellStart"/>
      <w:r>
        <w:t>sensus</w:t>
      </w:r>
      <w:proofErr w:type="spellEnd"/>
      <w:r>
        <w:t xml:space="preserve"> </w:t>
      </w:r>
      <w:proofErr w:type="spellStart"/>
      <w:r>
        <w:t>fidelium</w:t>
      </w:r>
      <w:proofErr w:type="spellEnd"/>
      <w:r>
        <w:t xml:space="preserve"> to opinion polling, as though the Gospel were settled by survey; the ITC document expressly distinguishes the sense of faith from public opinion, since the former presupposes a life of prayer, sacrament, and discipleship. The second shortcut runs the other way, invoking the Magisterium </w:t>
      </w:r>
      <w:proofErr w:type="gramStart"/>
      <w:r>
        <w:t>so as to</w:t>
      </w:r>
      <w:proofErr w:type="gramEnd"/>
      <w:r>
        <w:t xml:space="preserve"> make the listening Church unnecessary. The mature position holds the circle entire: the whole People </w:t>
      </w:r>
      <w:proofErr w:type="gramStart"/>
      <w:r>
        <w:t>believes</w:t>
      </w:r>
      <w:proofErr w:type="gramEnd"/>
      <w:r>
        <w:t>, the theologians articulate, the pastors discern and define, and the Spirit animates every arc of the circle.</w:t>
      </w:r>
    </w:p>
    <w:p w14:paraId="1CC0F643" w14:textId="77777777" w:rsidR="0032067F" w:rsidRDefault="00000000">
      <w:pPr>
        <w:pBdr>
          <w:left w:val="single" w:sz="24" w:space="0" w:color="2E7D32"/>
        </w:pBdr>
        <w:shd w:val="clear" w:color="auto" w:fill="E8F5E9"/>
        <w:spacing w:before="160" w:after="160"/>
        <w:ind w:left="240"/>
      </w:pPr>
      <w:r>
        <w:rPr>
          <w:b/>
          <w:bCs/>
          <w:color w:val="2E7D32"/>
        </w:rPr>
        <w:t xml:space="preserve">INDIAN CONTEXT: </w:t>
      </w:r>
      <w:r>
        <w:t xml:space="preserve">Synodality has an Indian dress rehearsal in every functioning gram </w:t>
      </w:r>
      <w:proofErr w:type="spellStart"/>
      <w:r>
        <w:t>sabha</w:t>
      </w:r>
      <w:proofErr w:type="spellEnd"/>
      <w:r>
        <w:t xml:space="preserve"> and in the small Christian communities of our dioceses, where the poor speak and the educated must practise the apostolate of the ear. It also has an Indian test: whether the Dalit Christian, doubly silenced by caste and by poverty, is </w:t>
      </w:r>
      <w:proofErr w:type="gramStart"/>
      <w:r>
        <w:t>actually heard</w:t>
      </w:r>
      <w:proofErr w:type="gramEnd"/>
      <w:r>
        <w:t xml:space="preserve"> when the Church in India walks together. A synodal Church that reproduces the seating order of caste has not yet left the sacristy. The </w:t>
      </w:r>
      <w:proofErr w:type="spellStart"/>
      <w:r>
        <w:t>sensus</w:t>
      </w:r>
      <w:proofErr w:type="spellEnd"/>
      <w:r>
        <w:t xml:space="preserve"> </w:t>
      </w:r>
      <w:proofErr w:type="spellStart"/>
      <w:r>
        <w:t>fidelium</w:t>
      </w:r>
      <w:proofErr w:type="spellEnd"/>
      <w:r>
        <w:t xml:space="preserve"> of the Bengali village catechist, of the Santal mother who keeps the faith without a resident priest, belongs to the deposit as truly as any faculty seminar in this seminary.</w:t>
      </w:r>
    </w:p>
    <w:p w14:paraId="31B41D51" w14:textId="77777777" w:rsidR="0032067F" w:rsidRDefault="00000000">
      <w:pPr>
        <w:pStyle w:val="Heading2"/>
        <w:spacing w:before="220" w:after="120"/>
      </w:pPr>
      <w:r>
        <w:t>7.6 Review Questions for Unit 7</w:t>
      </w:r>
    </w:p>
    <w:p w14:paraId="65D57B83" w14:textId="77777777" w:rsidR="0032067F" w:rsidRDefault="00000000">
      <w:pPr>
        <w:pStyle w:val="ListParagraph"/>
        <w:numPr>
          <w:ilvl w:val="0"/>
          <w:numId w:val="1"/>
        </w:numPr>
        <w:spacing w:after="80"/>
      </w:pPr>
      <w:r>
        <w:t xml:space="preserve">Show how DV 10 orders the relation of Magisterium to the Word of </w:t>
      </w:r>
      <w:proofErr w:type="gramStart"/>
      <w:r>
        <w:t>God, and</w:t>
      </w:r>
      <w:proofErr w:type="gramEnd"/>
      <w:r>
        <w:t xml:space="preserve"> illustrate with the image of the keeper of the well.</w:t>
      </w:r>
    </w:p>
    <w:p w14:paraId="49F032EF" w14:textId="77777777" w:rsidR="0032067F" w:rsidRDefault="00000000">
      <w:pPr>
        <w:pStyle w:val="ListParagraph"/>
        <w:numPr>
          <w:ilvl w:val="0"/>
          <w:numId w:val="1"/>
        </w:numPr>
        <w:spacing w:after="80"/>
      </w:pPr>
      <w:r>
        <w:t>Distinguish ordinary and extraordinary Magisterium (LG 25) and name the two solemn papal definitions.</w:t>
      </w:r>
    </w:p>
    <w:p w14:paraId="1EDED0FE" w14:textId="77777777" w:rsidR="0032067F" w:rsidRDefault="00000000">
      <w:pPr>
        <w:pStyle w:val="ListParagraph"/>
        <w:numPr>
          <w:ilvl w:val="0"/>
          <w:numId w:val="1"/>
        </w:numPr>
        <w:spacing w:after="80"/>
      </w:pPr>
      <w:r>
        <w:t>Why is synodality not democracy, and what does Acts 15 contribute to the answer?</w:t>
      </w:r>
    </w:p>
    <w:p w14:paraId="650475C4" w14:textId="77777777" w:rsidR="0032067F" w:rsidRDefault="00000000">
      <w:pPr>
        <w:pStyle w:val="ListParagraph"/>
        <w:numPr>
          <w:ilvl w:val="0"/>
          <w:numId w:val="1"/>
        </w:numPr>
        <w:spacing w:after="80"/>
      </w:pPr>
      <w:r>
        <w:t xml:space="preserve">Using Newman and the ITC document of 2014, explain the </w:t>
      </w:r>
      <w:proofErr w:type="spellStart"/>
      <w:r>
        <w:t>sensus</w:t>
      </w:r>
      <w:proofErr w:type="spellEnd"/>
      <w:r>
        <w:t xml:space="preserve"> </w:t>
      </w:r>
      <w:proofErr w:type="spellStart"/>
      <w:r>
        <w:t>fidelium</w:t>
      </w:r>
      <w:proofErr w:type="spellEnd"/>
      <w:r>
        <w:t xml:space="preserve"> and one condition that distinguishes it from public opinion.</w:t>
      </w:r>
    </w:p>
    <w:p w14:paraId="7726C3B4" w14:textId="77777777" w:rsidR="0032067F" w:rsidRDefault="00000000">
      <w:pPr>
        <w:pStyle w:val="Heading1"/>
        <w:spacing w:before="280" w:after="160"/>
      </w:pPr>
      <w:r>
        <w:t>Unit 8. Wells Beyond the Camp: The Resources of Theology</w:t>
      </w:r>
    </w:p>
    <w:p w14:paraId="252ED8FD" w14:textId="77777777" w:rsidR="0032067F" w:rsidRDefault="00000000">
      <w:pPr>
        <w:pStyle w:val="Heading2"/>
        <w:spacing w:before="220" w:after="120"/>
      </w:pPr>
      <w:r>
        <w:t>8.1 The Burning Question</w:t>
      </w:r>
    </w:p>
    <w:p w14:paraId="11471A7C" w14:textId="77777777" w:rsidR="0032067F" w:rsidRDefault="00000000">
      <w:pPr>
        <w:spacing w:after="120"/>
      </w:pPr>
      <w:r>
        <w:t>Before the bush ever burned, Moses had been formed at three wells outside Israel: the palace of Pharaoh, where he learned the wisdom of Egypt (Acts 7:22); the well of Midian, where he defended the daughters of Jethro and married among them (Ex 2:15-21); and the wilderness itself, where a shepherd learns patience, terrain, and the ways of flocks. God wasted none of it. The burning question of this unit: from what wells beyond the strict deposit of faith may theology legitimately draw, and by what discipline does drawing remain drinking rather than drowning?</w:t>
      </w:r>
    </w:p>
    <w:p w14:paraId="6FCFBFD7" w14:textId="77777777" w:rsidR="0032067F" w:rsidRDefault="00000000">
      <w:pPr>
        <w:pStyle w:val="Heading2"/>
        <w:spacing w:before="220" w:after="120"/>
      </w:pPr>
      <w:r>
        <w:lastRenderedPageBreak/>
        <w:t>8.2 Five Wells</w:t>
      </w:r>
    </w:p>
    <w:p w14:paraId="0FFF8F2C" w14:textId="77777777" w:rsidR="0032067F" w:rsidRDefault="00000000">
      <w:pPr>
        <w:spacing w:after="120"/>
      </w:pPr>
      <w:r>
        <w:t>The tradition, made explicit in Indian theological education, names five resources alongside the three sources.</w:t>
      </w:r>
    </w:p>
    <w:p w14:paraId="5A244C65" w14:textId="77777777" w:rsidR="0032067F" w:rsidRDefault="00000000">
      <w:pPr>
        <w:pStyle w:val="ListParagraph"/>
        <w:numPr>
          <w:ilvl w:val="0"/>
          <w:numId w:val="1"/>
        </w:numPr>
        <w:spacing w:after="80"/>
      </w:pPr>
      <w:r>
        <w:t>People and their experience. God is met in experience before God is discussed in treatises; the revelation of God reaches persons through human experience, which is therefore the starting point of theological investigation. The faith experience of the early Christians, and its articulation, was the principal source of the first theology; the faith experience of other peoples, embedded in their art, architecture, music, dance, story, poetry, and philosophy, must likewise be attended to, together with the present experience of the people among whom the theologian lives.</w:t>
      </w:r>
    </w:p>
    <w:p w14:paraId="3D93AE7C" w14:textId="77777777" w:rsidR="0032067F" w:rsidRDefault="00000000">
      <w:pPr>
        <w:pStyle w:val="ListParagraph"/>
        <w:numPr>
          <w:ilvl w:val="0"/>
          <w:numId w:val="1"/>
        </w:numPr>
        <w:spacing w:after="80"/>
      </w:pPr>
      <w:r>
        <w:t>Socio-cultural heritage. Culture is the vision and way of life of a people, integrating values, signs, symbols, customs, and stories; human life, nature, culture, and religion are intimately related (GS 53-62). Cultures are dynamic and of equal dignity; colonialism, globalisation, and ethnocentrism sin against them by imposing one culture upon the rest. God speaks to human beings according to the culture of each age (GS 58), and the Gospel, meant for all peoples, must be incarnated in each culture in turn: rootedness and openness together.</w:t>
      </w:r>
    </w:p>
    <w:p w14:paraId="6599A52F" w14:textId="77777777" w:rsidR="0032067F" w:rsidRDefault="00000000">
      <w:pPr>
        <w:pStyle w:val="ListParagraph"/>
        <w:numPr>
          <w:ilvl w:val="0"/>
          <w:numId w:val="1"/>
        </w:numPr>
        <w:spacing w:after="80"/>
      </w:pPr>
      <w:r>
        <w:t>The religious traditions of humanity. The Church has moved from the hard reading of the axiom outside the Church no salvation to the confession of the universal salvific will of God: those who strive to do the will of God as it is known to them through the dictates of conscience can attain salvation (LG 16), and the Church rejects nothing that is true and holy in the religions, which often reflect a ray of that Truth which enlightens all (NA 2).</w:t>
      </w:r>
      <w:r>
        <w:rPr>
          <w:rStyle w:val="FootnoteReference"/>
        </w:rPr>
        <w:footnoteReference w:id="14"/>
      </w:r>
      <w:r>
        <w:t xml:space="preserve"> Attention to the scriptures, myths, and narratives of the religions belongs, in India, to the ordinary equipment of the theologian, ordered toward the one community of freedom, fellowship, and justice which is the Kingdom.</w:t>
      </w:r>
    </w:p>
    <w:p w14:paraId="5262E99E" w14:textId="77777777" w:rsidR="0032067F" w:rsidRDefault="00000000">
      <w:pPr>
        <w:pStyle w:val="ListParagraph"/>
        <w:numPr>
          <w:ilvl w:val="0"/>
          <w:numId w:val="1"/>
        </w:numPr>
        <w:spacing w:after="80"/>
      </w:pPr>
      <w:r>
        <w:t xml:space="preserve">The movements of the people. Exodus 3 is the charter of every authentic movement of the oppressed: the God of the bush sees affliction, hears the cry, knows the suffering, and comes down. The </w:t>
      </w:r>
      <w:proofErr w:type="spellStart"/>
      <w:r>
        <w:t>anawim</w:t>
      </w:r>
      <w:proofErr w:type="spellEnd"/>
      <w:r>
        <w:t>, the poor of the Lord, are the beloved of God across both Testaments; poverty, slavery, and oppression are human artefacts, contrary to the Kingdom vision of Jesus; and the movements that struggle today for freedom, justice, and the protection of the earth are among the places where the Word of God is acting in the world. Theology owes them the preferential option for the poor and the discipline of listening to the cry for life.</w:t>
      </w:r>
      <w:r>
        <w:rPr>
          <w:rStyle w:val="FootnoteReference"/>
        </w:rPr>
        <w:footnoteReference w:id="15"/>
      </w:r>
    </w:p>
    <w:p w14:paraId="37A941AB" w14:textId="77777777" w:rsidR="0032067F" w:rsidRDefault="00000000">
      <w:pPr>
        <w:pStyle w:val="ListParagraph"/>
        <w:numPr>
          <w:ilvl w:val="0"/>
          <w:numId w:val="1"/>
        </w:numPr>
        <w:spacing w:after="80"/>
      </w:pPr>
      <w:r>
        <w:t xml:space="preserve">The sciences. The natural sciences answer many questions of how while leaving the limit questions of why untouched; theology and science are complementary, and moral theology </w:t>
      </w:r>
      <w:proofErr w:type="gramStart"/>
      <w:r>
        <w:t>in particular grows</w:t>
      </w:r>
      <w:proofErr w:type="gramEnd"/>
      <w:r>
        <w:t xml:space="preserve"> richer with every advance of genuine research. Philosophy shares with theology the question of ultimate meaning, working by reason alone where theology presupposes faith while using reason; the medieval West called her the handmaid of theology, though a good handmaid, as every Bengali household knows, frequently runs the house. The social and human sciences, sociology, anthropology, psychology, economics, politics, give theology its instruments for reading society, and their adoption has shifted the discipline from studying theology </w:t>
      </w:r>
      <w:r>
        <w:lastRenderedPageBreak/>
        <w:t>to doing theology, resting on four pillars: Scripture, Christian tradition, faith experience, and social context.</w:t>
      </w:r>
    </w:p>
    <w:p w14:paraId="73490CD8" w14:textId="77777777" w:rsidR="0032067F" w:rsidRDefault="00000000">
      <w:pPr>
        <w:pStyle w:val="Heading2"/>
        <w:spacing w:before="220" w:after="120"/>
      </w:pPr>
      <w:r>
        <w:t>8.3 The Pastoral Cycle: How the Wells Are Drawn</w:t>
      </w:r>
    </w:p>
    <w:p w14:paraId="547E9E7F" w14:textId="77777777" w:rsidR="0032067F" w:rsidRDefault="00000000">
      <w:pPr>
        <w:spacing w:after="120"/>
      </w:pPr>
      <w:r>
        <w:t>The resources are drawn in an ordered method, often called the pastoral cycle or the circle of praxis, and each of its four moments carries a theological figure.</w:t>
      </w:r>
      <w:r>
        <w:rPr>
          <w:rStyle w:val="FootnoteReference"/>
        </w:rPr>
        <w:footnoteReference w:id="16"/>
      </w:r>
      <w:r>
        <w:t xml:space="preserve"> The first moment is insertion, commitment to and solidarity with the people; its figure is the Incarnation and the baptism of Jesus among the crowds at the Jordan. The second is social analysis, the disciplined use of the sciences to understand the situation; its figure is the compassion of Jesus who saw the crowds as sheep without a shepherd (Mk 6:34), a seeing that was accurate before it was tender. The third is theological reflection, the re-reading of Scripture and previous theology in the light of the analysed reality; its figures are the Kingdom ideal and the Abba experience. The fourth is pastoral planning, the proposal of action; its figures are kenosis and the cross, since every genuine plan costs the planner something. Then the cycle turns again, for the action creates a new situation demanding new insertion. Social analysis, mark well, is one moment in the method, not the whole method; a theology that is all analysis has stopped at the second moment and built a house on the landing of the staircase.</w:t>
      </w:r>
    </w:p>
    <w:p w14:paraId="18935ADC" w14:textId="77777777" w:rsidR="0032067F" w:rsidRDefault="00000000">
      <w:pPr>
        <w:pBdr>
          <w:left w:val="single" w:sz="24" w:space="0" w:color="1565C0"/>
        </w:pBdr>
        <w:shd w:val="clear" w:color="auto" w:fill="E3F2FD"/>
        <w:spacing w:before="160" w:after="160"/>
        <w:ind w:left="240"/>
      </w:pPr>
      <w:r>
        <w:rPr>
          <w:b/>
          <w:bCs/>
          <w:color w:val="1565C0"/>
        </w:rPr>
        <w:t xml:space="preserve">EXAMPLE: </w:t>
      </w:r>
      <w:r>
        <w:t>Apply the cycle to a concrete Bengal case: brick kiln workers migrating seasonally from Jharkhand into North 24 Parganas. Insertion: the seminarian visits the kilns, learns names, eats there. Analysis: wage structures, advance-debt bondage, the seasonal calendar, caste composition, the schooling gap of the children. Reflection: Exodus 3 (I have seen the affliction), Deuteronomy 24:14-15 (you shall not withhold the wages of the poor), the day labourers of Matthew 20. Planning: a night school at the kiln, a wage-slip literacy drive with the parish, contact with the labour office. Then back to insertion, because the school will change the situation and the situation will pose new questions. That loop, walked for a lifetime, is what these notes mean by doing theology.</w:t>
      </w:r>
    </w:p>
    <w:p w14:paraId="681172E6" w14:textId="77777777" w:rsidR="0032067F" w:rsidRDefault="00000000">
      <w:pPr>
        <w:pBdr>
          <w:left w:val="single" w:sz="24" w:space="0" w:color="2E7D32"/>
        </w:pBdr>
        <w:shd w:val="clear" w:color="auto" w:fill="E8F5E9"/>
        <w:spacing w:before="160" w:after="160"/>
        <w:ind w:left="240"/>
      </w:pPr>
      <w:r>
        <w:rPr>
          <w:b/>
          <w:bCs/>
          <w:color w:val="2E7D32"/>
        </w:rPr>
        <w:t xml:space="preserve">INDIAN CONTEXT: </w:t>
      </w:r>
      <w:r>
        <w:t>India is a land wealthy in cultures and religions, in natural and personal resources; and the same land carries gross poverty, caste discrimination, religious bigotry, contempt for the weaker sections, violence, corruption, and consumerism, adharma wearing a modern suit. The five wells are therefore not academic options here but survival equipment. A theology in Bengal that cannot read a wage slip, a census table, or a communal rumour chain is not yet equipped to read the signs of the times; and one that reads only these, without the Kingdom and the Abba experience, has traded prophecy for sociology. The cycle holds the two together.</w:t>
      </w:r>
    </w:p>
    <w:p w14:paraId="0071DE9D" w14:textId="77777777" w:rsidR="0032067F" w:rsidRDefault="00000000">
      <w:pPr>
        <w:pBdr>
          <w:left w:val="single" w:sz="24" w:space="0" w:color="6A1B9A"/>
        </w:pBdr>
        <w:shd w:val="clear" w:color="auto" w:fill="F3E5F5"/>
        <w:spacing w:before="160" w:after="160"/>
        <w:ind w:left="240"/>
      </w:pPr>
      <w:r>
        <w:rPr>
          <w:b/>
          <w:bCs/>
          <w:color w:val="6A1B9A"/>
        </w:rPr>
        <w:t xml:space="preserve">A NOTE FOR THE CLASSROOM: </w:t>
      </w:r>
      <w:r>
        <w:t>Students sometimes hear resources and sources used loosely as synonyms. Keep the precision of the tradition: Scripture, Tradition, and the Magisterium that serves them are sources, constitutive channels of revelation; experience, culture, religions, movements, and the sciences are resources, genuine wells that nourish and locate theology without constituting the deposit. The distinction protects both terms: it frees the resources to be taken with full seriousness, precisely because nobody fears they are being smuggled into the creed.</w:t>
      </w:r>
    </w:p>
    <w:p w14:paraId="2B75E695" w14:textId="77777777" w:rsidR="0032067F" w:rsidRDefault="00000000">
      <w:pPr>
        <w:pStyle w:val="Heading2"/>
        <w:spacing w:before="220" w:after="120"/>
      </w:pPr>
      <w:r>
        <w:t>8.4 Review Questions for Unit 8</w:t>
      </w:r>
    </w:p>
    <w:p w14:paraId="651BA8C9" w14:textId="77777777" w:rsidR="0032067F" w:rsidRDefault="00000000">
      <w:pPr>
        <w:pStyle w:val="ListParagraph"/>
        <w:numPr>
          <w:ilvl w:val="0"/>
          <w:numId w:val="1"/>
        </w:numPr>
        <w:spacing w:after="80"/>
      </w:pPr>
      <w:r>
        <w:lastRenderedPageBreak/>
        <w:t>Distinguish sources from resources and explain why the distinction liberates rather than diminishes the resources.</w:t>
      </w:r>
    </w:p>
    <w:p w14:paraId="7127175F" w14:textId="77777777" w:rsidR="0032067F" w:rsidRDefault="00000000">
      <w:pPr>
        <w:pStyle w:val="ListParagraph"/>
        <w:numPr>
          <w:ilvl w:val="0"/>
          <w:numId w:val="1"/>
        </w:numPr>
        <w:spacing w:after="80"/>
      </w:pPr>
      <w:r>
        <w:t xml:space="preserve">Name the four moments of the pastoral cycle with their theological </w:t>
      </w:r>
      <w:proofErr w:type="gramStart"/>
      <w:r>
        <w:t>figures, and</w:t>
      </w:r>
      <w:proofErr w:type="gramEnd"/>
      <w:r>
        <w:t xml:space="preserve"> show why social analysis alone is an unfinished theology.</w:t>
      </w:r>
    </w:p>
    <w:p w14:paraId="03B892B3" w14:textId="77777777" w:rsidR="0032067F" w:rsidRDefault="00000000">
      <w:pPr>
        <w:pStyle w:val="ListParagraph"/>
        <w:numPr>
          <w:ilvl w:val="0"/>
          <w:numId w:val="1"/>
        </w:numPr>
        <w:spacing w:after="80"/>
      </w:pPr>
      <w:r>
        <w:t>How do LG 16 and NA 2 together reframe the axiom outside the Church no salvation?</w:t>
      </w:r>
    </w:p>
    <w:p w14:paraId="5AE081D1" w14:textId="77777777" w:rsidR="0032067F" w:rsidRDefault="00000000">
      <w:pPr>
        <w:pStyle w:val="ListParagraph"/>
        <w:numPr>
          <w:ilvl w:val="0"/>
          <w:numId w:val="1"/>
        </w:numPr>
        <w:spacing w:after="80"/>
      </w:pPr>
      <w:r>
        <w:t>Design, in outline, a pastoral cycle for one concrete situation in your home diocese.</w:t>
      </w:r>
    </w:p>
    <w:p w14:paraId="71E10FE1" w14:textId="77777777" w:rsidR="0032067F" w:rsidRDefault="00000000">
      <w:pPr>
        <w:pStyle w:val="Heading1"/>
        <w:spacing w:before="280" w:after="160"/>
      </w:pPr>
      <w:r>
        <w:t>Closing the Circle: The Fire in Transit</w:t>
      </w:r>
    </w:p>
    <w:p w14:paraId="622B2C96" w14:textId="77777777" w:rsidR="0032067F" w:rsidRDefault="00000000">
      <w:pPr>
        <w:spacing w:after="120"/>
      </w:pPr>
      <w:r>
        <w:t xml:space="preserve">Part Two asked how the fire of Horeb travels. The answer has the shape of a relay. The encounter is written (Scripture), the writing is carried by a living community that celebrated it before she wrote it and interprets it as she carries it (Tradition), the carrying is guarded by servants who stand under the Word they guard (Magisterium), the whole People runs the race together and smells the way (synodality and </w:t>
      </w:r>
      <w:proofErr w:type="spellStart"/>
      <w:r>
        <w:t>sensus</w:t>
      </w:r>
      <w:proofErr w:type="spellEnd"/>
      <w:r>
        <w:t xml:space="preserve"> fidei), and the runners drink at every honest well along the route (the resources). Nothing in the relay is idle and nothing is absolute except the fire itself.</w:t>
      </w:r>
    </w:p>
    <w:p w14:paraId="2D5A6E74" w14:textId="77777777" w:rsidR="0032067F" w:rsidRDefault="00000000">
      <w:pPr>
        <w:spacing w:after="120"/>
      </w:pPr>
      <w:r>
        <w:t xml:space="preserve">Part Three will watch the relay across the centuries: the biblical and patristic theologies, the models of East and West, the Syriac genius that reached India before it reached most of Europe, scholasticism and the Reformation, the </w:t>
      </w:r>
      <w:proofErr w:type="spellStart"/>
      <w:r>
        <w:t>kairos</w:t>
      </w:r>
      <w:proofErr w:type="spellEnd"/>
      <w:r>
        <w:t xml:space="preserve"> of the Second Vatican Council, and the contextual theologies through which India now takes her own leg of the race. The baton is already moving toward your hand.</w:t>
      </w:r>
    </w:p>
    <w:p w14:paraId="014C2A91" w14:textId="77777777" w:rsidR="0032067F" w:rsidRDefault="00000000">
      <w:pPr>
        <w:pStyle w:val="Heading1"/>
        <w:spacing w:before="280" w:after="160"/>
      </w:pPr>
      <w:r>
        <w:t>Bibliography</w:t>
      </w:r>
    </w:p>
    <w:p w14:paraId="6209A8A8" w14:textId="77777777" w:rsidR="0032067F" w:rsidRDefault="00000000">
      <w:pPr>
        <w:spacing w:after="100"/>
        <w:ind w:left="720" w:hanging="720"/>
      </w:pPr>
      <w:r>
        <w:t xml:space="preserve">Catechism of the Catholic Church. 2nd ed. Vatican City: Libreria </w:t>
      </w:r>
      <w:proofErr w:type="spellStart"/>
      <w:r>
        <w:t>Editrice</w:t>
      </w:r>
      <w:proofErr w:type="spellEnd"/>
      <w:r>
        <w:t xml:space="preserve"> Vaticana, 1997.</w:t>
      </w:r>
    </w:p>
    <w:p w14:paraId="279826C6" w14:textId="77777777" w:rsidR="0032067F" w:rsidRDefault="00000000">
      <w:pPr>
        <w:spacing w:after="100"/>
        <w:ind w:left="720" w:hanging="720"/>
      </w:pPr>
      <w:r>
        <w:t>Congar, Yves. Tradition and Traditions: An Historical and a Theological Essay. Translated by Michael Naseby and Thomas Rainborough. London: Burns and Oates, 1966.</w:t>
      </w:r>
    </w:p>
    <w:p w14:paraId="131454E5" w14:textId="77777777" w:rsidR="0032067F" w:rsidRDefault="00000000">
      <w:pPr>
        <w:spacing w:after="100"/>
        <w:ind w:left="720" w:hanging="720"/>
      </w:pPr>
      <w:r>
        <w:t>Dupuis, Jacques. Toward a Christian Theology of Religious Pluralism. Maryknoll, NY: Orbis Books, 1997.</w:t>
      </w:r>
    </w:p>
    <w:p w14:paraId="0E099C4D" w14:textId="77777777" w:rsidR="0032067F" w:rsidRDefault="00000000">
      <w:pPr>
        <w:spacing w:after="100"/>
        <w:ind w:left="720" w:hanging="720"/>
      </w:pPr>
      <w:r>
        <w:t>Francis. Christus Vivit. Post-synodal apostolic exhortation, 25 March 2019.</w:t>
      </w:r>
    </w:p>
    <w:p w14:paraId="21BDF7E9" w14:textId="77777777" w:rsidR="0032067F" w:rsidRDefault="00000000">
      <w:pPr>
        <w:spacing w:after="100"/>
        <w:ind w:left="720" w:hanging="720"/>
      </w:pPr>
      <w:r>
        <w:t>Holland, Joe, and Peter Henriot. Social Analysis: Linking Faith and Justice. Rev. ed. Maryknoll, NY: Orbis Books, 1983.</w:t>
      </w:r>
    </w:p>
    <w:p w14:paraId="0FDC797E" w14:textId="77777777" w:rsidR="0032067F" w:rsidRDefault="00000000">
      <w:pPr>
        <w:spacing w:after="100"/>
        <w:ind w:left="720" w:hanging="720"/>
      </w:pPr>
      <w:r>
        <w:t xml:space="preserve">International Theological Commission. Sensus Fidei in the Life of the Church. Vatican City: Libreria </w:t>
      </w:r>
      <w:proofErr w:type="spellStart"/>
      <w:r>
        <w:t>Editrice</w:t>
      </w:r>
      <w:proofErr w:type="spellEnd"/>
      <w:r>
        <w:t xml:space="preserve"> Vaticana, 2014.</w:t>
      </w:r>
    </w:p>
    <w:p w14:paraId="182D9411" w14:textId="77777777" w:rsidR="0032067F" w:rsidRDefault="00000000">
      <w:pPr>
        <w:spacing w:after="100"/>
        <w:ind w:left="720" w:hanging="720"/>
      </w:pPr>
      <w:r>
        <w:t xml:space="preserve">International Theological Commission. Synodality in the Life and Mission of the Church. Vatican City: Libreria </w:t>
      </w:r>
      <w:proofErr w:type="spellStart"/>
      <w:r>
        <w:t>Editrice</w:t>
      </w:r>
      <w:proofErr w:type="spellEnd"/>
      <w:r>
        <w:t xml:space="preserve"> Vaticana, 2018.</w:t>
      </w:r>
    </w:p>
    <w:p w14:paraId="279619FB" w14:textId="77777777" w:rsidR="0032067F" w:rsidRDefault="00000000">
      <w:pPr>
        <w:spacing w:after="100"/>
        <w:ind w:left="720" w:hanging="720"/>
      </w:pPr>
      <w:r>
        <w:t>John Paul II. Fidei Depositum. Apostolic constitution, 11 October 1992.</w:t>
      </w:r>
    </w:p>
    <w:p w14:paraId="446F88CD" w14:textId="77777777" w:rsidR="0032067F" w:rsidRDefault="00000000">
      <w:pPr>
        <w:spacing w:after="100"/>
        <w:ind w:left="720" w:hanging="720"/>
      </w:pPr>
      <w:r>
        <w:t>Neuner, Josef, and Jacques Dupuis, eds. The Christian Faith in the Doctrinal Documents of the Catholic Church. 7th ed. Bangalore: Theological Publications in India, 2001.</w:t>
      </w:r>
    </w:p>
    <w:p w14:paraId="05DFF96B" w14:textId="77777777" w:rsidR="0032067F" w:rsidRDefault="00000000">
      <w:pPr>
        <w:spacing w:after="100"/>
        <w:ind w:left="720" w:hanging="720"/>
      </w:pPr>
      <w:r>
        <w:t>Newman, John Henry. On Consulting the Faithful in Matters of Doctrine. Edited by John Coulson. New York: Sheed and Ward, 1961.</w:t>
      </w:r>
    </w:p>
    <w:p w14:paraId="7C702248" w14:textId="77777777" w:rsidR="0032067F" w:rsidRDefault="00000000">
      <w:pPr>
        <w:spacing w:after="100"/>
        <w:ind w:left="720" w:hanging="720"/>
      </w:pPr>
      <w:proofErr w:type="spellStart"/>
      <w:r>
        <w:t>Podipara</w:t>
      </w:r>
      <w:proofErr w:type="spellEnd"/>
      <w:r>
        <w:t>, Placid J. The Thomas Christians. Bombay: St Paul Publications, 1970.</w:t>
      </w:r>
    </w:p>
    <w:p w14:paraId="74E02EFF" w14:textId="77777777" w:rsidR="0032067F" w:rsidRDefault="00000000">
      <w:pPr>
        <w:spacing w:after="100"/>
        <w:ind w:left="720" w:hanging="720"/>
      </w:pPr>
      <w:r>
        <w:t>Second Vatican Council. The Documents of Vatican II. Edited by Walter M. Abbott. New York: Guild Press, 1966.</w:t>
      </w:r>
    </w:p>
    <w:p w14:paraId="5777DCCE" w14:textId="77777777" w:rsidR="0032067F" w:rsidRDefault="00000000">
      <w:pPr>
        <w:spacing w:after="100"/>
        <w:ind w:left="720" w:hanging="720"/>
      </w:pPr>
      <w:r>
        <w:lastRenderedPageBreak/>
        <w:t>Soares-Prabhu, George M. Collected Writings of George M. Soares-Prabhu. 4 vols. Pune: Jnana-Deepa Vidyapeeth, 1999-2001.</w:t>
      </w:r>
    </w:p>
    <w:p w14:paraId="2C5EA188" w14:textId="77777777" w:rsidR="0032067F" w:rsidRDefault="00000000">
      <w:pPr>
        <w:spacing w:after="100"/>
        <w:ind w:left="720" w:hanging="720"/>
      </w:pPr>
      <w:r>
        <w:t>Tanner, Norman P., ed. Decrees of the Ecumenical Councils. 2 vols. London: Sheed and Ward, 1990.</w:t>
      </w:r>
    </w:p>
    <w:sectPr w:rsidR="0032067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4C5B9" w14:textId="77777777" w:rsidR="00005CFC" w:rsidRDefault="00005CFC">
      <w:r>
        <w:separator/>
      </w:r>
    </w:p>
  </w:endnote>
  <w:endnote w:type="continuationSeparator" w:id="0">
    <w:p w14:paraId="3D199730" w14:textId="77777777" w:rsidR="00005CFC" w:rsidRDefault="00005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DD04" w14:textId="77777777" w:rsidR="0032067F" w:rsidRDefault="00000000">
    <w:pPr>
      <w:jc w:val="center"/>
    </w:pPr>
    <w:r>
      <w:rPr>
        <w:sz w:val="20"/>
        <w:szCs w:val="20"/>
      </w:rPr>
      <w:fldChar w:fldCharType="begin"/>
    </w:r>
    <w:r>
      <w:rPr>
        <w:sz w:val="20"/>
        <w:szCs w:val="20"/>
      </w:rPr>
      <w:instrText>PAGE</w:instrText>
    </w:r>
    <w:r>
      <w:rPr>
        <w:sz w:val="20"/>
        <w:szCs w:val="20"/>
      </w:rPr>
      <w:fldChar w:fldCharType="separate"/>
    </w:r>
    <w:r w:rsidR="00BC43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E2B3" w14:textId="77777777" w:rsidR="00005CFC" w:rsidRDefault="00005CFC">
      <w:r>
        <w:separator/>
      </w:r>
    </w:p>
  </w:footnote>
  <w:footnote w:type="continuationSeparator" w:id="0">
    <w:p w14:paraId="55A3FE4D" w14:textId="77777777" w:rsidR="00005CFC" w:rsidRDefault="00005CFC">
      <w:r>
        <w:continuationSeparator/>
      </w:r>
    </w:p>
  </w:footnote>
  <w:footnote w:id="1">
    <w:p w14:paraId="4C9C50C9" w14:textId="77777777" w:rsidR="0032067F" w:rsidRDefault="00000000">
      <w:r>
        <w:rPr>
          <w:rStyle w:val="FootnoteReference"/>
        </w:rPr>
        <w:footnoteRef/>
      </w:r>
      <w:r>
        <w:rPr>
          <w:sz w:val="20"/>
          <w:szCs w:val="20"/>
        </w:rPr>
        <w:t>Second Vatican Council, Dei Verbum, no. 11, in The Documents of Vatican II, ed. Walter M. Abbott (New York: Guild Press, 1966).</w:t>
      </w:r>
    </w:p>
  </w:footnote>
  <w:footnote w:id="2">
    <w:p w14:paraId="23D3FC4F" w14:textId="77777777" w:rsidR="0032067F" w:rsidRDefault="00000000">
      <w:r>
        <w:rPr>
          <w:rStyle w:val="FootnoteReference"/>
        </w:rPr>
        <w:footnoteRef/>
      </w:r>
      <w:r>
        <w:rPr>
          <w:sz w:val="20"/>
          <w:szCs w:val="20"/>
        </w:rPr>
        <w:t>George M. Soares-Prabhu,</w:t>
      </w:r>
      <w:r>
        <w:rPr>
          <w:sz w:val="20"/>
          <w:szCs w:val="20"/>
        </w:rPr>
        <w:t xml:space="preserve"> “Interpreting the Bible in India Today,” in Collected Writings of George M. Soares-Prabhu, vol. 1 (Pune: Jnana-Deepa Vidyapeeth, 1999), 3-16.</w:t>
      </w:r>
    </w:p>
  </w:footnote>
  <w:footnote w:id="3">
    <w:p w14:paraId="16833739" w14:textId="77777777" w:rsidR="0032067F" w:rsidRDefault="00000000">
      <w:r>
        <w:rPr>
          <w:rStyle w:val="FootnoteReference"/>
        </w:rPr>
        <w:footnoteRef/>
      </w:r>
      <w:r>
        <w:rPr>
          <w:sz w:val="20"/>
          <w:szCs w:val="20"/>
        </w:rPr>
        <w:t>Second Vatican Council, Dei Verbum, nos. 8-9. For the classic modern study, see Yves Congar, Tradition and Traditions: An Historical and a Theological Essay, trans. Michael Naseby and Thomas Rainborough (London: Burns and Oates, 1966).</w:t>
      </w:r>
    </w:p>
  </w:footnote>
  <w:footnote w:id="4">
    <w:p w14:paraId="42EA34FD" w14:textId="77777777" w:rsidR="0032067F" w:rsidRDefault="00000000">
      <w:r>
        <w:rPr>
          <w:rStyle w:val="FootnoteReference"/>
        </w:rPr>
        <w:footnoteRef/>
      </w:r>
      <w:r>
        <w:rPr>
          <w:sz w:val="20"/>
          <w:szCs w:val="20"/>
        </w:rPr>
        <w:t>Congar, Tradition and Traditions, 296-338.</w:t>
      </w:r>
    </w:p>
  </w:footnote>
  <w:footnote w:id="5">
    <w:p w14:paraId="2DFF98FD" w14:textId="77777777" w:rsidR="0032067F" w:rsidRDefault="00000000">
      <w:r>
        <w:rPr>
          <w:rStyle w:val="FootnoteReference"/>
        </w:rPr>
        <w:footnoteRef/>
      </w:r>
      <w:r>
        <w:rPr>
          <w:sz w:val="20"/>
          <w:szCs w:val="20"/>
        </w:rPr>
        <w:t>Second Vatican Council, Unitatis Redintegratio, nos. 14-18. On the Indian Oriental Churches, see Placid J. Podipara, The Thomas Christians (Bombay: St Paul Publications, 1970).</w:t>
      </w:r>
    </w:p>
  </w:footnote>
  <w:footnote w:id="6">
    <w:p w14:paraId="419CFBE6" w14:textId="77777777" w:rsidR="0032067F" w:rsidRDefault="00000000">
      <w:r>
        <w:rPr>
          <w:rStyle w:val="FootnoteReference"/>
        </w:rPr>
        <w:footnoteRef/>
      </w:r>
      <w:r>
        <w:rPr>
          <w:sz w:val="20"/>
          <w:szCs w:val="20"/>
        </w:rPr>
        <w:t>Josef Neuner and Jacques Dupuis, eds., The Christian Faith in the Doctrinal Documents of the Catholic Church, 7th ed. (Bangalore: Theological Publications in India, 2001).</w:t>
      </w:r>
    </w:p>
  </w:footnote>
  <w:footnote w:id="7">
    <w:p w14:paraId="3E78862A" w14:textId="77777777" w:rsidR="0032067F" w:rsidRDefault="00000000">
      <w:r>
        <w:rPr>
          <w:rStyle w:val="FootnoteReference"/>
        </w:rPr>
        <w:footnoteRef/>
      </w:r>
      <w:r>
        <w:rPr>
          <w:sz w:val="20"/>
          <w:szCs w:val="20"/>
        </w:rPr>
        <w:t>John Paul II, Fidei Depositum, apostolic constitution, 11 October 1992; Catechism of the Catholic Church, 2nd ed. (Vatican City: Libreria Editrice Vaticana, 1997).</w:t>
      </w:r>
    </w:p>
  </w:footnote>
  <w:footnote w:id="8">
    <w:p w14:paraId="30BFCA68" w14:textId="77777777" w:rsidR="0032067F" w:rsidRDefault="00000000">
      <w:r>
        <w:rPr>
          <w:rStyle w:val="FootnoteReference"/>
        </w:rPr>
        <w:footnoteRef/>
      </w:r>
      <w:r>
        <w:rPr>
          <w:sz w:val="20"/>
          <w:szCs w:val="20"/>
        </w:rPr>
        <w:t>Second Vatican Council, Dei Verbum, no. 10.</w:t>
      </w:r>
    </w:p>
  </w:footnote>
  <w:footnote w:id="9">
    <w:p w14:paraId="48C4C6C1" w14:textId="77777777" w:rsidR="0032067F" w:rsidRDefault="00000000">
      <w:r>
        <w:rPr>
          <w:rStyle w:val="FootnoteReference"/>
        </w:rPr>
        <w:footnoteRef/>
      </w:r>
      <w:r>
        <w:rPr>
          <w:sz w:val="20"/>
          <w:szCs w:val="20"/>
        </w:rPr>
        <w:t>First Vatican Council, Pastor Aeternus (1870), chap. 4, in Norman P. Tanner, ed., Decrees of the Ecumenical Councils, vol. 2 (London: Sheed and Ward, 1990), 815-816.</w:t>
      </w:r>
    </w:p>
  </w:footnote>
  <w:footnote w:id="10">
    <w:p w14:paraId="4009C530" w14:textId="77777777" w:rsidR="0032067F" w:rsidRDefault="00000000">
      <w:r>
        <w:rPr>
          <w:rStyle w:val="FootnoteReference"/>
        </w:rPr>
        <w:footnoteRef/>
      </w:r>
      <w:r>
        <w:rPr>
          <w:sz w:val="20"/>
          <w:szCs w:val="20"/>
        </w:rPr>
        <w:t>Francis, video message to Cardinal Mario Aurelio Poli, 2018; see also Francis, Christus Vivit (2019), no. 206.</w:t>
      </w:r>
    </w:p>
  </w:footnote>
  <w:footnote w:id="11">
    <w:p w14:paraId="51DE8B91" w14:textId="77777777" w:rsidR="0032067F" w:rsidRDefault="00000000">
      <w:r>
        <w:rPr>
          <w:rStyle w:val="FootnoteReference"/>
        </w:rPr>
        <w:footnoteRef/>
      </w:r>
      <w:r>
        <w:rPr>
          <w:sz w:val="20"/>
          <w:szCs w:val="20"/>
        </w:rPr>
        <w:t>International Theological Commission, Synodality in the Life and Mission of the Church (Vatican City: Libreria Editrice Vaticana, 2018), nos. 5-10.</w:t>
      </w:r>
    </w:p>
  </w:footnote>
  <w:footnote w:id="12">
    <w:p w14:paraId="619D1E4E" w14:textId="77777777" w:rsidR="0032067F" w:rsidRDefault="00000000">
      <w:r>
        <w:rPr>
          <w:rStyle w:val="FootnoteReference"/>
        </w:rPr>
        <w:footnoteRef/>
      </w:r>
      <w:r>
        <w:rPr>
          <w:sz w:val="20"/>
          <w:szCs w:val="20"/>
        </w:rPr>
        <w:t>International Theological Commission, Sensus Fidei in the Life of the Church (Vatican City: Libreria Editrice Vaticana, 2014), nos. 49-59.</w:t>
      </w:r>
    </w:p>
  </w:footnote>
  <w:footnote w:id="13">
    <w:p w14:paraId="63A06E00" w14:textId="77777777" w:rsidR="0032067F" w:rsidRDefault="00000000">
      <w:r>
        <w:rPr>
          <w:rStyle w:val="FootnoteReference"/>
        </w:rPr>
        <w:footnoteRef/>
      </w:r>
      <w:r>
        <w:rPr>
          <w:sz w:val="20"/>
          <w:szCs w:val="20"/>
        </w:rPr>
        <w:t>John Henry Newman, On Consulting the Faithful in Matters of Doctrine, ed. John Coulson (New York: Sheed and Ward, 1961), 75-101.</w:t>
      </w:r>
    </w:p>
  </w:footnote>
  <w:footnote w:id="14">
    <w:p w14:paraId="1CA8E3C6" w14:textId="77777777" w:rsidR="0032067F" w:rsidRDefault="00000000">
      <w:r>
        <w:rPr>
          <w:rStyle w:val="FootnoteReference"/>
        </w:rPr>
        <w:footnoteRef/>
      </w:r>
      <w:r>
        <w:rPr>
          <w:sz w:val="20"/>
          <w:szCs w:val="20"/>
        </w:rPr>
        <w:t xml:space="preserve">Second Vatican Council, Lumen Gentium, no. 16; Nostra Aetate, no. 2. </w:t>
      </w:r>
      <w:r>
        <w:rPr>
          <w:sz w:val="20"/>
          <w:szCs w:val="20"/>
        </w:rPr>
        <w:t>For the developed theology, see Jacques Dupuis, Toward a Christian Theology of Religious Pluralism (Maryknoll, NY: Orbis Books, 1997), 84-109.</w:t>
      </w:r>
    </w:p>
  </w:footnote>
  <w:footnote w:id="15">
    <w:p w14:paraId="1636DA61" w14:textId="77777777" w:rsidR="0032067F" w:rsidRDefault="00000000">
      <w:r>
        <w:rPr>
          <w:rStyle w:val="FootnoteReference"/>
        </w:rPr>
        <w:footnoteRef/>
      </w:r>
      <w:r>
        <w:rPr>
          <w:sz w:val="20"/>
          <w:szCs w:val="20"/>
        </w:rPr>
        <w:t>On the biblical poor, see George M. Soares-Prabhu, “Class in the Bible: The Biblical Poor a Social Class?” in Collected Writings of George M. Soares-Prabhu, vol. 4 (Pune: Jnana-Deepa Vidyapeeth, 2001), 82-108.</w:t>
      </w:r>
    </w:p>
  </w:footnote>
  <w:footnote w:id="16">
    <w:p w14:paraId="51647E99" w14:textId="77777777" w:rsidR="0032067F" w:rsidRDefault="00000000">
      <w:r>
        <w:rPr>
          <w:rStyle w:val="FootnoteReference"/>
        </w:rPr>
        <w:footnoteRef/>
      </w:r>
      <w:r>
        <w:rPr>
          <w:sz w:val="20"/>
          <w:szCs w:val="20"/>
        </w:rPr>
        <w:t>Joe Holland and Peter Henriot, Social Analysis: Linking Faith and Justice, rev. ed. (Maryknoll, NY: Orbis Books, 1983), 7-31.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0C8C"/>
    <w:multiLevelType w:val="hybridMultilevel"/>
    <w:tmpl w:val="06D4659C"/>
    <w:lvl w:ilvl="0" w:tplc="A0E63550">
      <w:start w:val="1"/>
      <w:numFmt w:val="bullet"/>
      <w:lvlText w:val="●"/>
      <w:lvlJc w:val="left"/>
      <w:pPr>
        <w:ind w:left="720" w:hanging="360"/>
      </w:pPr>
    </w:lvl>
    <w:lvl w:ilvl="1" w:tplc="910AC8F2">
      <w:start w:val="1"/>
      <w:numFmt w:val="bullet"/>
      <w:lvlText w:val="○"/>
      <w:lvlJc w:val="left"/>
      <w:pPr>
        <w:ind w:left="1440" w:hanging="360"/>
      </w:pPr>
    </w:lvl>
    <w:lvl w:ilvl="2" w:tplc="7166EC74">
      <w:start w:val="1"/>
      <w:numFmt w:val="bullet"/>
      <w:lvlText w:val="■"/>
      <w:lvlJc w:val="left"/>
      <w:pPr>
        <w:ind w:left="2160" w:hanging="360"/>
      </w:pPr>
    </w:lvl>
    <w:lvl w:ilvl="3" w:tplc="BC6E4CC2">
      <w:start w:val="1"/>
      <w:numFmt w:val="bullet"/>
      <w:lvlText w:val="●"/>
      <w:lvlJc w:val="left"/>
      <w:pPr>
        <w:ind w:left="2880" w:hanging="360"/>
      </w:pPr>
    </w:lvl>
    <w:lvl w:ilvl="4" w:tplc="08948D3C">
      <w:start w:val="1"/>
      <w:numFmt w:val="bullet"/>
      <w:lvlText w:val="○"/>
      <w:lvlJc w:val="left"/>
      <w:pPr>
        <w:ind w:left="3600" w:hanging="360"/>
      </w:pPr>
    </w:lvl>
    <w:lvl w:ilvl="5" w:tplc="D6D4321A">
      <w:start w:val="1"/>
      <w:numFmt w:val="bullet"/>
      <w:lvlText w:val="■"/>
      <w:lvlJc w:val="left"/>
      <w:pPr>
        <w:ind w:left="4320" w:hanging="360"/>
      </w:pPr>
    </w:lvl>
    <w:lvl w:ilvl="6" w:tplc="6B9468C6">
      <w:start w:val="1"/>
      <w:numFmt w:val="bullet"/>
      <w:lvlText w:val="●"/>
      <w:lvlJc w:val="left"/>
      <w:pPr>
        <w:ind w:left="5040" w:hanging="360"/>
      </w:pPr>
    </w:lvl>
    <w:lvl w:ilvl="7" w:tplc="D93207A8">
      <w:start w:val="1"/>
      <w:numFmt w:val="bullet"/>
      <w:lvlText w:val="●"/>
      <w:lvlJc w:val="left"/>
      <w:pPr>
        <w:ind w:left="5760" w:hanging="360"/>
      </w:pPr>
    </w:lvl>
    <w:lvl w:ilvl="8" w:tplc="22C087DC">
      <w:start w:val="1"/>
      <w:numFmt w:val="bullet"/>
      <w:lvlText w:val="●"/>
      <w:lvlJc w:val="left"/>
      <w:pPr>
        <w:ind w:left="6480" w:hanging="360"/>
      </w:pPr>
    </w:lvl>
  </w:abstractNum>
  <w:num w:numId="1" w16cid:durableId="374355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67F"/>
    <w:rsid w:val="00005CFC"/>
    <w:rsid w:val="0032067F"/>
    <w:rsid w:val="007D2A88"/>
    <w:rsid w:val="00BC43E2"/>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C828"/>
  <w15:docId w15:val="{029FF341-AC62-418D-9CB7-1B2E23D9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4593</Words>
  <Characters>26181</Characters>
  <Application>Microsoft Office Word</Application>
  <DocSecurity>0</DocSecurity>
  <Lines>218</Lines>
  <Paragraphs>61</Paragraphs>
  <ScaleCrop>false</ScaleCrop>
  <Company/>
  <LinksUpToDate>false</LinksUpToDate>
  <CharactersWithSpaces>30713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2026-07-07T13:30:00Z</dcterms:created>
  <dcterms:modified xsi:type="dcterms:W3CDTF">2026-07-24T05:44:00Z</dcterms:modified>
</cp:coreProperties>
</file>