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b/>
          <w:bCs/>
          <w:sz w:val="40"/>
          <w:szCs w:val="40"/>
        </w:rPr>
        <w:t xml:space="preserve">INTRODUCTION TO THEOLOGY</w:t>
      </w:r>
    </w:p>
    <w:p>
      <w:pPr>
        <w:spacing w:after="120"/>
        <w:jc w:val="center"/>
      </w:pPr>
      <w:r>
        <w:rPr>
          <w:b/>
          <w:bCs/>
          <w:sz w:val="32"/>
          <w:szCs w:val="32"/>
        </w:rPr>
        <w:t xml:space="preserve">Part Three: The History and Models of Theology, and Theologising in India</w:t>
      </w:r>
    </w:p>
    <w:p>
      <w:pPr>
        <w:spacing w:after="120"/>
        <w:jc w:val="center"/>
      </w:pPr>
      <w:r>
        <w:rPr>
          <w:i/>
          <w:iCs/>
          <w:sz w:val="26"/>
          <w:szCs w:val="26"/>
        </w:rPr>
        <w:t xml:space="preserve">The Bush Ablaze in Every Age: The Fire Across the Centuries</w:t>
      </w:r>
    </w:p>
    <w:p>
      <w:pPr>
        <w:spacing w:after="600"/>
        <w:jc w:val="center"/>
      </w:pPr>
      <w:r>
        <w:rPr>
          <w:sz w:val="24"/>
          <w:szCs w:val="24"/>
        </w:rPr>
        <w:t xml:space="preserve">Morning Star Regional Seminary, Barrackpore | BTh First Year | Student Edition</w:t>
      </w:r>
    </w:p>
    <w:p>
      <w:pPr>
        <w:pStyle w:val="Heading1"/>
        <w:spacing w:after="160" w:before="280"/>
      </w:pPr>
      <w:r>
        <w:t xml:space="preserve">A Word Before the Last Lap</w:t>
      </w:r>
    </w:p>
    <w:p>
      <w:pPr>
        <w:spacing w:after="120"/>
      </w:pPr>
      <w:r>
        <w:t xml:space="preserve">Part One stood at the bush; Part Two watched the fire being handed on. Part Three watches the relay across twenty centuries and five continents, and then across the particular centuries of our own country. The controlling conviction remains the same: the bush has never stopped burning. Every age has produced its Moses figures, persons and communities who turned aside, and every age has produced its own idiom for saying what they saw. History of theology is not a museum tour; it is the family album of a fire. When you learn how Alexandria, Antioch, Edessa, Paris, Wittenberg, and Rome each spoke of the flame, you are learning your ancestors; and when you reach the Malabar coast, the Bengal Renaissance, and the Dalit villages of our own decades, you are learning your neighbours, and yourself.</w:t>
      </w:r>
    </w:p>
    <w:p>
      <w:pPr>
        <w:pStyle w:val="Heading1"/>
        <w:spacing w:after="160" w:before="280"/>
      </w:pPr>
      <w:r>
        <w:t xml:space="preserve">Unit 9. The Fire in the First Millennium: Biblical and Patristic Theology</w:t>
      </w:r>
    </w:p>
    <w:p>
      <w:pPr>
        <w:pStyle w:val="Heading2"/>
        <w:spacing w:after="120" w:before="220"/>
      </w:pPr>
      <w:r>
        <w:t xml:space="preserve">9.1 The Burning Question</w:t>
      </w:r>
    </w:p>
    <w:p>
      <w:pPr>
        <w:spacing w:after="120"/>
      </w:pPr>
      <w:r>
        <w:t xml:space="preserve">When did theology begin? With the creation narratives? With the liberation of the exodus? With the Christ-event, or the early Fathers, or the councils? The honest answer of the tradition is that theology began wherever the encounter of the human person with God began, which is to say, at the beginning; but its Christian shape crystallised in two great laboratories, the Bible itself and the patristic Church. The burning question of this unit: how did one Christ give rise to many christologies, and how did the many remain one faith?</w:t>
      </w:r>
    </w:p>
    <w:p>
      <w:pPr>
        <w:pStyle w:val="Heading2"/>
        <w:spacing w:after="120" w:before="220"/>
      </w:pPr>
      <w:r>
        <w:t xml:space="preserve">9.2 Theology Inside the Bible</w:t>
      </w:r>
    </w:p>
    <w:p>
      <w:pPr>
        <w:spacing w:after="120"/>
      </w:pPr>
      <w:r>
        <w:t xml:space="preserve">The Old Testament is already a library of theologies. Source study distinguishes Yahwist, Elohist, Priestly, and Deuteronomic voices; the great streams flow through creation, election, liberation, law, covenant, prophecy, wisdom, and the growing expectation of a Messiah and a Kingdom. The New Testament centres everything on the Christ-event: incarnation, the mission of the Kingdom, the law of love, passion, death, resurrection, Pentecost, and the birth of the new people who proclaim him.</w:t>
      </w:r>
    </w:p>
    <w:p>
      <w:pPr>
        <w:spacing w:after="120"/>
      </w:pPr>
      <w:r>
        <w:t xml:space="preserve">Raymond Brown taught students to read New Testament christology backwards, as a series of christological moments: the earliest preaching concentrated on the second coming and the resurrection (God has made him both Lord and Christ, Acts 2:36); reflection then moved back into the ministry, the boyhood, the conception, and at last the pre-existence of the Word who was in the beginning with God (Jn 1:1).</w:t>
      </w:r>
      <w:r>
        <w:rPr>
          <w:rStyle w:val="FootnoteReference"/>
        </w:rPr>
        <w:footnoteReference w:id="1"/>
      </w:r>
      <w:r>
        <w:t xml:space="preserve"> The diversity is real: Logos christology in John, messianic christology in the Synoptics and Acts, the soteriology of Paul, cosmic christology in Ephesians and Colossians, liturgical christology in Hebrews, apocalyptic christology in Revelation. Roger Haight adds five New Testament portraits, Jesus as Last Adam, Son of God, the one empowered by the Spirit, the Wisdom of God, and the Logos of God, and identifies the common thread: in every portrait Jesus is the bearer of salvation from God.</w:t>
      </w:r>
      <w:r>
        <w:rPr>
          <w:rStyle w:val="FootnoteReference"/>
        </w:rPr>
        <w:footnoteReference w:id="2"/>
      </w:r>
      <w:r>
        <w:t xml:space="preserve"> One Christ, many christologies, one confession: Jesus means God is our Saviour.</w:t>
      </w:r>
    </w:p>
    <w:p>
      <w:pPr>
        <w:pBdr>
          <w:left w:val="single" w:color="1565C0" w:sz="24"/>
        </w:pBdr>
        <w:shd w:fill="E3F2FD" w:val="clear"/>
        <w:spacing w:after="160" w:before="160"/>
        <w:ind w:left="240"/>
      </w:pPr>
      <w:r>
        <w:rPr>
          <w:b/>
          <w:bCs/>
          <w:color w:val="1565C0"/>
        </w:rPr>
        <w:t xml:space="preserve">EXAMPLE: </w:t>
      </w:r>
      <w:r>
        <w:t xml:space="preserve">Stand five people around one Durga pandal at night and ask each to describe it. The engineer speaks of the bamboo load-bearing structure, the artist of colour and iconography, the child of wonder, the vendor of the crowd it draws, the grandmother of the goddess herself. Five true descriptions, one pandal; and anyone who collapsed the five into one would lose truth, not gain it. So with the New Testament christologies: John, Paul, Mark, Hebrews, and Revelation stand at different corners of the one mystery, and the canon deliberately keeps all their corners.</w:t>
      </w:r>
    </w:p>
    <w:p>
      <w:pPr>
        <w:pStyle w:val="Heading2"/>
        <w:spacing w:after="120" w:before="220"/>
      </w:pPr>
      <w:r>
        <w:t xml:space="preserve">9.3 The Patristic Laboratory</w:t>
      </w:r>
    </w:p>
    <w:p>
      <w:pPr>
        <w:spacing w:after="120"/>
      </w:pPr>
      <w:r>
        <w:t xml:space="preserve">The Fathers of the Church are the ecclesiastical writers of antiquity marked by four notes: soundness of doctrine, holiness of life, ecclesial endorsement, and antiquity, spanning roughly the apostolic period to the eighth century. Three waves succeed one another: the Apostolic Fathers, pastoral and exhortatory; the Apologists, defending the faith before pagan and imperial audiences; and the dogmatic theologians, giving the faith systematic articulation.</w:t>
      </w:r>
    </w:p>
    <w:p>
      <w:pPr>
        <w:spacing w:after="120"/>
      </w:pPr>
      <w:r>
        <w:t xml:space="preserve">Twelve achievements of the patristic centuries deserve memory, and they can be memorised as the furniture of the house you now live in: the fixing of the New Testament canon; the clarification of the role of apostolic Tradition; the ecumenical creeds, baptismal, Apostles, and Nicene-Constantinopolitan; the christology of Chalcedon (451), one person in two natures, truly God and truly man;</w:t>
      </w:r>
      <w:r>
        <w:rPr>
          <w:rStyle w:val="FootnoteReference"/>
        </w:rPr>
        <w:footnoteReference w:id="3"/>
      </w:r>
      <w:r>
        <w:t xml:space="preserve"> the doctrine of the Trinity, one God in three persons; the ordering of the Church around the five patriarchates of Rome, Alexandria, Antioch, Constantinople, and Jerusalem; sacramental doctrine against Donatism, with the crucial rule that sacraments act ex opere operato, by the working of the rite itself, so that the unworthiness of the minister does not poison the well of grace; the doctrine of grace against Pelagius, who had reduced grace to a dispensable aid for sinners; the debates of biblical hermeneutics between grammatical and allegorical reading; the baptism of secular categories such as Logos into Christian service; the settled partnership of faith that bows before mystery and reason that gives the experience philosophical form; and the emergence of the two great schools, Alexandria, so devoted to the divinity of Christ that it tended to underplay his humanity, and Antioch, so firm on his full humanity that it tended to loosen the union with his divinity.</w:t>
      </w:r>
      <w:r>
        <w:rPr>
          <w:rStyle w:val="FootnoteReference"/>
        </w:rPr>
        <w:footnoteReference w:id="4"/>
      </w:r>
    </w:p>
    <w:p>
      <w:pPr>
        <w:pBdr>
          <w:left w:val="single" w:color="6A1B9A" w:sz="24"/>
        </w:pBdr>
        <w:shd w:fill="F3E5F5" w:val="clear"/>
        <w:spacing w:after="160" w:before="160"/>
        <w:ind w:left="240"/>
      </w:pPr>
      <w:r>
        <w:rPr>
          <w:b/>
          <w:bCs/>
          <w:color w:val="6A1B9A"/>
        </w:rPr>
        <w:t xml:space="preserve">A NOTE FOR THE CLASSROOM: </w:t>
      </w:r>
      <w:r>
        <w:t xml:space="preserve">Students sometimes learn Alexandria versus Antioch as heresy versus orthodoxy. The sounder historical judgement is that each school guarded a truth the other risked losing, and Chalcedon canonised neither school but the tension between them: one and the same Son, truly God and truly man, without confusion, without change, without division, without separation. The four adverbs are fences around a mystery, not a description that dissolves it. Orthodoxy, here as often, is the discipline of holding two truths that lesser minds force to a choice.</w:t>
      </w:r>
    </w:p>
    <w:p>
      <w:pPr>
        <w:pStyle w:val="Heading2"/>
        <w:spacing w:after="120" w:before="220"/>
      </w:pPr>
      <w:r>
        <w:t xml:space="preserve">9.4 Three Cultural Models: Greek, Latin, Syriac</w:t>
      </w:r>
    </w:p>
    <w:p>
      <w:pPr>
        <w:spacing w:after="120"/>
      </w:pPr>
      <w:r>
        <w:t xml:space="preserve">The one Gospel entered three great cultural worlds in the first centuries, and each produced a model of theology. The Greek model, centred at Alexandria, with Clement, Origen, and the Cappadocians, Basil of Caesarea, Gregory of Nazianzus, and Gregory of Nyssa, approached the Trinity from the three persons and confessed them one God. The Latin model, at Rome and Carthage, with Hippolytus and Tertullian, consolidated by Ambrose and Augustine, began from the one God and unfolded the Godhead as three persons. Two starting points, one dogma: the difference in itinerary teaches, once again, that method is not neutral and that legitimate plurality is older than any schism.</w:t>
      </w:r>
    </w:p>
    <w:p>
      <w:pPr>
        <w:spacing w:after="120"/>
      </w:pPr>
      <w:r>
        <w:t xml:space="preserve">The third model matters most to India. The Syriac model, whose master is Ephrem the Syrian (306-373), carried the Gospel in a Semitic idiom untouched by Greek philosophical categories. For Ephrem, God cannot be caged in definitions; poetry is the fitting medium of theology; symbols and metaphors carry revelation, which is written not in Scripture alone but across the whole universe; Christ alone opens the meaning of Scripture; and faith is the luminous eye by which the person gains true knowledge of God, an eye that must be accompanied by love, prayer, wonder, and awe.</w:t>
      </w:r>
      <w:r>
        <w:rPr>
          <w:rStyle w:val="FootnoteReference"/>
        </w:rPr>
        <w:footnoteReference w:id="5"/>
      </w:r>
      <w:r>
        <w:t xml:space="preserve"> This is the tradition that reached the Malabar coast with the East Syrian Church and formed the first Christians of India. When Unit 11 reaches the Thomas Christians, remember that their mother idiom was neither Greek nor Latin but this Semitic poetry of wonder.</w:t>
      </w:r>
    </w:p>
    <w:p>
      <w:pPr>
        <w:spacing w:after="120"/>
      </w:pPr>
      <w:r>
        <w:t xml:space="preserve">The first millennium closed with the wound of 1054. The presenting issue was a word: the Latin creed had added Filioque, and from the Son, to the procession of the Spirit, where the Greek verb ekporeuesthai names the origin of the Spirit from the Father in a principal and immediate manner, while the Latin procedere tolerates a mediated proceeding. Beneath the word lay centuries of estrangement in language, politics, and temperament, and in July 1054 mutual excommunications sealed the East-West schism. The lesson for the student is sober: theological vocabulary, handled without patience for the idiom of the other, can break the Body of Christ.</w:t>
      </w:r>
    </w:p>
    <w:p>
      <w:pPr>
        <w:pBdr>
          <w:left w:val="single" w:color="2E7D32" w:sz="24"/>
        </w:pBdr>
        <w:shd w:fill="E8F5E9" w:val="clear"/>
        <w:spacing w:after="160" w:before="160"/>
        <w:ind w:left="240"/>
      </w:pPr>
      <w:r>
        <w:rPr>
          <w:b/>
          <w:bCs/>
          <w:color w:val="2E7D32"/>
        </w:rPr>
        <w:t xml:space="preserve">INDIAN CONTEXT: </w:t>
      </w:r>
      <w:r>
        <w:t xml:space="preserve">India carries a living rebuke to the assumption that Christianity travelled only westward from Jerusalem. While Augustine wrote in Latin Africa, communities on the Kerala coast were already praying in Syriac; the theological East of the patristic map includes our own south-western shore. A Bengali seminarian should therefore refuse the mental map on which Church history means Europe with appendices. The luminous eye of Ephrem, the poetry-first theology of the Syriac world, is an Asian inheritance, and its instinct that God is sung before God is defined sits closer to the bhajan and the kirtan of our own soil than the syllogism ever did.</w:t>
      </w:r>
    </w:p>
    <w:p>
      <w:pPr>
        <w:pStyle w:val="Heading2"/>
        <w:spacing w:after="120" w:before="220"/>
      </w:pPr>
      <w:r>
        <w:t xml:space="preserve">9.5 Review Questions for Unit 9</w:t>
      </w:r>
    </w:p>
    <w:p>
      <w:pPr>
        <w:pStyle w:val="ListParagraph"/>
        <w:numPr>
          <w:ilvl w:val="0"/>
          <w:numId w:val="1"/>
        </w:numPr>
        <w:spacing w:after="80"/>
      </w:pPr>
      <w:r>
        <w:t xml:space="preserve">Explain the backward pattern of New Testament christology after Brown, and name four distinct christologies with their books.</w:t>
      </w:r>
    </w:p>
    <w:p>
      <w:pPr>
        <w:pStyle w:val="ListParagraph"/>
        <w:numPr>
          <w:ilvl w:val="0"/>
          <w:numId w:val="1"/>
        </w:numPr>
        <w:spacing w:after="80"/>
      </w:pPr>
      <w:r>
        <w:t xml:space="preserve">State the Chalcedonian definition with its four adverbs and show how it disciplines both Alexandria and Antioch.</w:t>
      </w:r>
    </w:p>
    <w:p>
      <w:pPr>
        <w:pStyle w:val="ListParagraph"/>
        <w:numPr>
          <w:ilvl w:val="0"/>
          <w:numId w:val="1"/>
        </w:numPr>
        <w:spacing w:after="80"/>
      </w:pPr>
      <w:r>
        <w:t xml:space="preserve">Contrast the Greek and Latin itineraries into the doctrine of the Trinity, and the Syriac conviction about poetry and definition.</w:t>
      </w:r>
    </w:p>
    <w:p>
      <w:pPr>
        <w:pStyle w:val="ListParagraph"/>
        <w:numPr>
          <w:ilvl w:val="0"/>
          <w:numId w:val="1"/>
        </w:numPr>
        <w:spacing w:after="80"/>
      </w:pPr>
      <w:r>
        <w:t xml:space="preserve">What does the Filioque episode teach about theological language across cultures?</w:t>
      </w:r>
    </w:p>
    <w:p>
      <w:pPr>
        <w:pStyle w:val="Heading1"/>
        <w:spacing w:after="160" w:before="280"/>
      </w:pPr>
      <w:r>
        <w:t xml:space="preserve">Unit 10. The Fire in the Schools: Scholastic, Kerygmatic, and Modern Theology, and the Kairos of Vatican II</w:t>
      </w:r>
    </w:p>
    <w:p>
      <w:pPr>
        <w:pStyle w:val="Heading2"/>
        <w:spacing w:after="120" w:before="220"/>
      </w:pPr>
      <w:r>
        <w:t xml:space="preserve">10.1 The Burning Question</w:t>
      </w:r>
    </w:p>
    <w:p>
      <w:pPr>
        <w:spacing w:after="120"/>
      </w:pPr>
      <w:r>
        <w:t xml:space="preserve">Moses at the bush asked a question and received a name; the medieval West built universities on the conviction that the questioning may continue. The burning question of this unit: what happens to the fire when it enters the classroom, the disputation, the system? The answer has glory in it and warning: system can carry the fire across centuries, and system can also entomb it, so that every few generations the Spirit raises reformers, mystics, and councils to crack the tomb open.</w:t>
      </w:r>
    </w:p>
    <w:p>
      <w:pPr>
        <w:pStyle w:val="Heading2"/>
        <w:spacing w:after="120" w:before="220"/>
      </w:pPr>
      <w:r>
        <w:t xml:space="preserve">10.2 The Scholastic Model</w:t>
      </w:r>
    </w:p>
    <w:p>
      <w:pPr>
        <w:spacing w:after="120"/>
      </w:pPr>
      <w:r>
        <w:t xml:space="preserve">Scholasticism unfolds in four seasons: pre-scholasticism (about 800-1050), early scholasticism (1050-1200), high scholasticism (1200-1350), and late scholasticism (1350-1500), producing the great systems of Thomism, Scotism, and Ockhamism. Anselm of Canterbury (1033-1109), father of scholasticism, set the programme with the watchword we met in Unit 1, faith seeking understanding: reason working within faith to reach insight into faith. Beside the schoolmen stood the mystics, and the pairing is deliberate: Bernard of Clairvaux (1091-1153) insisted that the deepest knowing is personal, knowing Jesus and him crucified. High scholasticism then produced its twin summits. Thomas Aquinas (1225-1274) built a synthesis on the primacy of the intellect over the will; Bonaventure (1221-1274) built one on the primacy of the will, of love, over the intellect. John Duns Scotus (1266-1308) offered a christocentric synthesis in which the Incarnation is the first intention of the God who is love, not an emergency measure after sin.</w:t>
      </w:r>
      <w:r>
        <w:rPr>
          <w:rStyle w:val="FootnoteReference"/>
        </w:rPr>
        <w:footnoteReference w:id="6"/>
      </w:r>
    </w:p>
    <w:p>
      <w:pPr>
        <w:spacing w:after="120"/>
      </w:pPr>
      <w:r>
        <w:t xml:space="preserve">Late scholasticism turned the corner toward modernity with William of Ockham (1285-1347) and his via moderna. The razor of Ockham cut away needless postulates: nothing ought to be posited without a reason given, unless it is self-evident, known by experience, or proved by the authority of Scripture. Ockham prised apart what high scholasticism had wedded: science became a matter of discovery, theology a matter of revelation and faith, since the ways of a radically free God are not open to unaided reason.</w:t>
      </w:r>
      <w:r>
        <w:rPr>
          <w:rStyle w:val="FootnoteReference"/>
        </w:rPr>
        <w:footnoteReference w:id="7"/>
      </w:r>
      <w:r>
        <w:t xml:space="preserve"> Within that horizon the scholastics bequeathed distinctions still current in your examinations: fides qua, the faith by which one believes, the act of trust in the revealing God; and fides quae, the faith which one believes, the content and truths accepted. Theology became the sacred science: knowledge held through faith in divine revelation, as against the natural sciences known by reason unaided.</w:t>
      </w:r>
    </w:p>
    <w:p>
      <w:pPr>
        <w:pBdr>
          <w:left w:val="single" w:color="1565C0" w:sz="24"/>
        </w:pBdr>
        <w:shd w:fill="E3F2FD" w:val="clear"/>
        <w:spacing w:after="160" w:before="160"/>
        <w:ind w:left="240"/>
      </w:pPr>
      <w:r>
        <w:rPr>
          <w:b/>
          <w:bCs/>
          <w:color w:val="1565C0"/>
        </w:rPr>
        <w:t xml:space="preserve">EXAMPLE: </w:t>
      </w:r>
      <w:r>
        <w:t xml:space="preserve">Watch a master mason and his apprentice at a Kolkata construction site. The master carries in his head both the load tables (system) and the feel of brick under the trowel (experience). Apprentices who learn only tables build textbook walls that crack in the first monsoon; those who learn only feel cannot span a doorway. Scholasticism at its best was the load table of faith with the trowel-feel of the mystics beside it, Aquinas and Bernard on one site. The decadent scholasticism that later generations mocked was tables without trowels; the anti-intellectualism that sometimes tempts seminarians is trowels without tables. The Church needs masons with both hands full.</w:t>
      </w:r>
    </w:p>
    <w:p>
      <w:pPr>
        <w:pStyle w:val="Heading2"/>
        <w:spacing w:after="120" w:before="220"/>
      </w:pPr>
      <w:r>
        <w:t xml:space="preserve">10.3 The Kerygmatic Model</w:t>
      </w:r>
    </w:p>
    <w:p>
      <w:pPr>
        <w:spacing w:after="120"/>
      </w:pPr>
      <w:r>
        <w:t xml:space="preserve">The sixteenth-century Reformation raised a protest that became a model of theology. Its banners were the three solas: sola Scriptura, sola fide, sola gratia. In the kerygmatic model, theology is the science that seeks to understand and to speak of the God who reveals himself in the Word and calls forth the response of faith; God gives himself as Father, brother, and friend, with humans, through humans, for humans. The human being stands before God as creature and debtor, unable to pay, upheld and saved by grace alone; within the Church none stands above another, and God, who proclaims himself in the Gospel, must be discovered anew in every generation.</w:t>
      </w:r>
      <w:r>
        <w:rPr>
          <w:rStyle w:val="FootnoteReference"/>
        </w:rPr>
        <w:footnoteReference w:id="8"/>
      </w:r>
      <w:r>
        <w:t xml:space="preserve"> Catholic theology, after four centuries of polemic, has learned to hear in the solas a set of accents on truths she also confesses: the primacy of Scripture among the monuments of Tradition, the priority of grace defined already against Pelagius, and justification as gift, on which Catholics and Lutherans signed a joint declaration in 1999.</w:t>
      </w:r>
    </w:p>
    <w:p>
      <w:pPr>
        <w:pStyle w:val="Heading2"/>
        <w:spacing w:after="120" w:before="220"/>
      </w:pPr>
      <w:r>
        <w:t xml:space="preserve">10.4 Modern Theologies and the Turn to the Subject</w:t>
      </w:r>
    </w:p>
    <w:p>
      <w:pPr>
        <w:spacing w:after="120"/>
      </w:pPr>
      <w:r>
        <w:t xml:space="preserve">Against Enlightenment rationalism, Leo XIII in 1879 called Catholic thought back to the scholastic masters, launching neo-scholasticism: no contradiction stands between philosophy and theology, and reason supports revelation. Yet the twentieth century pressed new questions, and Catholic philosophy answered with new instruments. Gabriel Marcel (1889-1973) distinguished problem from mystery: a problem stands before me to be solved from outside; a mystery involves me and cannot be grasped from a spectator seat. He likewise distinguished having from being: having is the attitude of domination; being unfolds in communion, for the locus of human existence is not the isolated I but the community, the We.</w:t>
      </w:r>
      <w:r>
        <w:rPr>
          <w:rStyle w:val="FootnoteReference"/>
        </w:rPr>
        <w:footnoteReference w:id="9"/>
      </w:r>
      <w:r>
        <w:t xml:space="preserve"> The distinctions are theological gold: God is never a problem, always a mystery, and the God who is love is approached by being-with, not by having.</w:t>
      </w:r>
    </w:p>
    <w:p>
      <w:pPr>
        <w:spacing w:after="120"/>
      </w:pPr>
      <w:r>
        <w:t xml:space="preserve">Karl Rahner completed the turn to the subject with his theological anthropology. The human being is the hearer of the Word, finite yet open upon an unlimited horizon, so fundamentally oriented toward God that Rahner names the orientation the supernatural existential. God and humanity become correlative terms: the object of theology is not God in the abstract but God as self-given to the human person, so that every tract, Trinity, christology, grace, eschatology, must be thought through in relation to the human person to whom God speaks.</w:t>
      </w:r>
      <w:r>
        <w:rPr>
          <w:rStyle w:val="FootnoteReference"/>
        </w:rPr>
        <w:footnoteReference w:id="10"/>
      </w:r>
      <w:r>
        <w:t xml:space="preserve"> Theology, in this idiom, is God seeking the human being, where are you? (Gen 3:9), and the human being seeking God, as a deer longs for flowing streams (Ps 42:1); and understanding reality carries the duty of changing it for the better, which drives the theologian to theologise from below.</w:t>
      </w:r>
    </w:p>
    <w:p>
      <w:pPr>
        <w:pStyle w:val="Heading2"/>
        <w:spacing w:after="120" w:before="220"/>
      </w:pPr>
      <w:r>
        <w:t xml:space="preserve">10.5 The Kairos of Vatican II and the Postconciliar Era</w:t>
      </w:r>
    </w:p>
    <w:p>
      <w:pPr>
        <w:spacing w:after="120"/>
      </w:pPr>
      <w:r>
        <w:t xml:space="preserve">The Second Vatican Council (1962-1965), the twenty-first ecumenical council, spanning the pontificates of John XXIII and Paul VI, was the kairos of the century: John XXIII opened the windows so the Church could breathe fresh air. Its twofold purpose was aggiornamento, updating, and riunione, the reunion of Christians; across four sessions it produced the sixteen documents you memorised in Unit 6, and renewed the understanding of Church, hierarchy, formation, world, religions, salvation, dialogue, ecumenism, culture, liturgy, the human family, and mission.</w:t>
      </w:r>
      <w:r>
        <w:rPr>
          <w:rStyle w:val="FootnoteReference"/>
        </w:rPr>
        <w:footnoteReference w:id="11"/>
      </w:r>
    </w:p>
    <w:p>
      <w:pPr>
        <w:spacing w:after="120"/>
      </w:pPr>
      <w:r>
        <w:t xml:space="preserve">The postconciliar era, now past its sixtieth year, lives from the Council and wrestles with its reception: questions of magisterial authority and infallibility, collegiality, synodality, lay participation, and the ministry of women; all complicated by clericalism, secularism, globalisation, the democratic and multi-religious world, academic freedom, and the new means of communication. The Church has faced grave scandals and has also seen, in Pope Francis, a papacy that leads on authority, ecology, the poor, and the marginalised, while contextual theologies rise across the continents. History has not ended; the relay continues through your own hands.</w:t>
      </w:r>
    </w:p>
    <w:p>
      <w:pPr>
        <w:pStyle w:val="Heading2"/>
        <w:spacing w:after="120" w:before="220"/>
      </w:pPr>
      <w:r>
        <w:t xml:space="preserve">10.6 Reading the Whole Race: The Models of Contextual Theology</w:t>
      </w:r>
    </w:p>
    <w:p>
      <w:pPr>
        <w:spacing w:after="120"/>
      </w:pPr>
      <w:r>
        <w:t xml:space="preserve">Stephen Bevans has given the standard map of how faith and culture meet, and with it the entire history just surveyed can be re-read. The translation model stays faithful to the inherited tradition and carries it across cultures, at times at cost to the receiving context. The anthropological model starts from the culture and the human person within it. The synthetic model seeks the balance of tradition and context. The transcendental model attends to the converting subject and the mysteries themselves, beyond narrower approaches; and to these are commonly added the praxis model, born of liberation theology, and the countercultural model.</w:t>
      </w:r>
      <w:r>
        <w:rPr>
          <w:rStyle w:val="FootnoteReference"/>
        </w:rPr>
        <w:footnoteReference w:id="12"/>
      </w:r>
      <w:r>
        <w:t xml:space="preserve"> Now re-read the centuries with the map in hand: the Logos theology of the Apologists was a synthetic wager; the Syriac hymns were anthropological genius; scholasticism systematised a translation; the kerygmatic model was countercultural protest; Rahner worked the transcendental seam; and Latin America opened the praxis road that Unit 12 will walk in India. One or another model predominates in every church tradition; the wise theologian knows which model she is using, and why.</w:t>
      </w:r>
    </w:p>
    <w:p>
      <w:pPr>
        <w:pBdr>
          <w:left w:val="single" w:color="6A1B9A" w:sz="24"/>
        </w:pBdr>
        <w:shd w:fill="F3E5F5" w:val="clear"/>
        <w:spacing w:after="160" w:before="160"/>
        <w:ind w:left="240"/>
      </w:pPr>
      <w:r>
        <w:rPr>
          <w:b/>
          <w:bCs/>
          <w:color w:val="6A1B9A"/>
        </w:rPr>
        <w:t xml:space="preserve">A NOTE FOR THE CLASSROOM: </w:t>
      </w:r>
      <w:r>
        <w:t xml:space="preserve">The models are lenses, not boxes. No serious theology fits one model purely, and Bevans himself warns against ranking them in the abstract: the right model depends on the context, the moment, and the question. Treating the models as a ladder of merit, with whichever model one favours on the top rung, repeats the very mistake the map was drawn to prevent.</w:t>
      </w:r>
    </w:p>
    <w:p>
      <w:pPr>
        <w:pBdr>
          <w:left w:val="single" w:color="2E7D32" w:sz="24"/>
        </w:pBdr>
        <w:shd w:fill="E8F5E9" w:val="clear"/>
        <w:spacing w:after="160" w:before="160"/>
        <w:ind w:left="240"/>
      </w:pPr>
      <w:r>
        <w:rPr>
          <w:b/>
          <w:bCs/>
          <w:color w:val="2E7D32"/>
        </w:rPr>
        <w:t xml:space="preserve">INDIAN CONTEXT: </w:t>
      </w:r>
      <w:r>
        <w:t xml:space="preserve">The centuries surveyed in this unit happened while India was theologising in her own idioms, and the two histories now belong to one Church. When you study Aquinas, remember that his Aristotle reached Paris through Arab commentators, a standing lesson that the handmaid philosophy has never been ethnically pure; when you study the Reformation solas, remember that the Bible in the mother tongue, their great instrument, reached Bengal through Serampore, twenty minutes from this seminary, where Carey and his companions printed the Scriptures in the languages of this land. The history of theology runs through our own neighbourhood.</w:t>
      </w:r>
    </w:p>
    <w:p>
      <w:pPr>
        <w:pStyle w:val="Heading2"/>
        <w:spacing w:after="120" w:before="220"/>
      </w:pPr>
      <w:r>
        <w:t xml:space="preserve">10.7 Review Questions for Unit 10</w:t>
      </w:r>
    </w:p>
    <w:p>
      <w:pPr>
        <w:pStyle w:val="ListParagraph"/>
        <w:numPr>
          <w:ilvl w:val="0"/>
          <w:numId w:val="1"/>
        </w:numPr>
        <w:spacing w:after="80"/>
      </w:pPr>
      <w:r>
        <w:t xml:space="preserve">Trace the four seasons of scholasticism and contrast the syntheses of Aquinas, Bonaventure, and Scotus on intellect, will, and Incarnation.</w:t>
      </w:r>
    </w:p>
    <w:p>
      <w:pPr>
        <w:pStyle w:val="ListParagraph"/>
        <w:numPr>
          <w:ilvl w:val="0"/>
          <w:numId w:val="1"/>
        </w:numPr>
        <w:spacing w:after="80"/>
      </w:pPr>
      <w:r>
        <w:t xml:space="preserve">Explain fides qua and fides quae, and show how the razor of Ockham re-drew the border between science and theology.</w:t>
      </w:r>
    </w:p>
    <w:p>
      <w:pPr>
        <w:pStyle w:val="ListParagraph"/>
        <w:numPr>
          <w:ilvl w:val="0"/>
          <w:numId w:val="1"/>
        </w:numPr>
        <w:spacing w:after="80"/>
      </w:pPr>
      <w:r>
        <w:t xml:space="preserve">State the three solas and identify, for each, the Catholic doctrine that answers or receives it.</w:t>
      </w:r>
    </w:p>
    <w:p>
      <w:pPr>
        <w:pStyle w:val="ListParagraph"/>
        <w:numPr>
          <w:ilvl w:val="0"/>
          <w:numId w:val="1"/>
        </w:numPr>
        <w:spacing w:after="80"/>
      </w:pPr>
      <w:r>
        <w:t xml:space="preserve">Define the supernatural existential and explain why Rahner calls theology theological anthropology.</w:t>
      </w:r>
    </w:p>
    <w:p>
      <w:pPr>
        <w:pStyle w:val="ListParagraph"/>
        <w:numPr>
          <w:ilvl w:val="0"/>
          <w:numId w:val="1"/>
        </w:numPr>
        <w:spacing w:after="80"/>
      </w:pPr>
      <w:r>
        <w:t xml:space="preserve">Using the models of Bevans, classify two historical theologies from this unit and one theology from contemporary India, giving reasons.</w:t>
      </w:r>
    </w:p>
    <w:p>
      <w:pPr>
        <w:pStyle w:val="Heading1"/>
        <w:spacing w:after="160" w:before="280"/>
      </w:pPr>
      <w:r>
        <w:t xml:space="preserve">Unit 11. The Fire Reaches India: The Christian Traditions of Our Own Land</w:t>
      </w:r>
    </w:p>
    <w:p>
      <w:pPr>
        <w:pStyle w:val="Heading2"/>
        <w:spacing w:after="120" w:before="220"/>
      </w:pPr>
      <w:r>
        <w:t xml:space="preserve">11.1 The Burning Question</w:t>
      </w:r>
    </w:p>
    <w:p>
      <w:pPr>
        <w:spacing w:after="120"/>
      </w:pPr>
      <w:r>
        <w:t xml:space="preserve">The bush burned at Horeb, in Asia. The strange fact of the standard textbooks is that the fire is narrated as though it travelled to Europe and only returned to Asia in colonial ships. The burning question of this unit: what are the actual channels by which the fire reached and spread through India, and what did each channel contribute to an Indian way of theologising? Four traditions answer: the Thomas tradition, the debated Bartholomew tradition, the Roman Catholic missions, and the Protestant missions, followed by the ferment they helped provoke, the Indian Renaissance, and the contemplative movement that sought God in the cave of the heart.</w:t>
      </w:r>
    </w:p>
    <w:p>
      <w:pPr>
        <w:pStyle w:val="Heading2"/>
        <w:spacing w:after="120" w:before="220"/>
      </w:pPr>
      <w:r>
        <w:t xml:space="preserve">11.2 The Thomas Tradition</w:t>
      </w:r>
    </w:p>
    <w:p>
      <w:pPr>
        <w:spacing w:after="120"/>
      </w:pPr>
      <w:r>
        <w:t xml:space="preserve">The tradition of the Thomas Christians holds that the apostle Thomas landed at Kodungallur near Kochi in 52 CE and was martyred at Mylapore in 72 CE. The community he left has been described in a famous triad: Hindu in culture, Christian in faith, and Syrian in worship.</w:t>
      </w:r>
      <w:r>
        <w:rPr>
          <w:rStyle w:val="FootnoteReference"/>
        </w:rPr>
        <w:footnoteReference w:id="13"/>
      </w:r>
      <w:r>
        <w:t xml:space="preserve"> Linked to the East Syrian Church, their christology carried traits of the Antiochene and Nestorian accent, which produced among them, positively, a warm devotion to the humanity of Jesus. History has since divided the Thomas Christians into eight Oriental Churches on Indian soil: the Syro-Malabar Church and the Syro-Malankara Church in Catholic communion; the Syrian Orthodox Jacobite Church; the Malankara Orthodox Syrian Church; the Mar Thoma Church; the Chaldean Syrian Church; the Independent Syrian Church of Malabar, called the Thozhiyur Church; and the Thomas Evangelical Church of India. Eight branches of one ancient trunk: a sobering local image of both the wealth and the wounds of Christian history.</w:t>
      </w:r>
    </w:p>
    <w:p>
      <w:pPr>
        <w:spacing w:after="120"/>
      </w:pPr>
      <w:r>
        <w:t xml:space="preserve">A second, thinner tradition holds that the apostle Bartholomew came to Kalyan near present Mumbai in the first century; Pantaenus, visiting India in the second century, reportedly found Christians using the Gospel of Matthew in Hebrew, said to have been left by Bartholomew. The evidence is debated among historians, but the tradition testifies at least to this: memory in western India, as in the south, reaches back long before any European sail.</w:t>
      </w:r>
    </w:p>
    <w:p>
      <w:pPr>
        <w:pStyle w:val="Heading2"/>
        <w:spacing w:after="120" w:before="220"/>
      </w:pPr>
      <w:r>
        <w:t xml:space="preserve">11.3 The Roman Catholic and Protestant Traditions</w:t>
      </w:r>
    </w:p>
    <w:p>
      <w:pPr>
        <w:spacing w:after="120"/>
      </w:pPr>
      <w:r>
        <w:t xml:space="preserve">The Roman Catholic tradition in its organised form dates to the sixteenth century: Franciscans from 1518, the first bishopric at Goa in 1534, and Francis Xavier on the Fishery Coast at Manappad from 1542, followed by Henry Henriques, the Jesuit who mastered Tamil and wrote in it, and the conversion movements of the Pearl Fishery and Coromandel coasts, Goa, Bassein, and Bombay. The boldest experiment came with Roberto de Nobili in Madurai, who took sannyasa, learned Sanskrit and the Vedas, lived as the high-caste ascetics lived, and wrote Christian theology in Indian literary forms, puranas, slokas, commentaries, and refutations; the Kristapurana of Thomas Stephens in Marathi belongs to the same courageous family of texts.</w:t>
      </w:r>
      <w:r>
        <w:rPr>
          <w:rStyle w:val="FootnoteReference"/>
        </w:rPr>
        <w:footnoteReference w:id="14"/>
      </w:r>
    </w:p>
    <w:p>
      <w:pPr>
        <w:spacing w:after="120"/>
      </w:pPr>
      <w:r>
        <w:t xml:space="preserve">The Protestant tradition transformed the linguistic map of Indian Christianity. William Carey and the Serampore mission translated the Bible, in whole or part, into more than thirty languages, and the printing press they established disseminated Christian literature across the subcontinent; the floodgate thus opened proved decisive for Indian Christian thinking.</w:t>
      </w:r>
      <w:r>
        <w:rPr>
          <w:rStyle w:val="FootnoteReference"/>
        </w:rPr>
        <w:footnoteReference w:id="15"/>
      </w:r>
      <w:r>
        <w:t xml:space="preserve"> In the early twentieth century J. N. Farquhar proposed his fulfilment thesis, reading Hinduism as a preparation for the Gospel and Christ as the crown of Hinduism, a position later criticised but historically weighty as the first sustained Protestant attempt to relate the two faiths positively. The ecumenical harvest followed: the Church of South India in 1947 and the Church of North India in 1970 united Anglicans, Presbyterians, Congregationalists, Methodists, and others in organic union, decades before comparable unions elsewhere.</w:t>
      </w:r>
    </w:p>
    <w:p>
      <w:pPr>
        <w:pBdr>
          <w:left w:val="single" w:color="1565C0" w:sz="24"/>
        </w:pBdr>
        <w:shd w:fill="E3F2FD" w:val="clear"/>
        <w:spacing w:after="160" w:before="160"/>
        <w:ind w:left="240"/>
      </w:pPr>
      <w:r>
        <w:rPr>
          <w:b/>
          <w:bCs/>
          <w:color w:val="1565C0"/>
        </w:rPr>
        <w:t xml:space="preserve">EXAMPLE: </w:t>
      </w:r>
      <w:r>
        <w:t xml:space="preserve">Stand on the Hooghly riverbank at Serampore and look across the water toward Barrackpore. Within one gaze you hold Danish colonial churches, the Carey press that gave the Bengali Bible, the ghats of a living Hinduism, and, a few kilometres downstream, the basilica of Bandel built by the Portuguese in 1599. Four centuries of the traditions of this unit are visible from one bend of one Bengali river. Church history, for a student of this seminary, is not an imported subject; it is local geography.</w:t>
      </w:r>
    </w:p>
    <w:p>
      <w:pPr>
        <w:pStyle w:val="Heading2"/>
        <w:spacing w:after="120" w:before="220"/>
      </w:pPr>
      <w:r>
        <w:t xml:space="preserve">11.4 The Indian Renaissance: Christ Among the Reformers</w:t>
      </w:r>
    </w:p>
    <w:p>
      <w:pPr>
        <w:spacing w:after="120"/>
      </w:pPr>
      <w:r>
        <w:t xml:space="preserve">The nineteenth century saw educated Hindus, above all Raja Ram Mohan Roy and Keshab Chandra Sen, mount a moral challenge to sati, child marriage, polygamy, caste, untouchability, and temple prostitution, drawing acknowledged inspiration from the ideals of Christ; the Brahmo Samaj of Roy and the New Dispensation of Sen bear the marks of that influence.</w:t>
      </w:r>
      <w:r>
        <w:rPr>
          <w:rStyle w:val="FootnoteReference"/>
        </w:rPr>
        <w:footnoteReference w:id="16"/>
      </w:r>
      <w:r>
        <w:t xml:space="preserve"> From this ferment a line of pioneers gave direction to Indian Christian theology, working on Hindu philosophical foundations with Christian conviction: Brahmabandhab Upadhyay with his self-description as Hindu-Christian and his Vedantic theology of Saccidananda; Sadhu Sundar Singh, Vengal Chakkarai, and A. J. Appasamy developing the bhakti way; and, in the generation of prophecy, M. M. Thomas, Stanley Samartha, George Soares-Prabhu, and Sebastian Kappen summoning the Church to a prophetic presence in Indian society. Mark the striking fact: several of the founding voices of Indian Christian theology were Bengalis, and the acknowledged Christ of the Indian Renaissance walked first through Calcutta.</w:t>
      </w:r>
    </w:p>
    <w:p>
      <w:pPr>
        <w:pStyle w:val="Heading2"/>
        <w:spacing w:after="120" w:before="220"/>
      </w:pPr>
      <w:r>
        <w:t xml:space="preserve">11.5 The Contemplative Model: The Cave of the Heart</w:t>
      </w:r>
    </w:p>
    <w:p>
      <w:pPr>
        <w:spacing w:after="120"/>
      </w:pPr>
      <w:r>
        <w:t xml:space="preserve">From the 1940s, first among Protestants and then among Catholics, deliberate attempts were made to relate Christian faith to the Indian traditions of sannyasa and the ashram. The Catholic ashram movement traces itself to three pioneers associated with Saccidananda Ashram at Shantivanam, Thannirpalli: Jules Monchanin (Swami Parama Arubi Anandam), Henri Le Saux (Swami Abhishiktananda), and Bede Griffiths (Swami Dayananda).</w:t>
      </w:r>
      <w:r>
        <w:rPr>
          <w:rStyle w:val="FootnoteReference"/>
        </w:rPr>
        <w:footnoteReference w:id="17"/>
      </w:r>
      <w:r>
        <w:t xml:space="preserve"> Their theological wager can be stated through the classical threefold path to moksha. Along the jnana marga, God is discovered in the cave of the heart as Saccidananda, in a oneness where the Upanishadic seeker says aham brahmasmi and the Christian speaks of koinonia, the communion of the Trinity. Along the bhakti marga, God is met as personal, and the bhakta abides in the Lord as branch in vine (Jn 15). Along the karma marga, God is found on the Indian road, in the labour of building human community, vasudhaiva kutumbakam, the world one family. The contemplative model thus opened a Hindu-Christian mystical dialogue at the deepest level, the level of the doctrine and experience of God.</w:t>
      </w:r>
    </w:p>
    <w:p>
      <w:pPr>
        <w:pBdr>
          <w:left w:val="single" w:color="6A1B9A" w:sz="24"/>
        </w:pBdr>
        <w:shd w:fill="F3E5F5" w:val="clear"/>
        <w:spacing w:after="160" w:before="160"/>
        <w:ind w:left="240"/>
      </w:pPr>
      <w:r>
        <w:rPr>
          <w:b/>
          <w:bCs/>
          <w:color w:val="6A1B9A"/>
        </w:rPr>
        <w:t xml:space="preserve">A NOTE FOR THE CLASSROOM: </w:t>
      </w:r>
      <w:r>
        <w:t xml:space="preserve">Scholarship is genuinely divided on the contemplative model. Its admirers see in Abhishiktananda the most daring Christian entry into advaita ever attempted; its critics, including voices from Dalit theology, observe that the ashram movement conversed almost exclusively with Sanskritic, high-caste Hinduism and left the religion of the villages, and the suffering of the outcaste, outside the hermitage gate. Both judgements carry weight. Unit 12 presents the theologies that arose precisely to answer that critique, and the mature student will refuse to choose between depth of contemplation and solidarity with the broken, since the Gospel demands both.</w:t>
      </w:r>
    </w:p>
    <w:p>
      <w:pPr>
        <w:pBdr>
          <w:left w:val="single" w:color="2E7D32" w:sz="24"/>
        </w:pBdr>
        <w:shd w:fill="E8F5E9" w:val="clear"/>
        <w:spacing w:after="160" w:before="160"/>
        <w:ind w:left="240"/>
      </w:pPr>
      <w:r>
        <w:rPr>
          <w:b/>
          <w:bCs/>
          <w:color w:val="2E7D32"/>
        </w:rPr>
        <w:t xml:space="preserve">INDIAN CONTEXT: </w:t>
      </w:r>
      <w:r>
        <w:t xml:space="preserve">Contextualising in India means facing the double record of this unit honestly. The traditions brought the Scriptures, the sacraments, schools, presses, and the moral ferment that fed the Renaissance; the same centuries carried colonial entanglement, Portuguese coercion at Goa, denominational division exported into a land that had one ancient Church, and, most painfully, the reproduction of caste inside Christian communities. An Indian introduction to theology tells both truths without blinking, for the credibility of the Gospel in India today depends on Christians who neither disown their ancestors nor whitewash them.</w:t>
      </w:r>
    </w:p>
    <w:p>
      <w:pPr>
        <w:pStyle w:val="Heading2"/>
        <w:spacing w:after="120" w:before="220"/>
      </w:pPr>
      <w:r>
        <w:t xml:space="preserve">11.6 Review Questions for Unit 11</w:t>
      </w:r>
    </w:p>
    <w:p>
      <w:pPr>
        <w:pStyle w:val="ListParagraph"/>
        <w:numPr>
          <w:ilvl w:val="0"/>
          <w:numId w:val="1"/>
        </w:numPr>
        <w:spacing w:after="80"/>
      </w:pPr>
      <w:r>
        <w:t xml:space="preserve">Explain the triad Hindu in culture, Christian in faith, Syrian in worship, and name the eight Churches of the Thomas Christians.</w:t>
      </w:r>
    </w:p>
    <w:p>
      <w:pPr>
        <w:pStyle w:val="ListParagraph"/>
        <w:numPr>
          <w:ilvl w:val="0"/>
          <w:numId w:val="1"/>
        </w:numPr>
        <w:spacing w:after="80"/>
      </w:pPr>
      <w:r>
        <w:t xml:space="preserve">Assess the experiment of de Nobili: what did he risk, what did he achieve, and what would you question?</w:t>
      </w:r>
    </w:p>
    <w:p>
      <w:pPr>
        <w:pStyle w:val="ListParagraph"/>
        <w:numPr>
          <w:ilvl w:val="0"/>
          <w:numId w:val="1"/>
        </w:numPr>
        <w:spacing w:after="80"/>
      </w:pPr>
      <w:r>
        <w:t xml:space="preserve">What did Serampore contribute to Indian Christian thinking, and why does Boyd treat the vernacular Bible as a turning point?</w:t>
      </w:r>
    </w:p>
    <w:p>
      <w:pPr>
        <w:pStyle w:val="ListParagraph"/>
        <w:numPr>
          <w:ilvl w:val="0"/>
          <w:numId w:val="1"/>
        </w:numPr>
        <w:spacing w:after="80"/>
      </w:pPr>
      <w:r>
        <w:t xml:space="preserve">Present the threefold marga reading of the contemplative model and one serious criticism made against the ashram movement.</w:t>
      </w:r>
    </w:p>
    <w:p>
      <w:pPr>
        <w:pStyle w:val="Heading1"/>
        <w:spacing w:after="160" w:before="280"/>
      </w:pPr>
      <w:r>
        <w:t xml:space="preserve">Unit 12. The Bush in the Bustee: Theologising from the Underside of India</w:t>
      </w:r>
    </w:p>
    <w:p>
      <w:pPr>
        <w:pStyle w:val="Heading2"/>
        <w:spacing w:after="120" w:before="220"/>
      </w:pPr>
      <w:r>
        <w:t xml:space="preserve">12.1 The Burning Question</w:t>
      </w:r>
    </w:p>
    <w:p>
      <w:pPr>
        <w:spacing w:after="120"/>
      </w:pPr>
      <w:r>
        <w:t xml:space="preserve">The voice from the bush did not say, I have seen the philosophy of Egypt. It said, I have seen the affliction of my people (Ex 3:7). The burning question of the final unit is the question that Indian theology put to itself in the last third of the twentieth century: from where should Indian theologising begin, from the summit of the Vedantic tradition or from the underside of Indian society? The shift in method has been described with two homely images: from the view of the bird, dogmatic, Upanishadic, Sanskritic, advaitic, church-oriented, a helicopter theology surveying from above, to the view of the worm, a bullock-cart theology travelling at the pace of the Dalit, the tribal, the woman, the marginalised, toward a people-oriented Church. The remainder of these notes walks the bullock-cart road.</w:t>
      </w:r>
    </w:p>
    <w:p>
      <w:pPr>
        <w:pStyle w:val="Heading2"/>
        <w:spacing w:after="120" w:before="220"/>
      </w:pPr>
      <w:r>
        <w:t xml:space="preserve">12.2 Indian Liberation Theology and the Subaltern Turn</w:t>
      </w:r>
    </w:p>
    <w:p>
      <w:pPr>
        <w:spacing w:after="120"/>
      </w:pPr>
      <w:r>
        <w:t xml:space="preserve">Liberation theology, born in Latin America in the 1960s, discerns the action of God in history and collaborates with God in transforming the world; following the prophetic mission of Christ, peoples must be liberated from every force of oppression, and poverty, misery, injustice, and all that dehumanises must be challenged and eliminated; the special option of the Church for the poor and marginalised admits no compromise.</w:t>
      </w:r>
      <w:r>
        <w:rPr>
          <w:rStyle w:val="FootnoteReference"/>
        </w:rPr>
        <w:footnoteReference w:id="18"/>
      </w:r>
      <w:r>
        <w:t xml:space="preserve"> Its God is the God of history, of Exodus 3, of the Nazareth manifesto (Lk 4:16-21), of the judgement of the nations (Mt 25:31-46). In India the movement took a distinctive name: subaltern theology. A subaltern is any person or group held in inferior rank by race, class, caste, gender, ethnicity, or religion; subaltern theology is praxis-oriented theological reflection arising from the context of the broken people, the cry of the subaltern groups expressing faith in the midst of agony, drawn from their own myths, stories, poems, folklore, and rituals. At its centre stands the crucified Jesus, who gives meaning to a wounded life; and the risen Lord gives hope in hopelessness, hope of new life and a new world. Suffering and hope, woven together, are the very texture of subaltern theology, and its principal Indian streams are Dalit theology, tribal theology, and feminist theology.</w:t>
      </w:r>
    </w:p>
    <w:p>
      <w:pPr>
        <w:pStyle w:val="Heading2"/>
        <w:spacing w:after="120" w:before="220"/>
      </w:pPr>
      <w:r>
        <w:t xml:space="preserve">12.3 Dalit Theology</w:t>
      </w:r>
    </w:p>
    <w:p>
      <w:pPr>
        <w:spacing w:after="120"/>
      </w:pPr>
      <w:r>
        <w:t xml:space="preserve">The word Dalit joins the Sanskrit root dal and the Hebrew dal: broken, crushed, torn apart, and the Hebrew resonance is itself a sermon, for the dal are the poor whom the prophets defend (Am 2:7; 8:6). The people so named have been called untouchable, outcaste, avarna, panchama, and worse; the caste order that crushed them claims scriptural warrant in the Purusha Sukta (Rig Veda 10.90.12) and the codes of Manu. Jyotirao Phule (1827-1890) first used Dalit as a name of dignity, and B. R. Ambedkar became its icon, leading the movement to constitutional rights and, in 1956, to Buddhism.</w:t>
      </w:r>
      <w:r>
        <w:rPr>
          <w:rStyle w:val="FootnoteReference"/>
        </w:rPr>
        <w:footnoteReference w:id="19"/>
      </w:r>
      <w:r>
        <w:t xml:space="preserve"> Dalit theology arose in the 1970s, in the season of the Dalit Panther movement, the reception of the Council, and world liberation theology, as the reflection of Dalit Christians upon the Gospel in the light of their own circumstances, a theology from below. Nirmal distinguished three grammatical cases that every examination will ask of you: a theology about the Dalits, reflection on Christian responsibility toward the depressed classes; a theology for the Dalits, addressed to them; and, decisively, a theology from and by the Dalits, whose subject is the Dalit believer, as in Nirmal himself.</w:t>
      </w:r>
    </w:p>
    <w:p>
      <w:pPr>
        <w:spacing w:after="120"/>
      </w:pPr>
      <w:r>
        <w:t xml:space="preserve">Why a Dalit theology at all? Because human dignity is at stake in a land the Dalit also calls my country; because every human being is made in the image and likeness of God (Gen 1:26-27); because the Our Father of the Kingdom makes brothers and sisters of those whom caste separates; because the table fellowship of Jesus with outcastes was his most subversive sacrament; because the pathos of Dalit existence recognises itself in the Suffering Servant (Is 53) and in the God-forsakenness of the cross (Mk 15:34), so that Nirmal could speak of Jesus as himself Dalit, broken with the broken; and because the resurrection turns that recognition into hope and mission.</w:t>
      </w:r>
    </w:p>
    <w:p>
      <w:pPr>
        <w:pBdr>
          <w:left w:val="single" w:color="1565C0" w:sz="24"/>
        </w:pBdr>
        <w:shd w:fill="E3F2FD" w:val="clear"/>
        <w:spacing w:after="160" w:before="160"/>
        <w:ind w:left="240"/>
      </w:pPr>
      <w:r>
        <w:rPr>
          <w:b/>
          <w:bCs/>
          <w:color w:val="1565C0"/>
        </w:rPr>
        <w:t xml:space="preserve">EXAMPLE: </w:t>
      </w:r>
      <w:r>
        <w:t xml:space="preserve">A Dalit Christian family in a Bengal border village is served tea at the roadside stall in a separate cup kept for their lane. On Sunday the same family kneels at a communion rail and receives from one chalice. Between the two cups, the separate cup of the stall and the common cup of the Eucharist, runs the entire argument of Dalit theology. Either the common cup judges the separate cup and sends the congregation out to abolish it, or the separate cup infiltrates the sanctuary and the Eucharist becomes a lie politely celebrated. There is no third arrangement. That is what it means to say that orthopraxis is the test of orthodoxy.</w:t>
      </w:r>
    </w:p>
    <w:p>
      <w:pPr>
        <w:pStyle w:val="Heading2"/>
        <w:spacing w:after="120" w:before="220"/>
      </w:pPr>
      <w:r>
        <w:t xml:space="preserve">12.4 Tribal Theology</w:t>
      </w:r>
    </w:p>
    <w:p>
      <w:pPr>
        <w:spacing w:after="120"/>
      </w:pPr>
      <w:r>
        <w:t xml:space="preserve">The Adivasis, the original indigenous peoples recognised as Scheduled Tribes under Article 342, number around a hundred million, some eight percent of India. Owners of the land first, they have become its most exploited inhabitants: a history of defeat and dispossession, sharpened since liberalisation, as dams, mines, and memoranda of understanding displace communities from their homelands, too often without compensation; the heart of India, as the phrase goes, is under attack.</w:t>
      </w:r>
      <w:r>
        <w:rPr>
          <w:rStyle w:val="FootnoteReference"/>
        </w:rPr>
        <w:footnoteReference w:id="20"/>
      </w:r>
      <w:r>
        <w:t xml:space="preserve"> The centre of tribal life and therefore of tribal theology is land: jal, jangal, jamin, water, forest, land. Land belongs to the community, not the individual; land is mother, feeding, bearing, sustaining; and here the tribal vision meets Exodus 3 at its own depth, remove your sandals, for the ground is holy. Scripture concurs at length: the earth is the gift of the provider God (Ps 104; 135; 148); the land cannot be sold in perpetuity, for the land is mine, says the Lord (Lev 25:23); sabbath and jubilee return the land to God and the poor (Lev 25:10); the whole creation groans for the original blessing of Genesis 1-2 (Rom 8:22); and the human vocation is to till and keep, steward and not owner (Gen 2:15).</w:t>
      </w:r>
    </w:p>
    <w:p>
      <w:pPr>
        <w:spacing w:after="120"/>
      </w:pPr>
      <w:r>
        <w:t xml:space="preserve">Tribal theology, then, expresses Christian faith in the socio-cultural, traditional, and liturgical thought patterns of peoples longing for the liberation of reality, humans, and creation together. Its idiom is the dance, the drum, the community, the song, earth, water, fire, air, and sky; its christology has imagined Jesus as the drummer who directs the community in a cosmic dance; its sacramental instinct reads creation itself as sacrament of the ever-present Spirit. Three assertions mark it off within the subaltern family: its liberation is integral, social, economic, cultural, political, and ecological at once; its salvation is neither merely personal nor merely social but for all creation, in harmony and integrity; and its method is not the scientific treatise but the experiential, life-relevant, down-to-earth narrative.</w:t>
      </w:r>
    </w:p>
    <w:p>
      <w:pPr>
        <w:pStyle w:val="Heading2"/>
        <w:spacing w:after="120" w:before="220"/>
      </w:pPr>
      <w:r>
        <w:t xml:space="preserve">12.5 Feminist Theology</w:t>
      </w:r>
    </w:p>
    <w:p>
      <w:pPr>
        <w:spacing w:after="120"/>
      </w:pPr>
      <w:r>
        <w:t xml:space="preserve">In February 2020 the newspapers of Gujarat reported that more than sixty college girls in Bhuj were forced to remove their undergarments so that officials could check who was menstruating, since hostel rules barred menstruating girls from eating with the others; arrests followed.</w:t>
      </w:r>
      <w:r>
        <w:rPr>
          <w:rStyle w:val="FootnoteReference"/>
        </w:rPr>
        <w:footnoteReference w:id="21"/>
      </w:r>
      <w:r>
        <w:t xml:space="preserve"> The incident, recent and Indian, states the case for feminist theology more sharply than any syllabus. Theologies of past and present have expressed male concerns and male domination, with the tragic consequence of the subordination, exploitation, and oppression of women; in patriarchal societies women are handled as commodities. Feminist theology is the corrective: the experience, insight, and intuition of women are indispensable for an authentic theology, and theology must be penetrated by the warmth and the sharing, caring genius of women if it is to be balanced and integral. In India the case is compounded, for violence against women runs from female foeticide and infanticide through discrimination in food, education, and health care, to dowry deaths, sexual violence, and the denial of equal rights, and the burden falls heaviest on Dalit, tribal, and backward-caste women, thrice marginalised by gender, caste, and class.</w:t>
      </w:r>
    </w:p>
    <w:p>
      <w:pPr>
        <w:pStyle w:val="Heading2"/>
        <w:spacing w:after="120" w:before="220"/>
      </w:pPr>
      <w:r>
        <w:t xml:space="preserve">12.6 Theology of Dialogue, and the Convergence of the Ways</w:t>
      </w:r>
    </w:p>
    <w:p>
      <w:pPr>
        <w:spacing w:after="120"/>
      </w:pPr>
      <w:r>
        <w:t xml:space="preserve">The final stream is the theology of dialogue, and its foundations are by now familiar friends from all three parts of these notes. God is beyond the religions: the Vedic ekam sat vipra bahudha vadanti and the unnameable I AM WHO I AM of Horeb converge in forbidding every claim to have pocketed God. The Christian God is Trinity, communion, harmony, existence for the other. The universal salvific will (1 Tim 2:4-5) gives all peoples one origin and one destiny. The Incarnation is the dialogue of life of God in solidarity, from the baptism among sinners to the death that gathers all. The Kingdom preached by Jesus breaks barriers for freedom, fellowship, and justice, with the Our Father and the open table as its signs. The Spirit blows where she wills (Jn 3:8), present and active everywhere. And the Church is sacrament of that Kingdom, praying with her Lord that they may all be one (Jn 17:21).</w:t>
      </w:r>
    </w:p>
    <w:p>
      <w:pPr>
        <w:spacing w:after="120"/>
      </w:pPr>
      <w:r>
        <w:t xml:space="preserve">Indian theology therefore lives a pluralism with convergence: theologising from culture, philosophy, and religion (the jnana and bhakti roads of Unit 11) and theologising from the socio-economic and political context (the karma road of this unit) converge as three margas toward one Reality; and the three Catholic Churches of India, each rooted in her own tradition, labour to become ever more authentically Indian and truly Christian, in collaboration, networking, and dialogue at the levels of doctrine, spirituality, life, and justice.</w:t>
      </w:r>
    </w:p>
    <w:p>
      <w:pPr>
        <w:pBdr>
          <w:left w:val="single" w:color="6A1B9A" w:sz="24"/>
        </w:pBdr>
        <w:shd w:fill="F3E5F5" w:val="clear"/>
        <w:spacing w:after="160" w:before="160"/>
        <w:ind w:left="240"/>
      </w:pPr>
      <w:r>
        <w:rPr>
          <w:b/>
          <w:bCs/>
          <w:color w:val="6A1B9A"/>
        </w:rPr>
        <w:t xml:space="preserve">A NOTE FOR THE CLASSROOM: </w:t>
      </w:r>
      <w:r>
        <w:t xml:space="preserve">The pioneers of Indian theology largely followed the translation model, carrying a finished theology into Indian dress. The judgement of the present Indian theological community, reflected in these notes, is that the vast majority of Indian people, Sudra, Dalit, and tribal, are among the most humiliated of the earth, and that the biblical message locates itself with them; hence the preferred model is not translation but an incarnational-inculturation model in solidarity with the anawim, ordered to justice. The student should know that this is a judgement, argued and contestable, and should learn to argue it rather than merely repeat it: the strongest position is the one whose alternatives you can state fairly.</w:t>
      </w:r>
    </w:p>
    <w:p>
      <w:pPr>
        <w:pBdr>
          <w:left w:val="single" w:color="2E7D32" w:sz="24"/>
        </w:pBdr>
        <w:shd w:fill="E8F5E9" w:val="clear"/>
        <w:spacing w:after="160" w:before="160"/>
        <w:ind w:left="240"/>
      </w:pPr>
      <w:r>
        <w:rPr>
          <w:b/>
          <w:bCs/>
          <w:color w:val="2E7D32"/>
        </w:rPr>
        <w:t xml:space="preserve">INDIAN CONTEXT: </w:t>
      </w:r>
      <w:r>
        <w:t xml:space="preserve">The guidelines for contextualising in India can now be gathered in four sentences. Know the pluralistic context, Hinduism as an ocean of religions, cultures, philosophies, caste, karma and punarjanma, gods and festivals and pilgrimage. Know the condition of women, and of Dalit and tribal women worst of all. Begin from the humiliated majority, with the incarnational solidarity just described. And face the violence of religious fundamentalism and the pressure upon minorities, which in Bengal wears its own local faces, without surrendering either courage or charity. These four sentences are the syllabus of a lifetime of ministry.</w:t>
      </w:r>
    </w:p>
    <w:p>
      <w:pPr>
        <w:pStyle w:val="Heading2"/>
        <w:spacing w:after="120" w:before="220"/>
      </w:pPr>
      <w:r>
        <w:t xml:space="preserve">12.7 Review Questions for Unit 12</w:t>
      </w:r>
    </w:p>
    <w:p>
      <w:pPr>
        <w:pStyle w:val="ListParagraph"/>
        <w:numPr>
          <w:ilvl w:val="0"/>
          <w:numId w:val="1"/>
        </w:numPr>
        <w:spacing w:after="80"/>
      </w:pPr>
      <w:r>
        <w:t xml:space="preserve">Contrast helicopter theology and bullock-cart theology as methods, and defend the shift with Ex 3:7.</w:t>
      </w:r>
    </w:p>
    <w:p>
      <w:pPr>
        <w:pStyle w:val="ListParagraph"/>
        <w:numPr>
          <w:ilvl w:val="0"/>
          <w:numId w:val="1"/>
        </w:numPr>
        <w:spacing w:after="80"/>
      </w:pPr>
      <w:r>
        <w:t xml:space="preserve">State the three grammatical cases of Dalit theology after Nirmal, and explain why the third is decisive.</w:t>
      </w:r>
    </w:p>
    <w:p>
      <w:pPr>
        <w:pStyle w:val="ListParagraph"/>
        <w:numPr>
          <w:ilvl w:val="0"/>
          <w:numId w:val="1"/>
        </w:numPr>
        <w:spacing w:after="80"/>
      </w:pPr>
      <w:r>
        <w:t xml:space="preserve">Why is land the central concept of tribal theology, and how do Leviticus 25 and Exodus 3:5 ground it?</w:t>
      </w:r>
    </w:p>
    <w:p>
      <w:pPr>
        <w:pStyle w:val="ListParagraph"/>
        <w:numPr>
          <w:ilvl w:val="0"/>
          <w:numId w:val="1"/>
        </w:numPr>
        <w:spacing w:after="80"/>
      </w:pPr>
      <w:r>
        <w:t xml:space="preserve">Present the case for feminist theology in India using one concrete recent event, and identify the triple marginalisation of Dalit and tribal women.</w:t>
      </w:r>
    </w:p>
    <w:p>
      <w:pPr>
        <w:pStyle w:val="ListParagraph"/>
        <w:numPr>
          <w:ilvl w:val="0"/>
          <w:numId w:val="1"/>
        </w:numPr>
        <w:spacing w:after="80"/>
      </w:pPr>
      <w:r>
        <w:t xml:space="preserve">Show how the theology of dialogue draws on Horeb (Ex 3:14), the Trinity, and Jn 17:21, and how the three margas converge.</w:t>
      </w:r>
    </w:p>
    <w:p>
      <w:pPr>
        <w:pStyle w:val="Heading1"/>
        <w:spacing w:after="160" w:before="280"/>
      </w:pPr>
      <w:r>
        <w:t xml:space="preserve">Closing the Whole Course: Every Common Bush</w:t>
      </w:r>
    </w:p>
    <w:p>
      <w:pPr>
        <w:spacing w:after="120"/>
      </w:pPr>
      <w:r>
        <w:t xml:space="preserve">Elizabeth Barrett Browning, a poet of the nineteenth century, compressed the entire course into four lines: earth is crammed with heaven, and every common bush afire with God; but only he who sees takes off his shoes; the rest sit round it and pluck blackberries.</w:t>
      </w:r>
      <w:r>
        <w:rPr>
          <w:rStyle w:val="FootnoteReference"/>
        </w:rPr>
        <w:footnoteReference w:id="22"/>
      </w:r>
      <w:r>
        <w:t xml:space="preserve"> That is the choice these three parts have set before you. The universe declares the glory of God; creation is gift and therefore sign of love; Jesus reads the abounding grace of God in the birds of the air and the lilies of the field (Mt 6:26-29); and Scripture presents an ecological spirituality of the world as sacrament (Gen 1-2; Wis 13:1-5; Ps 8; Ps 104; Acts 17).</w:t>
      </w:r>
    </w:p>
    <w:p>
      <w:pPr>
        <w:spacing w:after="120"/>
      </w:pPr>
      <w:r>
        <w:t xml:space="preserve">Grace occurs when creation sings the praise of the divine; and grace occurs when the human person laughs and loves, weeps and struggles with the downtrodden, takes a stand for truth, gives without counting, hopes against hope, carries the daily cross cheerfully, resists the selfishness and wickedness of sin, and fights for justice in solidarity with the abandoned. That sentence is not a peroration; it is a job description. The bush is burning in the bustee behind the seminary wall, in the brick kiln, in the classroom, in the chapel, in the drying river. Three parts of an introduction to theology have had a single aim: that when you pass it, you will not pluck blackberries. You will turn aside. You will take off your shoes. And when the voice says, Come, I will send you, you will have learned, from Moses and from every generation after him, the only answer the course was ever teaching: Here am I.</w:t>
      </w:r>
    </w:p>
    <w:p>
      <w:pPr>
        <w:pStyle w:val="Heading1"/>
        <w:spacing w:after="160" w:before="280"/>
      </w:pPr>
      <w:r>
        <w:t xml:space="preserve">Bibliography</w:t>
      </w:r>
    </w:p>
    <w:p>
      <w:pPr>
        <w:spacing w:after="100"/>
        <w:ind w:left="720" w:hanging="720"/>
      </w:pPr>
      <w:r>
        <w:t xml:space="preserve">Abhishiktananda. Saccidananda: A Christian Approach to Advaitic Experience. Rev. ed. Delhi: ISPCK, 1984.</w:t>
      </w:r>
    </w:p>
    <w:p>
      <w:pPr>
        <w:spacing w:after="100"/>
        <w:ind w:left="720" w:hanging="720"/>
      </w:pPr>
      <w:r>
        <w:t xml:space="preserve">Alberigo, Giuseppe. A Brief History of Vatican II. Translated by Matthew Sherry. Maryknoll, NY: Orbis Books, 2006.</w:t>
      </w:r>
    </w:p>
    <w:p>
      <w:pPr>
        <w:spacing w:after="100"/>
        <w:ind w:left="720" w:hanging="720"/>
      </w:pPr>
      <w:r>
        <w:t xml:space="preserve">Barth, Karl. Church Dogmatics I/1. Translated by G. W. Bromiley. Edinburgh: T. and T. Clark, 1975.</w:t>
      </w:r>
    </w:p>
    <w:p>
      <w:pPr>
        <w:spacing w:after="100"/>
        <w:ind w:left="720" w:hanging="720"/>
      </w:pPr>
      <w:r>
        <w:t xml:space="preserve">Bevans, Stephen B. Models of Contextual Theology. Rev. ed. Maryknoll, NY: Orbis Books, 2002.</w:t>
      </w:r>
    </w:p>
    <w:p>
      <w:pPr>
        <w:spacing w:after="100"/>
        <w:ind w:left="720" w:hanging="720"/>
      </w:pPr>
      <w:r>
        <w:t xml:space="preserve">Boyd, Robin H. S. An Introduction to Indian Christian Theology. Rev. ed. Delhi: ISPCK, 1975.</w:t>
      </w:r>
    </w:p>
    <w:p>
      <w:pPr>
        <w:spacing w:after="100"/>
        <w:ind w:left="720" w:hanging="720"/>
      </w:pPr>
      <w:r>
        <w:t xml:space="preserve">Brock, Sebastian. The Luminous Eye: The Spiritual World Vision of Saint Ephrem. Rev. ed. Kalamazoo, MI: Cistercian Publications, 1992.</w:t>
      </w:r>
    </w:p>
    <w:p>
      <w:pPr>
        <w:spacing w:after="100"/>
        <w:ind w:left="720" w:hanging="720"/>
      </w:pPr>
      <w:r>
        <w:t xml:space="preserve">Browning, Elizabeth Barrett. Aurora Leigh. London: Chapman and Hall, 1857.</w:t>
      </w:r>
    </w:p>
    <w:p>
      <w:pPr>
        <w:spacing w:after="100"/>
        <w:ind w:left="720" w:hanging="720"/>
      </w:pPr>
      <w:r>
        <w:t xml:space="preserve">Brown, Raymond E., Joseph A. Fitzmyer, and Roland E. Murphy, eds. The New Jerome Biblical Commentary. Englewood Cliffs, NJ: Prentice Hall, 1990.</w:t>
      </w:r>
    </w:p>
    <w:p>
      <w:pPr>
        <w:spacing w:after="100"/>
        <w:ind w:left="720" w:hanging="720"/>
      </w:pPr>
      <w:r>
        <w:t xml:space="preserve">Copleston, Frederick. A History of Philosophy. Vols. 2-3. New York: Doubleday, 1993.</w:t>
      </w:r>
    </w:p>
    <w:p>
      <w:pPr>
        <w:spacing w:after="100"/>
        <w:ind w:left="720" w:hanging="720"/>
      </w:pPr>
      <w:r>
        <w:t xml:space="preserve">Griffiths, Bede. The Marriage of East and West. London: Collins, 1982.</w:t>
      </w:r>
    </w:p>
    <w:p>
      <w:pPr>
        <w:spacing w:after="100"/>
        <w:ind w:left="720" w:hanging="720"/>
      </w:pPr>
      <w:r>
        <w:t xml:space="preserve">Gutierrez, Gustavo. A Theology of Liberation: History, Politics, and Salvation. Rev. ed. Translated by Caridad Inda and John Eagleson. Maryknoll, NY: Orbis Books, 1988.</w:t>
      </w:r>
    </w:p>
    <w:p>
      <w:pPr>
        <w:spacing w:after="100"/>
        <w:ind w:left="720" w:hanging="720"/>
      </w:pPr>
      <w:r>
        <w:t xml:space="preserve">Haight, Roger. Jesus Symbol of God. Maryknoll, NY: Orbis Books, 1999.</w:t>
      </w:r>
    </w:p>
    <w:p>
      <w:pPr>
        <w:spacing w:after="100"/>
        <w:ind w:left="720" w:hanging="720"/>
      </w:pPr>
      <w:r>
        <w:t xml:space="preserve">Kelly, J. N. D. Early Christian Doctrines. 5th ed. London: A. and C. Black, 1977.</w:t>
      </w:r>
    </w:p>
    <w:p>
      <w:pPr>
        <w:spacing w:after="100"/>
        <w:ind w:left="720" w:hanging="720"/>
      </w:pPr>
      <w:r>
        <w:t xml:space="preserve">Longchar, A. Wati. The Traditional Tribal Worldview and Modernity. Jorhat: Eastern Theological College, 1995.</w:t>
      </w:r>
    </w:p>
    <w:p>
      <w:pPr>
        <w:spacing w:after="100"/>
        <w:ind w:left="720" w:hanging="720"/>
      </w:pPr>
      <w:r>
        <w:t xml:space="preserve">Marcel, Gabriel. Being and Having. Translated by Katharine Farrer. London: Dacre Press, 1949.</w:t>
      </w:r>
    </w:p>
    <w:p>
      <w:pPr>
        <w:spacing w:after="100"/>
        <w:ind w:left="720" w:hanging="720"/>
      </w:pPr>
      <w:r>
        <w:t xml:space="preserve">Massey, James. Dalits in India: Religion as a Source of Bondage or Liberation. Delhi: Manohar, 1995.</w:t>
      </w:r>
    </w:p>
    <w:p>
      <w:pPr>
        <w:spacing w:after="100"/>
        <w:ind w:left="720" w:hanging="720"/>
      </w:pPr>
      <w:r>
        <w:t xml:space="preserve">Minz, Nirmal. Rise Up, My People, and Claim the Promise: The Gospel among the Tribes of India. Delhi: ISPCK, 1997.</w:t>
      </w:r>
    </w:p>
    <w:p>
      <w:pPr>
        <w:spacing w:after="100"/>
        <w:ind w:left="720" w:hanging="720"/>
      </w:pPr>
      <w:r>
        <w:t xml:space="preserve">Mundadan, A. Mathias. History of Christianity in India. Vol. 1, From the Beginning up to the Middle of the Sixteenth Century. Bangalore: Church History Association of India, 1984.</w:t>
      </w:r>
    </w:p>
    <w:p>
      <w:pPr>
        <w:spacing w:after="100"/>
        <w:ind w:left="720" w:hanging="720"/>
      </w:pPr>
      <w:r>
        <w:t xml:space="preserve">Neuner, Josef, and Jacques Dupuis, eds. The Christian Faith in the Doctrinal Documents of the Catholic Church. 7th ed. Bangalore: Theological Publications in India, 2001.</w:t>
      </w:r>
    </w:p>
    <w:p>
      <w:pPr>
        <w:spacing w:after="100"/>
        <w:ind w:left="720" w:hanging="720"/>
      </w:pPr>
      <w:r>
        <w:t xml:space="preserve">Nirmal, Arvind P., ed. A Reader in Dalit Theology. Madras: Gurukul Lutheran Theological College, 1990.</w:t>
      </w:r>
    </w:p>
    <w:p>
      <w:pPr>
        <w:spacing w:after="100"/>
        <w:ind w:left="720" w:hanging="720"/>
      </w:pPr>
      <w:r>
        <w:t xml:space="preserve">Rahner, Karl. Foundations of Christian Faith: An Introduction to the Idea of Christianity. Translated by William V. Dych. New York: Crossroad, 1978.</w:t>
      </w:r>
    </w:p>
    <w:p>
      <w:pPr>
        <w:spacing w:after="100"/>
        <w:ind w:left="720" w:hanging="720"/>
      </w:pPr>
      <w:r>
        <w:t xml:space="preserve">Thomas, M. M. The Acknowledged Christ of the Indian Renaissance. London: SCM Press, 1969.</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sz w:val="20"/>
          <w:szCs w:val="20"/>
        </w:rPr>
        <w:t xml:space="preserve">Raymond E. Brown, “Aspects of New Testament Thought: Christology,” in The New Jerome Biblical Commentary, ed. Raymond E. Brown, Joseph A. Fitzmyer, and Roland E. Murphy (Englewood Cliffs, NJ: Prentice Hall, 1990), 1354-1359.</w:t>
      </w:r>
    </w:p>
  </w:footnote>
  <w:footnote w:id="2">
    <w:p>
      <w:r>
        <w:rPr>
          <w:rStyle w:val="FootnoteReference"/>
        </w:rPr>
        <w:footnoteRef/>
      </w:r>
      <w:r>
        <w:rPr>
          <w:sz w:val="20"/>
          <w:szCs w:val="20"/>
        </w:rPr>
        <w:t xml:space="preserve">Roger Haight, Jesus Symbol of God (Maryknoll, NY: Orbis Books, 1999), 155-178, 211-212.</w:t>
      </w:r>
    </w:p>
  </w:footnote>
  <w:footnote w:id="3">
    <w:p>
      <w:r>
        <w:rPr>
          <w:rStyle w:val="FootnoteReference"/>
        </w:rPr>
        <w:footnoteRef/>
      </w:r>
      <w:r>
        <w:rPr>
          <w:sz w:val="20"/>
          <w:szCs w:val="20"/>
        </w:rPr>
        <w:t xml:space="preserve">Council of Chalcedon (451), Definition of Faith, in Josef Neuner and Jacques Dupuis, eds., The Christian Faith in the Doctrinal Documents of the Catholic Church, 7th ed. (Bangalore: Theological Publications in India, 2001), nos. 613-615.</w:t>
      </w:r>
    </w:p>
  </w:footnote>
  <w:footnote w:id="4">
    <w:p>
      <w:r>
        <w:rPr>
          <w:rStyle w:val="FootnoteReference"/>
        </w:rPr>
        <w:footnoteRef/>
      </w:r>
      <w:r>
        <w:rPr>
          <w:sz w:val="20"/>
          <w:szCs w:val="20"/>
        </w:rPr>
        <w:t xml:space="preserve">For the whole development, see J. N. D. Kelly, Early Christian Doctrines, 5th ed. (London: A. and C. Black, 1977), 223-343.</w:t>
      </w:r>
    </w:p>
  </w:footnote>
  <w:footnote w:id="5">
    <w:p>
      <w:r>
        <w:rPr>
          <w:rStyle w:val="FootnoteReference"/>
        </w:rPr>
        <w:footnoteRef/>
      </w:r>
      <w:r>
        <w:rPr>
          <w:sz w:val="20"/>
          <w:szCs w:val="20"/>
        </w:rPr>
        <w:t xml:space="preserve">Sebastian Brock, The Luminous Eye: The Spiritual World Vision of Saint Ephrem, rev. ed. (Kalamazoo, MI: Cistercian Publications, 1992), 23-45.</w:t>
      </w:r>
    </w:p>
  </w:footnote>
  <w:footnote w:id="6">
    <w:p>
      <w:r>
        <w:rPr>
          <w:rStyle w:val="FootnoteReference"/>
        </w:rPr>
        <w:footnoteRef/>
      </w:r>
      <w:r>
        <w:rPr>
          <w:sz w:val="20"/>
          <w:szCs w:val="20"/>
        </w:rPr>
        <w:t xml:space="preserve">For the scholastic development, see Frederick Copleston, A History of Philosophy, vols. 2-3 (New York: Doubleday, 1993).</w:t>
      </w:r>
    </w:p>
  </w:footnote>
  <w:footnote w:id="7">
    <w:p>
      <w:r>
        <w:rPr>
          <w:rStyle w:val="FootnoteReference"/>
        </w:rPr>
        <w:footnoteRef/>
      </w:r>
      <w:r>
        <w:rPr>
          <w:sz w:val="20"/>
          <w:szCs w:val="20"/>
        </w:rPr>
        <w:t xml:space="preserve">William of Ockham, Ordinatio I, dist. 30, q. 1; see Copleston, A History of Philosophy, vol. 3, 49-121.</w:t>
      </w:r>
    </w:p>
  </w:footnote>
  <w:footnote w:id="8">
    <w:p>
      <w:r>
        <w:rPr>
          <w:rStyle w:val="FootnoteReference"/>
        </w:rPr>
        <w:footnoteRef/>
      </w:r>
      <w:r>
        <w:rPr>
          <w:sz w:val="20"/>
          <w:szCs w:val="20"/>
        </w:rPr>
        <w:t xml:space="preserve">For the kerygmatic model in its greatest modern exponent, see Karl Barth, Church Dogmatics I/1, trans. G. W. Bromiley (Edinburgh: T. and T. Clark, 1975), 3-24.</w:t>
      </w:r>
    </w:p>
  </w:footnote>
  <w:footnote w:id="9">
    <w:p>
      <w:r>
        <w:rPr>
          <w:rStyle w:val="FootnoteReference"/>
        </w:rPr>
        <w:footnoteRef/>
      </w:r>
      <w:r>
        <w:rPr>
          <w:sz w:val="20"/>
          <w:szCs w:val="20"/>
        </w:rPr>
        <w:t xml:space="preserve">Gabriel Marcel, Being and Having, trans. Katharine Farrer (London: Dacre Press, 1949), 100-121.</w:t>
      </w:r>
    </w:p>
  </w:footnote>
  <w:footnote w:id="10">
    <w:p>
      <w:r>
        <w:rPr>
          <w:rStyle w:val="FootnoteReference"/>
        </w:rPr>
        <w:footnoteRef/>
      </w:r>
      <w:r>
        <w:rPr>
          <w:sz w:val="20"/>
          <w:szCs w:val="20"/>
        </w:rPr>
        <w:t xml:space="preserve">Karl Rahner, Foundations of Christian Faith: An Introduction to the Idea of Christianity, trans. William V. Dych (New York: Crossroad, 1978), 24-43, 126-133.</w:t>
      </w:r>
    </w:p>
  </w:footnote>
  <w:footnote w:id="11">
    <w:p>
      <w:r>
        <w:rPr>
          <w:rStyle w:val="FootnoteReference"/>
        </w:rPr>
        <w:footnoteRef/>
      </w:r>
      <w:r>
        <w:rPr>
          <w:sz w:val="20"/>
          <w:szCs w:val="20"/>
        </w:rPr>
        <w:t xml:space="preserve">For a standard history, see Giuseppe Alberigo, A Brief History of Vatican II, trans. Matthew Sherry (Maryknoll, NY: Orbis Books, 2006).</w:t>
      </w:r>
    </w:p>
  </w:footnote>
  <w:footnote w:id="12">
    <w:p>
      <w:r>
        <w:rPr>
          <w:rStyle w:val="FootnoteReference"/>
        </w:rPr>
        <w:footnoteRef/>
      </w:r>
      <w:r>
        <w:rPr>
          <w:sz w:val="20"/>
          <w:szCs w:val="20"/>
        </w:rPr>
        <w:t xml:space="preserve">Stephen B. Bevans, Models of Contextual Theology, rev. ed. (Maryknoll, NY: Orbis Books, 2002), 37-137.</w:t>
      </w:r>
    </w:p>
  </w:footnote>
  <w:footnote w:id="13">
    <w:p>
      <w:r>
        <w:rPr>
          <w:rStyle w:val="FootnoteReference"/>
        </w:rPr>
        <w:footnoteRef/>
      </w:r>
      <w:r>
        <w:rPr>
          <w:sz w:val="20"/>
          <w:szCs w:val="20"/>
        </w:rPr>
        <w:t xml:space="preserve">A. Mathias Mundadan, History of Christianity in India, vol. 1, From the Beginning up to the Middle of the Sixteenth Century (Bangalore: Church History Association of India, 1984), 21-66. The triad is attributed to Placid J. Podipara.</w:t>
      </w:r>
    </w:p>
  </w:footnote>
  <w:footnote w:id="14">
    <w:p>
      <w:r>
        <w:rPr>
          <w:rStyle w:val="FootnoteReference"/>
        </w:rPr>
        <w:footnoteRef/>
      </w:r>
      <w:r>
        <w:rPr>
          <w:sz w:val="20"/>
          <w:szCs w:val="20"/>
        </w:rPr>
        <w:t xml:space="preserve">On de Nobili, see Robin H. S. Boyd, An Introduction to Indian Christian Theology, rev. ed. (Delhi: ISPCK, 1975), 11-14.</w:t>
      </w:r>
    </w:p>
  </w:footnote>
  <w:footnote w:id="15">
    <w:p>
      <w:r>
        <w:rPr>
          <w:rStyle w:val="FootnoteReference"/>
        </w:rPr>
        <w:footnoteRef/>
      </w:r>
      <w:r>
        <w:rPr>
          <w:sz w:val="20"/>
          <w:szCs w:val="20"/>
        </w:rPr>
        <w:t xml:space="preserve">Boyd, An Introduction to Indian Christian Theology, 15-18.</w:t>
      </w:r>
    </w:p>
  </w:footnote>
  <w:footnote w:id="16">
    <w:p>
      <w:r>
        <w:rPr>
          <w:rStyle w:val="FootnoteReference"/>
        </w:rPr>
        <w:footnoteRef/>
      </w:r>
      <w:r>
        <w:rPr>
          <w:sz w:val="20"/>
          <w:szCs w:val="20"/>
        </w:rPr>
        <w:t xml:space="preserve">Boyd, An Introduction to Indian Christian Theology, 19-39; M. M. Thomas, The Acknowledged Christ of the Indian Renaissance (London: SCM Press, 1969), 1-38.</w:t>
      </w:r>
    </w:p>
  </w:footnote>
  <w:footnote w:id="17">
    <w:p>
      <w:r>
        <w:rPr>
          <w:rStyle w:val="FootnoteReference"/>
        </w:rPr>
        <w:footnoteRef/>
      </w:r>
      <w:r>
        <w:rPr>
          <w:sz w:val="20"/>
          <w:szCs w:val="20"/>
        </w:rPr>
        <w:t xml:space="preserve">On the pioneers of Shantivanam, see Abhishiktananda, Saccidananda: A Christian Approach to Advaitic Experience, rev. ed. (Delhi: ISPCK, 1984); and Bede Griffiths, The Marriage of East and West (London: Collins, 1982).</w:t>
      </w:r>
    </w:p>
  </w:footnote>
  <w:footnote w:id="18">
    <w:p>
      <w:r>
        <w:rPr>
          <w:rStyle w:val="FootnoteReference"/>
        </w:rPr>
        <w:footnoteRef/>
      </w:r>
      <w:r>
        <w:rPr>
          <w:sz w:val="20"/>
          <w:szCs w:val="20"/>
        </w:rPr>
        <w:t xml:space="preserve">Gustavo Gutierrez, A Theology of Liberation: History, Politics, and Salvation, rev. ed., trans. Caridad Inda and John Eagleson (Maryknoll, NY: Orbis Books, 1988), 83-105.</w:t>
      </w:r>
    </w:p>
  </w:footnote>
  <w:footnote w:id="19">
    <w:p>
      <w:r>
        <w:rPr>
          <w:rStyle w:val="FootnoteReference"/>
        </w:rPr>
        <w:footnoteRef/>
      </w:r>
      <w:r>
        <w:rPr>
          <w:sz w:val="20"/>
          <w:szCs w:val="20"/>
        </w:rPr>
        <w:t xml:space="preserve">On the emergence and grounds of Dalit theology, see Arvind P. Nirmal, “Towards a Christian Dalit Theology,” in A Reader in Dalit Theology, ed. Arvind P. Nirmal (Madras: Gurukul Lutheran Theological College, 1990), 53-70; and James Massey, Dalits in India: Religion as a Source of Bondage or Liberation (Delhi: Manohar, 1995), 15-42.</w:t>
      </w:r>
    </w:p>
  </w:footnote>
  <w:footnote w:id="20">
    <w:p>
      <w:r>
        <w:rPr>
          <w:rStyle w:val="FootnoteReference"/>
        </w:rPr>
        <w:footnoteRef/>
      </w:r>
      <w:r>
        <w:rPr>
          <w:sz w:val="20"/>
          <w:szCs w:val="20"/>
        </w:rPr>
        <w:t xml:space="preserve">For the foundations of an Indian tribal theology, see A. Wati Longchar, The Traditional Tribal Worldview and Modernity (Jorhat: Eastern Theological College, 1995); and the survey in Nirmal Minz, Rise Up, My People, and Claim the Promise: The Gospel among the Tribes of India (Delhi: ISPCK, 1997), 1-30.</w:t>
      </w:r>
    </w:p>
  </w:footnote>
  <w:footnote w:id="21">
    <w:p>
      <w:r>
        <w:rPr>
          <w:rStyle w:val="FootnoteReference"/>
        </w:rPr>
        <w:footnoteRef/>
      </w:r>
      <w:r>
        <w:rPr>
          <w:sz w:val="20"/>
          <w:szCs w:val="20"/>
        </w:rPr>
        <w:t xml:space="preserve">“Girls Made to Strip to Prove They Were Not Menstruating,” Ahmedabad Mirror, 18 February 2020.</w:t>
      </w:r>
    </w:p>
  </w:footnote>
  <w:footnote w:id="22">
    <w:p>
      <w:r>
        <w:rPr>
          <w:rStyle w:val="FootnoteReference"/>
        </w:rPr>
        <w:footnoteRef/>
      </w:r>
      <w:r>
        <w:rPr>
          <w:sz w:val="20"/>
          <w:szCs w:val="20"/>
        </w:rPr>
        <w:t xml:space="preserve">Elizabeth Barrett Browning, Aurora Leigh (London: Chapman and Hall, 1857), book 7.</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sz w:val="32"/>
      <w:szCs w:val="32"/>
    </w:rPr>
  </w:style>
  <w:style w:type="paragraph" w:styleId="Heading2">
    <w:name w:val="Heading 2"/>
    <w:basedOn w:val="Normal"/>
    <w:next w:val="Normal"/>
    <w:qFormat/>
    <w:rPr>
      <w:rFonts w:ascii="Times New Roman" w:cs="Times New Roman" w:eastAsia="Times New Roman" w:hAnsi="Times New Roman"/>
      <w:b/>
      <w:bCs/>
      <w:sz w:val="28"/>
      <w:szCs w:val="28"/>
    </w:rPr>
  </w:style>
  <w:style w:type="paragraph" w:styleId="Heading3">
    <w:name w:val="Heading 3"/>
    <w:basedOn w:val="Normal"/>
    <w:next w:val="Normal"/>
    <w:qFormat/>
    <w:rPr>
      <w:rFonts w:ascii="Times New Roman" w:cs="Times New Roman" w:eastAsia="Times New Roman" w:hAnsi="Times New Roman"/>
      <w:b/>
      <w:bCs/>
      <w:sz w:val="26"/>
      <w:szCs w:val="2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2026-07-07T17:14:48.065Z</dcterms:created>
  <dcterms:modified xsi:type="dcterms:W3CDTF">2026-07-07T17:14:48.065Z</dcterms:modified>
</cp:coreProperties>
</file>

<file path=docProps/custom.xml><?xml version="1.0" encoding="utf-8"?>
<Properties xmlns="http://schemas.openxmlformats.org/officeDocument/2006/custom-properties" xmlns:vt="http://schemas.openxmlformats.org/officeDocument/2006/docPropsVTypes"/>
</file>