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80"/>
      </w:pPr>
      <w:r>
        <w:t xml:space="preserve">Chapter 1: What Is Theology?</w:t>
      </w:r>
    </w:p>
    <w:p>
      <w:pPr>
        <w:spacing w:after="120"/>
      </w:pPr>
      <w:r>
        <w:t xml:space="preserve">Class Notes on Kuncheria Pathil, CMI, and Dominic Veliath, SDB, </w:t>
      </w:r>
      <w:r>
        <w:rPr>
          <w:i/>
          <w:iCs/>
        </w:rPr>
        <w:t xml:space="preserve">An Introduction to Theology</w:t>
      </w:r>
      <w:r>
        <w:t xml:space="preserve">, Indian Theological Series.</w:t>
      </w:r>
      <w:r>
        <w:rPr>
          <w:rStyle w:val="FootnoteReference"/>
        </w:rPr>
        <w:footnoteReference w:id="1"/>
      </w:r>
    </w:p>
    <w:p>
      <w:pPr>
        <w:pBdr>
          <w:left w:val="single" w:color="6A1B9A" w:sz="24"/>
        </w:pBdr>
        <w:shd w:fill="F3E5F5" w:val="clear"/>
        <w:spacing w:after="160" w:before="160"/>
        <w:ind w:left="240"/>
      </w:pPr>
      <w:r>
        <w:rPr>
          <w:b/>
          <w:bCs/>
          <w:color w:val="6A1B9A"/>
        </w:rPr>
        <w:t xml:space="preserve">A NOTE FOR THE CLASSROOM: </w:t>
      </w:r>
      <w:r>
        <w:t xml:space="preserve">The publisher, place and year of this edition could not be verified from the scanned text supplied to NotebookLM. Please confirm the full imprint against your own copy before the citation is used in a formal paper.</w:t>
      </w:r>
    </w:p>
    <w:p>
      <w:pPr>
        <w:spacing w:after="120"/>
      </w:pPr>
      <w:r>
        <w:t xml:space="preserve">Leitmotif for this Unit: the Burning Bush (Ex 3:2-6). The Chapter itself names the Burning Bush as the paradigm of God-Experience, “the experience of something very strange like the Burning Bush.”</w:t>
      </w:r>
      <w:r>
        <w:rPr>
          <w:rStyle w:val="FootnoteReference"/>
        </w:rPr>
        <w:footnoteReference w:id="2"/>
      </w:r>
      <w:r>
        <w:t xml:space="preserve"> We let it open the God-Question, return at the Hinge into the Definitions, and seal the Close.</w:t>
      </w:r>
    </w:p>
    <w:p>
      <w:pPr>
        <w:spacing w:after="120" w:before="120"/>
        <w:ind w:left="720" w:right="720"/>
      </w:pPr>
      <w:r>
        <w:t xml:space="preserve">Is the Bush that burns and is not consumed still burning at the start of every Theological Enquiry?</w:t>
      </w:r>
    </w:p>
    <w:p>
      <w:pPr>
        <w:pStyle w:val="Heading2"/>
        <w:spacing w:after="120" w:before="220"/>
      </w:pPr>
      <w:r>
        <w:t xml:space="preserve">A. The God-Question</w:t>
      </w:r>
    </w:p>
    <w:p>
      <w:pPr>
        <w:spacing w:after="120"/>
      </w:pPr>
      <w:r>
        <w:t xml:space="preserve">Theology = Theos + Logos = Discourse on God, God-Talk. But in a World of Secularism, Agnosticism and Atheism, the Existence of God cannot be taken for granted. The Chapter sets out Three Positions.</w:t>
      </w:r>
    </w:p>
    <w:p>
      <w:pPr>
        <w:pStyle w:val="Heading3"/>
        <w:spacing w:after="100" w:before="180"/>
      </w:pPr>
      <w:r>
        <w:t xml:space="preserve">A. Atheistic View</w:t>
      </w:r>
    </w:p>
    <w:p>
      <w:pPr>
        <w:spacing w:after="120"/>
      </w:pPr>
      <w:r>
        <w:t xml:space="preserve">Denies the Existence of God. Named Atheists include Albert Camus, Karl Marx, Friedrich Nietzsche and Sigmund Freud.</w:t>
      </w:r>
      <w:r>
        <w:rPr>
          <w:rStyle w:val="FootnoteReference"/>
        </w:rPr>
        <w:footnoteReference w:id="3"/>
      </w:r>
      <w:r>
        <w:t xml:space="preserve"> Reasons vary: the Problem of Evil and unmerited Suffering; God as a Projection of the Human Mind used by the Powerful to subdue the Poor; for Freud, God as a Creation of the Human Psyche answering the Need for Love, Safety and Security. Note that some Religious Traditions are themselves non-theistic, for example Charvaka within Hinduism and Theravada Buddhism.</w:t>
      </w:r>
    </w:p>
    <w:p>
      <w:pPr>
        <w:pStyle w:val="Heading3"/>
        <w:spacing w:after="100" w:before="180"/>
      </w:pPr>
      <w:r>
        <w:t xml:space="preserve">B. Agnostic View</w:t>
      </w:r>
    </w:p>
    <w:p>
      <w:pPr>
        <w:spacing w:after="120"/>
      </w:pPr>
      <w:r>
        <w:t xml:space="preserve">Simply does not know whether God exists. For the Agnostic, the Question is not, after all, an important one.</w:t>
      </w:r>
    </w:p>
    <w:p>
      <w:pPr>
        <w:pStyle w:val="Heading3"/>
        <w:spacing w:after="100" w:before="180"/>
      </w:pPr>
      <w:r>
        <w:t xml:space="preserve">C. Theistic View</w:t>
      </w:r>
    </w:p>
    <w:p>
      <w:pPr>
        <w:spacing w:after="120"/>
      </w:pPr>
      <w:r>
        <w:t xml:space="preserve">God is the Ultimate Reality, the Ultimate Ground of Being, the Ultimate Horizon of Meaning, conceived personally in Christianity, Judaism and Islam, or impersonally as Absolute Power, Supreme Mind or Actus Purus. This is the Position the Chapter endorses, carrying the Magisterial Citation: “Our Holy Mother the Church holds and teaches that God ... can be known with certainty from the created world by the natural light of human reason.”</w:t>
      </w:r>
      <w:r>
        <w:rPr>
          <w:rStyle w:val="FootnoteReference"/>
        </w:rPr>
        <w:footnoteReference w:id="4"/>
      </w:r>
      <w:r>
        <w:t xml:space="preserve"> Man has this Capacity because he is created “in the Image of God” (Gen 1:27).</w:t>
      </w:r>
      <w:r>
        <w:rPr>
          <w:rStyle w:val="FootnoteReference"/>
        </w:rPr>
        <w:footnoteReference w:id="5"/>
      </w:r>
    </w:p>
    <w:p>
      <w:pPr>
        <w:pBdr>
          <w:left w:val="single" w:color="1565C0" w:sz="24"/>
        </w:pBdr>
        <w:shd w:fill="E3F2FD" w:val="clear"/>
        <w:spacing w:after="160" w:before="160"/>
        <w:ind w:left="240"/>
      </w:pPr>
      <w:r>
        <w:rPr>
          <w:b/>
          <w:bCs/>
          <w:color w:val="1565C0"/>
        </w:rPr>
        <w:t xml:space="preserve">EXAMPLE: </w:t>
      </w:r>
      <w:r>
        <w:t xml:space="preserve">Aquinas gave Five Cosmological Proofs, moving from Effect to Cause to the Prime Mover. But, as Cardinal Newman observed, such Proofs are abstract and philosophical and offer only a “convergence of diverse probabilities,” not Coercive Certainty. The Believer finds the Five Ways illuminating; the Unbeliever remains unmoved. Reason opens a Path to God; it does not compel the Traveller to walk it.</w:t>
      </w:r>
      <w:r>
        <w:rPr>
          <w:rStyle w:val="FootnoteReference"/>
        </w:rPr>
        <w:footnoteReference w:id="6"/>
      </w:r>
    </w:p>
    <w:p>
      <w:pPr>
        <w:pStyle w:val="Heading2"/>
        <w:spacing w:after="120" w:before="220"/>
      </w:pPr>
      <w:r>
        <w:t xml:space="preserve">B. Can We Speak of God?</w:t>
      </w:r>
    </w:p>
    <w:p>
      <w:pPr>
        <w:spacing w:after="120"/>
      </w:pPr>
      <w:r>
        <w:t xml:space="preserve">Even granting Existence, can finite Language reach an Infinite, Ineffable God? The Chapter again sets out three Positions.</w:t>
      </w:r>
    </w:p>
    <w:p>
      <w:pPr>
        <w:pStyle w:val="Heading3"/>
        <w:spacing w:after="100" w:before="180"/>
      </w:pPr>
      <w:r>
        <w:t xml:space="preserve">A. The Classical Hindu Way</w:t>
      </w:r>
    </w:p>
    <w:p>
      <w:pPr>
        <w:spacing w:after="120"/>
      </w:pPr>
      <w:r>
        <w:t xml:space="preserve">Neti, Neti, Not This, Not This: we can only say what God is not.</w:t>
      </w:r>
    </w:p>
    <w:p>
      <w:pPr>
        <w:pStyle w:val="Heading3"/>
        <w:spacing w:after="100" w:before="180"/>
      </w:pPr>
      <w:r>
        <w:t xml:space="preserve">B. Mystical and Negative Theology</w:t>
      </w:r>
    </w:p>
    <w:p>
      <w:pPr>
        <w:spacing w:after="120"/>
      </w:pPr>
      <w:r>
        <w:t xml:space="preserve">Denies the Possibility of positively speaking about God.</w:t>
      </w:r>
    </w:p>
    <w:p>
      <w:pPr>
        <w:pStyle w:val="Heading3"/>
        <w:spacing w:after="100" w:before="180"/>
      </w:pPr>
      <w:r>
        <w:t xml:space="preserve">C. The Biblical and Mainline Christian Tradition</w:t>
      </w:r>
    </w:p>
    <w:p>
      <w:pPr>
        <w:spacing w:after="120"/>
      </w:pPr>
      <w:r>
        <w:t xml:space="preserve">Affirms a limited but real positive Knowledge of God. “We can name God only by taking Creatures as our starting point ... for from the greatness and beauty of created things comes a corresponding perception of their Creator” (Wis 13:5) ... yet “between Creator and creature no similitude can be expressed without implying an even greater dissimilitude.”</w:t>
      </w:r>
      <w:r>
        <w:rPr>
          <w:rStyle w:val="FootnoteReference"/>
        </w:rPr>
        <w:footnoteReference w:id="7"/>
      </w:r>
    </w:p>
    <w:p>
      <w:pPr>
        <w:pBdr>
          <w:left w:val="single" w:color="2E7D32" w:sz="24"/>
        </w:pBdr>
        <w:shd w:fill="E8F5E9" w:val="clear"/>
        <w:spacing w:after="160" w:before="160"/>
        <w:ind w:left="240"/>
      </w:pPr>
      <w:r>
        <w:rPr>
          <w:b/>
          <w:bCs/>
          <w:color w:val="2E7D32"/>
        </w:rPr>
        <w:t xml:space="preserve">INDIAN CONTEXT: </w:t>
      </w:r>
      <w:r>
        <w:t xml:space="preserve">The Chapter sets the Biblical “We-can-speak-of-God” Position directly against the Classical Hindu Neti-Neti (Not This, Not This) and the Apophatic Way of Negative Theology. The Indian Seminarian meets this Tension daily: the Upanishadic Instinct toward Silence before Brahman and the Biblical Confidence that God has a Name and a Face in Jesus Christ are held together, not resolved by choosing one over the other. Analogical Knowledge is precisely the Middle Path between the Silence of Neti-Neti and a naive Literalism about God.</w:t>
      </w:r>
    </w:p>
    <w:p>
      <w:pPr>
        <w:pStyle w:val="Heading3"/>
        <w:spacing w:after="100" w:before="180"/>
      </w:pPr>
      <w:r>
        <w:t xml:space="preserve">The Analogical Way: Univocal, Equivocal, Analogical</w:t>
      </w:r>
    </w:p>
    <w:p>
      <w:pPr>
        <w:pStyle w:val="ListParagraph"/>
        <w:numPr>
          <w:ilvl w:val="0"/>
          <w:numId w:val="1"/>
        </w:numPr>
        <w:spacing w:after="80"/>
      </w:pPr>
      <w:r>
        <w:rPr>
          <w:b/>
          <w:bCs/>
        </w:rPr>
        <w:t xml:space="preserve">Univocal</w:t>
      </w:r>
      <w:r>
        <w:t xml:space="preserve"> = the same Word used with the same Meaning for two Subjects. Example: Six means the same Number whether we say Six Mangoes or Six Books. This is impossible for God-Talk, because God is of the order of the Infinite and the Creature of the order of the Finite.</w:t>
      </w:r>
    </w:p>
    <w:p>
      <w:pPr>
        <w:pStyle w:val="ListParagraph"/>
        <w:numPr>
          <w:ilvl w:val="0"/>
          <w:numId w:val="1"/>
        </w:numPr>
        <w:spacing w:after="80"/>
      </w:pPr>
      <w:r>
        <w:rPr>
          <w:b/>
          <w:bCs/>
        </w:rPr>
        <w:t xml:space="preserve">Equivocal</w:t>
      </w:r>
      <w:r>
        <w:t xml:space="preserve"> = the same Word used for entirely unrelated Things, so that it signifies nothing in common. Example: Bank as River-Bank and Bank as Money-Bank. If God-Talk were merely Equivocal, Theology would collapse into Nonsense.</w:t>
      </w:r>
    </w:p>
    <w:p>
      <w:pPr>
        <w:pStyle w:val="ListParagraph"/>
        <w:numPr>
          <w:ilvl w:val="0"/>
          <w:numId w:val="1"/>
        </w:numPr>
        <w:spacing w:after="80"/>
      </w:pPr>
      <w:r>
        <w:rPr>
          <w:b/>
          <w:bCs/>
        </w:rPr>
        <w:t xml:space="preserve">Analogical</w:t>
      </w:r>
      <w:r>
        <w:t xml:space="preserve"> = a Word applies to two Subjects neither identically nor unrelatedly, but by Proportion and Participation. Developed by Aristotle, refined by Thomas Aquinas.</w:t>
      </w:r>
      <w:r>
        <w:rPr>
          <w:rStyle w:val="FootnoteReference"/>
        </w:rPr>
        <w:footnoteReference w:id="8"/>
      </w:r>
    </w:p>
    <w:p>
      <w:pPr>
        <w:pBdr>
          <w:left w:val="single" w:color="1565C0" w:sz="24"/>
        </w:pBdr>
        <w:shd w:fill="E3F2FD" w:val="clear"/>
        <w:spacing w:after="160" w:before="160"/>
        <w:ind w:left="240"/>
      </w:pPr>
      <w:r>
        <w:rPr>
          <w:b/>
          <w:bCs/>
          <w:color w:val="1565C0"/>
        </w:rPr>
        <w:t xml:space="preserve">EXAMPLE: </w:t>
      </w:r>
      <w:r>
        <w:t xml:space="preserve">Jesus taught us to call God “our Father.” This is neither Univocal, since God is not a Father exactly as a Human Father is, nor Equivocal, since the Term is not meaningless. We purify the earthly Notion of Father of its Limitations and apply it to God in an Eminent Way. Analogy alone makes the whole Theological Enterprise possible.</w:t>
      </w:r>
    </w:p>
    <w:p>
      <w:pPr>
        <w:pStyle w:val="Heading2"/>
        <w:spacing w:after="120" w:before="220"/>
      </w:pPr>
      <w:r>
        <w:t xml:space="preserve">C. God-Experience and the Language of Symbol</w:t>
      </w:r>
    </w:p>
    <w:p>
      <w:pPr>
        <w:spacing w:after="120"/>
      </w:pPr>
      <w:r>
        <w:t xml:space="preserve">To speak of God at all, Humankind must first experience God. Religious Experience is studied differently by History, Anthropology, Sociology, Psychology, Phenomenology, Philosophy and Theology of Religion, each from its own Angle.</w:t>
      </w:r>
      <w:r>
        <w:rPr>
          <w:rStyle w:val="FootnoteReference"/>
        </w:rPr>
        <w:footnoteReference w:id="9"/>
      </w:r>
    </w:p>
    <w:p>
      <w:pPr>
        <w:spacing w:after="120"/>
      </w:pPr>
      <w:r>
        <w:t xml:space="preserve">Religious Experience = the intimate, immediate Awareness of being touched or grasped by the Divine, an Encounter with the Tremendous and Fascinating Mystery.</w:t>
      </w:r>
      <w:r>
        <w:rPr>
          <w:rStyle w:val="FootnoteReference"/>
        </w:rPr>
        <w:footnoteReference w:id="10"/>
      </w:r>
      <w:r>
        <w:t xml:space="preserve"> The Chapter names four Biblical Theophanies as instances of this one Experience: the Burning Bush (Ex 3:2-6), the Experience of something very strange; the Transfiguration (Mt 17:1-13), the Experience of Glory and Brightness; and Emmaus (Lk 24:13-35), the Experience of Hearts Burning.</w:t>
      </w:r>
    </w:p>
    <w:p>
      <w:pPr>
        <w:spacing w:after="120"/>
      </w:pPr>
      <w:r>
        <w:t xml:space="preserve">This Experience can be expressed only in Symbolic, Poetic and Mythical Language: “Theology uses ordinary language in an extraordinary way.”</w:t>
      </w:r>
      <w:r>
        <w:rPr>
          <w:rStyle w:val="FootnoteReference"/>
        </w:rPr>
        <w:footnoteReference w:id="11"/>
      </w:r>
    </w:p>
    <w:p>
      <w:pPr>
        <w:spacing w:after="120"/>
      </w:pPr>
      <w:r>
        <w:rPr>
          <w:b/>
          <w:bCs/>
        </w:rPr>
        <w:t xml:space="preserve">Religious Symbol</w:t>
      </w:r>
      <w:r>
        <w:t xml:space="preserve"> = the Meeting-Point between the Human and the Divine; a Symbol both points beyond itself and participates in what it points to.</w:t>
      </w:r>
    </w:p>
    <w:p>
      <w:pPr>
        <w:pBdr>
          <w:left w:val="single" w:color="1565C0" w:sz="24"/>
        </w:pBdr>
        <w:shd w:fill="E3F2FD" w:val="clear"/>
        <w:spacing w:after="160" w:before="160"/>
        <w:ind w:left="240"/>
      </w:pPr>
      <w:r>
        <w:rPr>
          <w:b/>
          <w:bCs/>
          <w:color w:val="1565C0"/>
        </w:rPr>
        <w:t xml:space="preserve">EXAMPLE: </w:t>
      </w:r>
      <w:r>
        <w:t xml:space="preserve">Two Examples given in the Chapter. First, </w:t>
      </w:r>
      <w:r>
        <w:rPr>
          <w:b/>
          <w:bCs/>
        </w:rPr>
        <w:t xml:space="preserve">Jesus Christ</w:t>
      </w:r>
      <w:r>
        <w:t xml:space="preserve">, the supreme Symbol of Christianity, in whom the Divine and the Human meet and unite; Jesus is not merely a Pointer to God, he is God-Incarnate, the Sacrament of God. Second, </w:t>
      </w:r>
      <w:r>
        <w:rPr>
          <w:b/>
          <w:bCs/>
        </w:rPr>
        <w:t xml:space="preserve">the Eucharist</w:t>
      </w:r>
      <w:r>
        <w:t xml:space="preserve">, Symbol and Sacrament of the Presence of Christ in the Church; the Eucharist both signifies and is the Body of Christ, mediating a Presence that already exists prior to and independent of the Eucharistic Celebration.</w:t>
      </w:r>
      <w:r>
        <w:rPr>
          <w:rStyle w:val="FootnoteReference"/>
        </w:rPr>
        <w:footnoteReference w:id="12"/>
      </w:r>
    </w:p>
    <w:p>
      <w:pPr>
        <w:spacing w:after="120"/>
      </w:pPr>
      <w:r>
        <w:t xml:space="preserve">Since God’s Self-Communication reaches Human Persons only through Mind, Reason, Body and Sense-Perception, both Natural and Christian Theology have, in the end, a Symbolic Function.</w:t>
      </w:r>
    </w:p>
    <w:p>
      <w:pPr>
        <w:pStyle w:val="Heading2"/>
        <w:spacing w:after="120" w:before="220"/>
      </w:pPr>
      <w:r>
        <w:t xml:space="preserve">D. Definitions of Theology: A Series, Not a Sentence</w:t>
      </w:r>
    </w:p>
    <w:p>
      <w:pPr>
        <w:pStyle w:val="Heading3"/>
        <w:spacing w:after="100" w:before="180"/>
      </w:pPr>
      <w:r>
        <w:t xml:space="preserve">1. Theologia (Etymology)</w:t>
      </w:r>
    </w:p>
    <w:p>
      <w:pPr>
        <w:spacing w:after="120"/>
      </w:pPr>
      <w:r>
        <w:t xml:space="preserve">Theos (God) + Logos (Word, Discourse, Science). Plato and Socrates used the Term to criticise the Greek Poets’ Talk of the gods; Aristotle used it for his Metaphysics or First Philosophy; Clement of Alexandria and Origen first applied it to Trinitarian and Christological Discussion and to the Interpretation of Scripture; with the Scholastics and the rise of the University, Theology became an academic Discipline alongside Arts, Medicine and Law.</w:t>
      </w:r>
      <w:r>
        <w:rPr>
          <w:rStyle w:val="FootnoteReference"/>
        </w:rPr>
        <w:footnoteReference w:id="13"/>
      </w:r>
    </w:p>
    <w:p>
      <w:pPr>
        <w:pStyle w:val="Heading3"/>
        <w:spacing w:after="100" w:before="180"/>
      </w:pPr>
      <w:r>
        <w:t xml:space="preserve">2. Faith Seeking Understanding (St Anselm, 1033-1109)</w:t>
      </w:r>
    </w:p>
    <w:p>
      <w:pPr>
        <w:spacing w:after="120"/>
      </w:pPr>
      <w:r>
        <w:t xml:space="preserve">Fides Quaerens Intellectum: Theology is Faith trying to understand itself in rational Terms. Credo ut Intelligam, I believe in order to understand.</w:t>
      </w:r>
      <w:r>
        <w:rPr>
          <w:rStyle w:val="FootnoteReference"/>
        </w:rPr>
        <w:footnoteReference w:id="14"/>
      </w:r>
      <w:r>
        <w:t xml:space="preserve"> Theology is not Philosophy of God, Sociology of Religion or Psychology of Religion, however scientific; its Starting Point is Faith and the revealed Word of God, not merely observable Data. Anselm balances two Errors: </w:t>
      </w:r>
      <w:r>
        <w:rPr>
          <w:b/>
          <w:bCs/>
        </w:rPr>
        <w:t xml:space="preserve">Fideism</w:t>
      </w:r>
      <w:r>
        <w:t xml:space="preserve">, which accepts everything revealed by God without any Attempt to scrutinise it by Reason, and </w:t>
      </w:r>
      <w:r>
        <w:rPr>
          <w:b/>
          <w:bCs/>
        </w:rPr>
        <w:t xml:space="preserve">Rationalism</w:t>
      </w:r>
      <w:r>
        <w:t xml:space="preserve">, which rejects everything not clearly grasped by Reason.</w:t>
      </w:r>
    </w:p>
    <w:p>
      <w:pPr>
        <w:spacing w:after="120"/>
      </w:pPr>
      <w:r>
        <w:t xml:space="preserve">Anselm’s own Formula holds both: “Theology’s source and starting point must always be the word of God revealed in history, while its final goal will be an understanding of that word.”</w:t>
      </w:r>
      <w:r>
        <w:rPr>
          <w:rStyle w:val="FootnoteReference"/>
        </w:rPr>
        <w:footnoteReference w:id="15"/>
      </w:r>
      <w:r>
        <w:t xml:space="preserve"> Fides qua, Faith as Trust, grounds Fides quae, Faith as Content. And Faith is never a finished Product, for a Pilgrim Character belongs to the very Nature of the Church; each Generation must give its own Account of the Truth of our Hope (1 Pet 3:15).</w:t>
      </w:r>
    </w:p>
    <w:p>
      <w:pPr>
        <w:pStyle w:val="Heading3"/>
        <w:spacing w:after="100" w:before="180"/>
      </w:pPr>
      <w:r>
        <w:t xml:space="preserve">3. Lex Orandi, Lex Credendi (The Eastern Way)</w:t>
      </w:r>
    </w:p>
    <w:p>
      <w:pPr>
        <w:spacing w:after="120"/>
      </w:pPr>
      <w:r>
        <w:t xml:space="preserve">Where the West was rational, academic, philosophical, the East was Biblical, Patristic, Liturgical.</w:t>
      </w:r>
      <w:r>
        <w:rPr>
          <w:rStyle w:val="FootnoteReference"/>
        </w:rPr>
        <w:footnoteReference w:id="16"/>
      </w:r>
      <w:r>
        <w:t xml:space="preserve"> The ancient Dictum, possibly coined by Prosper of Aquitaine in the fifth century: the Law of Praying is the Law of Believing. Liturgy is, for the East, the main Locus Theologicus; God is known not by rational Discourse but by Contemplation. The Dictum can also run in reverse, Lex Credendi Lex Orandi: Faith produces Prayer as much as Prayer produces Faith-Formulation.</w:t>
      </w:r>
    </w:p>
    <w:p>
      <w:pPr>
        <w:pBdr>
          <w:left w:val="single" w:color="2E7D32" w:sz="24"/>
        </w:pBdr>
        <w:shd w:fill="E8F5E9" w:val="clear"/>
        <w:spacing w:after="160" w:before="160"/>
        <w:ind w:left="240"/>
      </w:pPr>
      <w:r>
        <w:rPr>
          <w:b/>
          <w:bCs/>
          <w:color w:val="2E7D32"/>
        </w:rPr>
        <w:t xml:space="preserve">INDIAN CONTEXT: </w:t>
      </w:r>
      <w:r>
        <w:t xml:space="preserve">The Eastern liturgical Instinct, God known by Contemplation rather than rational Discourse, resonates with the Indian Bhakti and Jnana Traditions, where Darshan and Puja are themselves ways of Knowing the Divine. An Indian Seminarian formed in both a Scholastic Classroom and a Devotional Home already lives the Polarity between the Western academic and the Eastern liturgical Approach to Theology before he ever opens a Textbook.</w:t>
      </w:r>
    </w:p>
    <w:p>
      <w:pPr>
        <w:pStyle w:val="Heading3"/>
        <w:spacing w:after="100" w:before="180"/>
      </w:pPr>
      <w:r>
        <w:t xml:space="preserve">4. Theological Anthropology (Karl Rahner)</w:t>
      </w:r>
    </w:p>
    <w:p>
      <w:pPr>
        <w:spacing w:after="120"/>
      </w:pPr>
      <w:r>
        <w:t xml:space="preserve">“Whatever we say about God says something about us, and whatever we say about ourselves says something about God ... God and Humanity are correlative Terms.”</w:t>
      </w:r>
      <w:r>
        <w:rPr>
          <w:rStyle w:val="FootnoteReference"/>
        </w:rPr>
        <w:footnoteReference w:id="17"/>
      </w:r>
      <w:r>
        <w:t xml:space="preserve"> The Object of Theology is not God as such but Humankind as related to God, Humankind’s Transcendental Openness or potentia oboedientialis. This is Theology from Below, complementing the Theology from Above. It is not Reductionism: we speak only of the God as revealed to us and received in Faith, not of God as our own Creation.</w:t>
      </w:r>
    </w:p>
    <w:p>
      <w:pPr>
        <w:pStyle w:val="Heading3"/>
        <w:spacing w:after="100" w:before="180"/>
      </w:pPr>
      <w:r>
        <w:t xml:space="preserve">5. Critical Reflection on Praxis (Gustavo Gutierrez)</w:t>
      </w:r>
    </w:p>
    <w:p>
      <w:pPr>
        <w:pBdr>
          <w:left w:val="single" w:color="1565C0" w:sz="24"/>
        </w:pBdr>
        <w:shd w:fill="E3F2FD" w:val="clear"/>
        <w:spacing w:after="160" w:before="160"/>
        <w:ind w:left="240"/>
      </w:pPr>
      <w:r>
        <w:rPr>
          <w:b/>
          <w:bCs/>
          <w:color w:val="1565C0"/>
        </w:rPr>
        <w:t xml:space="preserve">EXAMPLE: </w:t>
      </w:r>
      <w:r>
        <w:t xml:space="preserve">“Theology as a critical reflection on Christian praxis in the light of the Word.”</w:t>
      </w:r>
      <w:r>
        <w:rPr>
          <w:rStyle w:val="FootnoteReference"/>
        </w:rPr>
        <w:footnoteReference w:id="18"/>
      </w:r>
      <w:r>
        <w:rPr/>
        <w:t xml:space="preserve"> The Shift is from Orthodoxy alone to Orthopraxis: the Church finds itself by losing itself, living the joys and the hopes, the griefs and the anxieties of men of this age (</w:t>
      </w:r>
      <w:r>
        <w:rPr>
          <w:i/>
          <w:iCs/>
        </w:rPr>
        <w:t xml:space="preserve">Gaudium et Spes</w:t>
      </w:r>
      <w:r>
        <w:rPr/>
        <w:t xml:space="preserve">, no. 1). Liberation Theology is not a separate Branch but a new Way of doing Theology.</w:t>
      </w:r>
    </w:p>
    <w:p>
      <w:pPr>
        <w:pStyle w:val="Heading3"/>
        <w:spacing w:after="100" w:before="180"/>
      </w:pPr>
      <w:r>
        <w:t xml:space="preserve">6. Theology as Hermeneutics</w:t>
      </w:r>
    </w:p>
    <w:p>
      <w:pPr>
        <w:spacing w:after="120"/>
      </w:pPr>
      <w:r>
        <w:rPr/>
        <w:t xml:space="preserve">Historical Consciousness (</w:t>
      </w:r>
      <w:r>
        <w:rPr>
          <w:i/>
          <w:iCs/>
        </w:rPr>
        <w:t xml:space="preserve">Gaudium et Spes</w:t>
      </w:r>
      <w:r>
        <w:rPr/>
        <w:t xml:space="preserve">, no. 5) makes Pluralism and Change inevitable. Four possible Responses to this Uncertainty: Nihilism, Truth can never be known; Relativism, everything equally true and false; Fundamentalism, one’s own Position alone is absolutely true; and Hermeneutics, continuous reinterpretation of the Past in Dialogue with the Present.</w:t>
      </w:r>
      <w:r>
        <w:rPr>
          <w:rStyle w:val="FootnoteReference"/>
        </w:rPr>
        <w:footnoteReference w:id="19"/>
      </w:r>
      <w:r>
        <w:rPr/>
        <w:t xml:space="preserve"> “The Church has the duty of scrutinizing the signs of the times and of interpreting them in the light of the Gospel” (</w:t>
      </w:r>
      <w:r>
        <w:rPr>
          <w:i/>
          <w:iCs/>
        </w:rPr>
        <w:t xml:space="preserve">Gaudium et Spes</w:t>
      </w:r>
      <w:r>
        <w:rPr/>
        <w:t xml:space="preserve">, no. 4). Theologizing is thus a double Movement: the Gospel questions the Present Situation, and the Present Situation questions the Gospel so that Faith itself may be reinterpreted.</w:t>
      </w:r>
    </w:p>
    <w:p>
      <w:pPr>
        <w:pStyle w:val="Heading3"/>
        <w:spacing w:after="100" w:before="180"/>
      </w:pPr>
      <w:r>
        <w:t xml:space="preserve">7. Interpretation of the Christian Story (Mythos)</w:t>
      </w:r>
    </w:p>
    <w:p>
      <w:pPr>
        <w:spacing w:after="120"/>
      </w:pPr>
      <w:r>
        <w:t xml:space="preserve">Theology begins not with a speculative System but with the Christian Story, the Story of God’s Entry into human History in Jesus Christ. Some Theologians prefer Mythos to Story or Faith, since Mythos designates “that set of symbols, rituals, narratives and beliefs which taken together announce and mediate the presence and action of the Divine in the life of a community of persons.”</w:t>
      </w:r>
      <w:r>
        <w:rPr>
          <w:rStyle w:val="FootnoteReference"/>
        </w:rPr>
        <w:footnoteReference w:id="20"/>
      </w:r>
    </w:p>
    <w:p>
      <w:pPr>
        <w:pStyle w:val="Heading3"/>
        <w:spacing w:after="100" w:before="180"/>
      </w:pPr>
      <w:r>
        <w:t xml:space="preserve">8. The Working Definition</w:t>
      </w:r>
    </w:p>
    <w:p>
      <w:pPr>
        <w:spacing w:after="120"/>
      </w:pPr>
      <w:r>
        <w:t xml:space="preserve">“Christian theology is a systematic and critical interpretation on the meaning of human life and reality in general from the perspective of the Revelation in Jesus Christ on the one hand, and a reinterpretation of Christian Faith on the other, in the light of the new experience and context of the changing realities of the world, in and by the believing community.”</w:t>
      </w:r>
      <w:r>
        <w:rPr>
          <w:rStyle w:val="FootnoteReference"/>
        </w:rPr>
        <w:footnoteReference w:id="21"/>
      </w:r>
      <w:r>
        <w:t xml:space="preserve"> Systematic, a coherent Whole; Critical, prophetic and self-purifying; rooted in Revelation; open to reinterpretation; and ecclesial: the Theologian speaks as Spokesperson of the Community, even in Prophetic Criticism, never independent of it.</w:t>
      </w:r>
    </w:p>
    <w:p>
      <w:pPr>
        <w:pStyle w:val="Heading2"/>
        <w:spacing w:after="120" w:before="220"/>
      </w:pPr>
      <w:r>
        <w:t xml:space="preserve">E. Creative Polarities in Theologizing</w:t>
      </w:r>
    </w:p>
    <w:p>
      <w:pPr>
        <w:spacing w:after="120"/>
      </w:pPr>
      <w:r>
        <w:t xml:space="preserve">Theologizing is not a single Line but a set of held Tensions.</w:t>
      </w:r>
      <w:r>
        <w:rPr>
          <w:rStyle w:val="FootnoteReference"/>
        </w:rPr>
        <w:footnoteReference w:id="22"/>
      </w:r>
    </w:p>
    <w:p>
      <w:pPr>
        <w:pStyle w:val="ListParagraph"/>
        <w:numPr>
          <w:ilvl w:val="0"/>
          <w:numId w:val="1"/>
        </w:numPr>
        <w:spacing w:after="80"/>
      </w:pPr>
      <w:r>
        <w:rPr>
          <w:b/>
          <w:bCs/>
        </w:rPr>
        <w:t xml:space="preserve">1. Mystery and Intelligibility.</w:t>
      </w:r>
      <w:r>
        <w:t xml:space="preserve"> Faith-Content can be rationally understood. But God’s Mystery always eludes complete Comprehension; Theological Language remains Symbolic and Poetic, never a literal Photograph of God.</w:t>
      </w:r>
    </w:p>
    <w:p>
      <w:pPr>
        <w:pStyle w:val="ListParagraph"/>
        <w:numPr>
          <w:ilvl w:val="0"/>
          <w:numId w:val="1"/>
        </w:numPr>
        <w:spacing w:after="80"/>
      </w:pPr>
      <w:r>
        <w:rPr>
          <w:b/>
          <w:bCs/>
        </w:rPr>
        <w:t xml:space="preserve">2. Identity and Change.</w:t>
      </w:r>
      <w:r>
        <w:t xml:space="preserve"> The Identity of Christian Theology rests on the Christ-Event, its Confession and Witness. But the Church, being in History, needs continuous Reform of its Formulations, Structures and Praxis.</w:t>
      </w:r>
    </w:p>
    <w:p>
      <w:pPr>
        <w:pStyle w:val="ListParagraph"/>
        <w:numPr>
          <w:ilvl w:val="0"/>
          <w:numId w:val="1"/>
        </w:numPr>
        <w:spacing w:after="80"/>
      </w:pPr>
      <w:r>
        <w:rPr>
          <w:b/>
          <w:bCs/>
        </w:rPr>
        <w:t xml:space="preserve">3. Committed and Critical.</w:t>
      </w:r>
      <w:r>
        <w:t xml:space="preserve"> Theology is a committed Engagement; a Non-Believer may be a Scholar of Religion, but not a Theologian. But Theology is also a critical Activity, examining Belief and Practice in the Light of contemporary Experience.</w:t>
      </w:r>
    </w:p>
    <w:p>
      <w:pPr>
        <w:pStyle w:val="ListParagraph"/>
        <w:numPr>
          <w:ilvl w:val="0"/>
          <w:numId w:val="1"/>
        </w:numPr>
        <w:spacing w:after="80"/>
      </w:pPr>
      <w:r>
        <w:rPr>
          <w:b/>
          <w:bCs/>
        </w:rPr>
        <w:t xml:space="preserve">4. Community and Individual Theologian.</w:t>
      </w:r>
      <w:r>
        <w:t xml:space="preserve"> The Christian Community is the real Locus Theologicus; it initiates, preserves and interprets the Faith. But Reform and Renewal are sparked by the prophetic Gift of individual Theologians who challenge the Community from within.</w:t>
      </w:r>
    </w:p>
    <w:p>
      <w:pPr>
        <w:pStyle w:val="ListParagraph"/>
        <w:numPr>
          <w:ilvl w:val="0"/>
          <w:numId w:val="1"/>
        </w:numPr>
        <w:spacing w:after="80"/>
      </w:pPr>
      <w:r>
        <w:rPr>
          <w:b/>
          <w:bCs/>
        </w:rPr>
        <w:t xml:space="preserve">5. One and Many.</w:t>
      </w:r>
      <w:r>
        <w:t xml:space="preserve"> There exists a Core, the Christ-Event, and a common Heritage, Scripture, Baptism, Eucharist, sustaining a universal Theology. But Catholic, Orthodox, Protestant and Pentecostal Traditions, and Schools within Catholicism itself, generate an accepted Pluralism.</w:t>
      </w:r>
    </w:p>
    <w:p>
      <w:pPr>
        <w:pBdr>
          <w:left w:val="single" w:color="1565C0" w:sz="24"/>
        </w:pBdr>
        <w:shd w:fill="E3F2FD" w:val="clear"/>
        <w:spacing w:after="160" w:before="160"/>
        <w:ind w:left="240"/>
      </w:pPr>
      <w:r>
        <w:rPr>
          <w:b/>
          <w:bCs/>
          <w:color w:val="1565C0"/>
        </w:rPr>
        <w:t xml:space="preserve">EXAMPLE: </w:t>
      </w:r>
      <w:r>
        <w:rPr>
          <w:b/>
          <w:bCs/>
        </w:rPr>
        <w:t xml:space="preserve">6. Universal and Contextual.</w:t>
      </w:r>
      <w:r>
        <w:t xml:space="preserve"> All Theology, even the Theology of Thomas Aquinas, once called theologia perennis, is in fact conditioned by its own Time. The Chapter gives its own striking Example: Aquinas’ new Synthesis using Aristotelian Philosophy was, in its own Day, so controversial that his Books were burned by the Bishop of Paris soon after his Death.</w:t>
      </w:r>
      <w:r>
        <w:rPr>
          <w:rStyle w:val="FootnoteReference"/>
        </w:rPr>
        <w:footnoteReference w:id="23"/>
      </w:r>
      <w:r>
        <w:t xml:space="preserve"> Hence all Theology is Contextual, and this is the Root of Liberation Theology, Feminist Theology, Black Theology, Dalit Theology and Tribal Theology, each articulating the Cry of a specific Community for Freedom, Justice and Equality.</w:t>
      </w:r>
    </w:p>
    <w:p>
      <w:pPr>
        <w:pBdr>
          <w:left w:val="single" w:color="2E7D32" w:sz="24"/>
        </w:pBdr>
        <w:shd w:fill="E8F5E9" w:val="clear"/>
        <w:spacing w:after="160" w:before="160"/>
        <w:ind w:left="240"/>
      </w:pPr>
      <w:r>
        <w:rPr>
          <w:b/>
          <w:bCs/>
          <w:color w:val="2E7D32"/>
        </w:rPr>
        <w:t xml:space="preserve">INDIAN CONTEXT: </w:t>
      </w:r>
      <w:r>
        <w:rPr>
          <w:b/>
          <w:bCs/>
        </w:rPr>
        <w:t xml:space="preserve">Dalit Theology</w:t>
      </w:r>
      <w:r>
        <w:t xml:space="preserve"> is developed in India to articulate the Aspirations of the Dalits, the Outcastes, for Freedom, Justice and Equality; </w:t>
      </w:r>
      <w:r>
        <w:rPr>
          <w:b/>
          <w:bCs/>
        </w:rPr>
        <w:t xml:space="preserve">Tribal Theologies</w:t>
      </w:r>
      <w:r>
        <w:t xml:space="preserve"> emerge from the Context of the Tribal People of India.</w:t>
      </w:r>
      <w:r>
        <w:rPr>
          <w:rStyle w:val="FootnoteReference"/>
        </w:rPr>
        <w:footnoteReference w:id="24"/>
      </w:r>
      <w:r>
        <w:t xml:space="preserve"> These are named by the Chapter itself as Instances of the Universal-and-Contextual Polarity. The Seminarian in India cannot treat Theology as a finished Import from Europe; the same Gospel that produced a Scholastic Synthesis in Medieval Paris must produce a fresh Synthesis addressing Caste, Land and Tribal Identity in India Today.</w:t>
      </w:r>
    </w:p>
    <w:p>
      <w:pPr>
        <w:pStyle w:val="ListParagraph"/>
        <w:numPr>
          <w:ilvl w:val="0"/>
          <w:numId w:val="1"/>
        </w:numPr>
        <w:spacing w:after="80"/>
      </w:pPr>
      <w:r>
        <w:rPr>
          <w:b/>
          <w:bCs/>
        </w:rPr>
        <w:t xml:space="preserve">7. Orthodoxy and Heterodoxy.</w:t>
      </w:r>
      <w:r>
        <w:t xml:space="preserve"> Fidelity to the Apostolic Faith is a perennial Concern. But every Articulation, once fixed in Word or Image, becomes limited and needs further Interpretation; Heterodoxy, though to be resisted, has historically carried new Insight.</w:t>
      </w:r>
    </w:p>
    <w:p>
      <w:pPr>
        <w:pBdr>
          <w:left w:val="single" w:color="1565C0" w:sz="24"/>
        </w:pBdr>
        <w:shd w:fill="E3F2FD" w:val="clear"/>
        <w:spacing w:after="160" w:before="160"/>
        <w:ind w:left="240"/>
      </w:pPr>
      <w:r>
        <w:rPr>
          <w:b/>
          <w:bCs/>
          <w:color w:val="1565C0"/>
        </w:rPr>
        <w:t xml:space="preserve">EXAMPLE: </w:t>
      </w:r>
      <w:r>
        <w:t xml:space="preserve">Martin Luther’s heterodox Emphasis on Justification by Faith, Sola Fide, pushed the Church toward a more integral Understanding of Faith.</w:t>
      </w:r>
      <w:r>
        <w:rPr>
          <w:rStyle w:val="FootnoteReference"/>
        </w:rPr>
        <w:footnoteReference w:id="25"/>
      </w:r>
    </w:p>
    <w:p>
      <w:pPr>
        <w:pStyle w:val="ListParagraph"/>
        <w:numPr>
          <w:ilvl w:val="0"/>
          <w:numId w:val="1"/>
        </w:numPr>
        <w:spacing w:after="80"/>
      </w:pPr>
      <w:r>
        <w:rPr>
          <w:b/>
          <w:bCs/>
        </w:rPr>
        <w:t xml:space="preserve">8. Orthodoxy and Orthopraxis.</w:t>
      </w:r>
      <w:r>
        <w:t xml:space="preserve"> In a Context of genuine Theological Pluralism, no single cultural Formulation can claim exclusive Orthodoxy without risking the Domination of one Language or Thought-Pattern over others. Hence contemporary Theologies grant a certain Primacy to Orthopraxis, correct Doing, alongside correct Believing.</w:t>
      </w:r>
      <w:r>
        <w:rPr>
          <w:rStyle w:val="FootnoteReference"/>
        </w:rPr>
        <w:footnoteReference w:id="26"/>
      </w:r>
    </w:p>
    <w:p>
      <w:pPr>
        <w:spacing w:after="120"/>
      </w:pPr>
      <w:r>
        <w:t xml:space="preserve">“All Theories are tested by Praxis; Practice in turn challenges the Theories that become inadequate.”</w:t>
      </w:r>
    </w:p>
    <w:p>
      <w:pPr>
        <w:spacing w:after="120"/>
      </w:pPr>
      <w:r>
        <w:t xml:space="preserve">Is the Burning Bush of Exodus 3 not itself a Polarity held together: the Fire that burns and yet does not consume, Nearness and Otherness, Holy Ground and Sent Mission (Ex 3:5, 10)?</w:t>
      </w:r>
    </w:p>
    <w:p>
      <w:pPr>
        <w:pStyle w:val="Heading2"/>
        <w:spacing w:after="120" w:before="220"/>
      </w:pPr>
      <w:r>
        <w:t xml:space="preserve">F. Theology and Other Sciences</w:t>
      </w:r>
    </w:p>
    <w:p>
      <w:pPr>
        <w:spacing w:after="120"/>
      </w:pPr>
      <w:r>
        <w:t xml:space="preserve">Science (scientia) = a System of clear, precise, valid Knowledge, applicable to Natural Sciences (Physics, Chemistry, Biology), Human Sciences (History, Sociology, Psychology, Economics), Philosophy, and Religious Sciences (History, Sociology, Psychology and Phenomenology of Religion).</w:t>
      </w:r>
      <w:r>
        <w:rPr>
          <w:rStyle w:val="FootnoteReference"/>
        </w:rPr>
        <w:footnoteReference w:id="27"/>
      </w:r>
      <w:r>
        <w:t xml:space="preserve"> Theology qualifies as a Science: the systematic Study of Christian Faith, with its own Method and Principles.</w:t>
      </w:r>
    </w:p>
    <w:p>
      <w:pPr>
        <w:spacing w:after="120"/>
      </w:pPr>
      <w:r>
        <w:t xml:space="preserve">Relationship among the Sciences: all explain the same Reality from different Angles; all Truth comes from the one God, so Reality possesses an underlying Ontological Coherence; and it is the same Human Mind that seeks to integrate every Branch of Knowledge. No Science, including Theology, may claim Absolutism.</w:t>
      </w:r>
    </w:p>
    <w:p>
      <w:pPr>
        <w:pStyle w:val="Heading3"/>
        <w:spacing w:after="100" w:before="180"/>
      </w:pPr>
      <w:r>
        <w:t xml:space="preserve">Theology and Philosophy</w:t>
      </w:r>
    </w:p>
    <w:p>
      <w:pPr>
        <w:spacing w:after="120"/>
      </w:pPr>
      <w:r>
        <w:t xml:space="preserve">Philosophy was long called the ancilla theologiae, the Handmaid of Theology.</w:t>
      </w:r>
      <w:r>
        <w:rPr>
          <w:rStyle w:val="FootnoteReference"/>
        </w:rPr>
        <w:footnoteReference w:id="28"/>
      </w:r>
    </w:p>
    <w:p>
      <w:pPr>
        <w:pBdr>
          <w:left w:val="single" w:color="1565C0" w:sz="24"/>
        </w:pBdr>
        <w:shd w:fill="E3F2FD" w:val="clear"/>
        <w:spacing w:after="160" w:before="160"/>
        <w:ind w:left="240"/>
      </w:pPr>
      <w:r>
        <w:rPr>
          <w:b/>
          <w:bCs/>
          <w:color w:val="1565C0"/>
        </w:rPr>
        <w:t xml:space="preserve">EXAMPLE: </w:t>
      </w:r>
      <w:r>
        <w:t xml:space="preserve">Origen, Clement of Alexandria, Augustine and Bonaventure used Platonic and Neo-Platonic Categories, notably the Logos, to explain Creation, Incarnation and Redemption. Thomas Aquinas and Albert the Great used Aristotelian Categories of Nature and Person to explain Christology. Rudolf Bultmann and Karl Rahner used Existentialist Categories for a modern Christian Anthropology.</w:t>
      </w:r>
      <w:r>
        <w:rPr>
          <w:rStyle w:val="FootnoteReference"/>
        </w:rPr>
        <w:footnoteReference w:id="29"/>
      </w:r>
    </w:p>
    <w:p>
      <w:pPr>
        <w:pBdr>
          <w:left w:val="single" w:color="2E7D32" w:sz="24"/>
        </w:pBdr>
        <w:shd w:fill="E8F5E9" w:val="clear"/>
        <w:spacing w:after="160" w:before="160"/>
        <w:ind w:left="240"/>
      </w:pPr>
      <w:r>
        <w:rPr>
          <w:b/>
          <w:bCs/>
          <w:color w:val="2E7D32"/>
        </w:rPr>
        <w:t xml:space="preserve">INDIAN CONTEXT: </w:t>
      </w:r>
      <w:r>
        <w:rPr>
          <w:b/>
          <w:bCs/>
        </w:rPr>
        <w:t xml:space="preserve">Brahmabandhav Upadhyaya, Swami Abhishiktananda and Raimundo Panikkar</w:t>
      </w:r>
      <w:r>
        <w:t xml:space="preserve"> used Vedanta for Theologizing in India, understanding the Christian Trinity through the Category of </w:t>
      </w:r>
      <w:r>
        <w:rPr>
          <w:b/>
          <w:bCs/>
        </w:rPr>
        <w:t xml:space="preserve">Saccidananda</w:t>
      </w:r>
      <w:r>
        <w:t xml:space="preserve">, Being-Consciousness-Bliss.</w:t>
      </w:r>
      <w:r>
        <w:rPr>
          <w:rStyle w:val="FootnoteReference"/>
        </w:rPr>
        <w:footnoteReference w:id="30"/>
      </w:r>
      <w:r>
        <w:t xml:space="preserve"> This is the Chapter’s own Answer to the Question, what would an Indian ancilla theologiae look like: not Aristotle or Plato alone, but the Vedantic Categories already native to the Subcontinent, placed at the Service of the Christian Mystery exactly as the Greek Fathers once placed the Logos at the Service of Creation and Incarnation.</w:t>
      </w:r>
    </w:p>
    <w:p>
      <w:pPr>
        <w:pStyle w:val="Heading3"/>
        <w:spacing w:after="100" w:before="180"/>
      </w:pPr>
      <w:r>
        <w:t xml:space="preserve">Theology and Social Sciences</w:t>
      </w:r>
    </w:p>
    <w:p>
      <w:pPr>
        <w:spacing w:after="120"/>
      </w:pPr>
      <w:r>
        <w:t xml:space="preserve">Where classical Western Theology sought mainly to understand Reality, the contemporary contextual Theologies, Political Theology, Theology of Hope, Liberation Theology, use Sociology, Anthropology, Economics and Politics as Tools to transform Reality, not only to understand it.</w:t>
      </w:r>
      <w:r>
        <w:rPr>
          <w:rStyle w:val="FootnoteReference"/>
        </w:rPr>
        <w:footnoteReference w:id="31"/>
      </w:r>
    </w:p>
    <w:p>
      <w:pPr>
        <w:pStyle w:val="Heading3"/>
        <w:spacing w:after="100" w:before="180"/>
      </w:pPr>
      <w:r>
        <w:t xml:space="preserve">Theology and Religious Sciences</w:t>
      </w:r>
    </w:p>
    <w:p>
      <w:pPr>
        <w:spacing w:after="120"/>
      </w:pPr>
      <w:r>
        <w:t xml:space="preserve">Sociology, Psychology, Phenomenology and Anthropology of Religion supply empirical Data that Theology can integrate for a fuller Interpretation. No Area of Human Experience is excluded, and there can be no real Opposition, “because the things of the world and the things of faith derive from the same God.”</w:t>
      </w:r>
      <w:r>
        <w:rPr>
          <w:rStyle w:val="FootnoteReference"/>
        </w:rPr>
        <w:footnoteReference w:id="32"/>
      </w:r>
    </w:p>
    <w:p>
      <w:pPr>
        <w:pStyle w:val="Heading2"/>
        <w:spacing w:after="120" w:before="220"/>
      </w:pPr>
      <w:r>
        <w:t xml:space="preserve">G. Goals of Theologizing</w:t>
      </w:r>
    </w:p>
    <w:p>
      <w:pPr>
        <w:spacing w:after="120"/>
      </w:pPr>
      <w:r>
        <w:t xml:space="preserve">The various Definitions above already imply different Emphases in the Goal of Theology.</w:t>
      </w:r>
      <w:r>
        <w:rPr>
          <w:rStyle w:val="FootnoteReference"/>
        </w:rPr>
        <w:footnoteReference w:id="33"/>
      </w:r>
      <w:r>
        <w:t xml:space="preserve"> Eight Goals, held together as complementary, none exhaustive on its own:</w:t>
      </w:r>
    </w:p>
    <w:p>
      <w:pPr>
        <w:pStyle w:val="ListParagraph"/>
        <w:numPr>
          <w:ilvl w:val="0"/>
          <w:numId w:val="1"/>
        </w:numPr>
        <w:spacing w:after="80"/>
      </w:pPr>
      <w:r>
        <w:t xml:space="preserve">To awaken, strengthen and communicate the Christ-Experience, the founding Experience of the Disciples.</w:t>
      </w:r>
    </w:p>
    <w:p>
      <w:pPr>
        <w:pStyle w:val="ListParagraph"/>
        <w:numPr>
          <w:ilvl w:val="0"/>
          <w:numId w:val="1"/>
        </w:numPr>
        <w:spacing w:after="80"/>
      </w:pPr>
      <w:r>
        <w:t xml:space="preserve">To explain, analyse and systematize Faith so that it may be understood and assimilated ever more deeply.</w:t>
      </w:r>
    </w:p>
    <w:p>
      <w:pPr>
        <w:pStyle w:val="ListParagraph"/>
        <w:numPr>
          <w:ilvl w:val="0"/>
          <w:numId w:val="1"/>
        </w:numPr>
        <w:spacing w:after="80"/>
      </w:pPr>
      <w:r>
        <w:t xml:space="preserve">To sift the human Words of Scripture and uncover within and beyond them the authentic Word of God for Today.</w:t>
      </w:r>
    </w:p>
    <w:p>
      <w:pPr>
        <w:pStyle w:val="ListParagraph"/>
        <w:numPr>
          <w:ilvl w:val="0"/>
          <w:numId w:val="1"/>
        </w:numPr>
        <w:spacing w:after="80"/>
      </w:pPr>
      <w:r>
        <w:t xml:space="preserve">To exercise an interpretative and prophetic Role, making Faith relevant and meaningful for the present Age.</w:t>
      </w:r>
    </w:p>
    <w:p>
      <w:pPr>
        <w:pStyle w:val="ListParagraph"/>
        <w:numPr>
          <w:ilvl w:val="0"/>
          <w:numId w:val="1"/>
        </w:numPr>
        <w:spacing w:after="80"/>
      </w:pPr>
      <w:r>
        <w:t xml:space="preserve">To expose the systematic Unity of Faith according to the Hierarchy of Truths: “in Catholic teaching there exists an order or hierarchy of truths, since they vary in their relationship to the foundation of the Christian faith.”</w:t>
      </w:r>
      <w:r>
        <w:rPr>
          <w:rStyle w:val="FootnoteReference"/>
        </w:rPr>
        <w:footnoteReference w:id="34"/>
      </w:r>
      <w:r>
        <w:t xml:space="preserve"> The Foundation being the Mystery of Christ.</w:t>
      </w:r>
    </w:p>
    <w:p>
      <w:pPr>
        <w:pStyle w:val="ListParagraph"/>
        <w:numPr>
          <w:ilvl w:val="0"/>
          <w:numId w:val="1"/>
        </w:numPr>
        <w:spacing w:after="80"/>
      </w:pPr>
      <w:r>
        <w:t xml:space="preserve">To fulfil a pastoral Role, strengthening the Faith of ordinary Believers and leading them into Communion with God.</w:t>
      </w:r>
    </w:p>
    <w:p>
      <w:pPr>
        <w:pStyle w:val="ListParagraph"/>
        <w:numPr>
          <w:ilvl w:val="0"/>
          <w:numId w:val="1"/>
        </w:numPr>
        <w:spacing w:after="80"/>
      </w:pPr>
      <w:r>
        <w:t xml:space="preserve">To serve the Mission and Witness of the whole Church, since a Theology without Missionary Value “is not worth the name.”</w:t>
      </w:r>
      <w:r>
        <w:rPr>
          <w:rStyle w:val="FootnoteReference"/>
        </w:rPr>
        <w:footnoteReference w:id="35"/>
      </w:r>
    </w:p>
    <w:p>
      <w:pPr>
        <w:pStyle w:val="ListParagraph"/>
        <w:numPr>
          <w:ilvl w:val="0"/>
          <w:numId w:val="1"/>
        </w:numPr>
        <w:spacing w:after="80"/>
      </w:pPr>
      <w:r>
        <w:t xml:space="preserve">To work toward the Transformation of the whole World into the Kingdom of God, the Community of Communities built on Love, Justice, Peace, Equality and Harmony.</w:t>
      </w:r>
    </w:p>
    <w:p>
      <w:pPr>
        <w:pStyle w:val="Heading2"/>
        <w:spacing w:after="120" w:before="220"/>
      </w:pPr>
      <w:r>
        <w:t xml:space="preserve">Close: The Bush That Sends</w:t>
      </w:r>
    </w:p>
    <w:p>
      <w:pPr>
        <w:spacing w:after="120"/>
      </w:pPr>
      <w:r>
        <w:t xml:space="preserve">We opened with the Bush that burns and is not consumed. The Chapter’s own Itinerary, from the God-Question, through Symbol, through the sevenfold Definition, through the Polarities, to the Goals, is itself an Enactment of Moses’ Turn: “I will turn aside and see this great sight” (Ex 3:3). Theology begins in this Turning Aside, in Wonder before the Holy Ground on which the Theologian already stands, and it ends, as Moses’ Encounter ended, in a Sending: “Come, I will send you” (Ex 3:10). No Definition of Theology given above, from Fides Quaerens Intellectum to Critical Reflection on Praxis, is complete without this final Turn toward Mission.</w:t>
      </w:r>
    </w:p>
    <w:p>
      <w:pPr>
        <w:pStyle w:val="Heading2"/>
        <w:spacing w:after="120" w:before="220"/>
      </w:pPr>
      <w:r>
        <w:t xml:space="preserve">Questions for Review</w:t>
      </w:r>
    </w:p>
    <w:p>
      <w:pPr>
        <w:pStyle w:val="ListParagraph"/>
        <w:spacing w:after="80"/>
        <w:ind w:left="720" w:hanging="360"/>
      </w:pPr>
      <w:r>
        <w:t xml:space="preserve">1. Is Theology only a Discourse on God, or a Discourse on the Meaning of being Human, or is it both?</w:t>
      </w:r>
    </w:p>
    <w:p>
      <w:pPr>
        <w:pStyle w:val="ListParagraph"/>
        <w:spacing w:after="80"/>
        <w:ind w:left="720" w:hanging="360"/>
      </w:pPr>
      <w:r>
        <w:t xml:space="preserve">2. Why do we have several Definitions of Theology? Among the many given here, which do you prefer, and why?</w:t>
      </w:r>
    </w:p>
    <w:p>
      <w:pPr>
        <w:pStyle w:val="ListParagraph"/>
        <w:spacing w:after="80"/>
        <w:ind w:left="720" w:hanging="360"/>
      </w:pPr>
      <w:r>
        <w:t xml:space="preserve">3. Why does Theologizing involve a set of Polarities? What, in your view, underlies these Polarities?</w:t>
      </w:r>
    </w:p>
    <w:p>
      <w:pPr>
        <w:pStyle w:val="ListParagraph"/>
        <w:spacing w:after="80"/>
        <w:ind w:left="720" w:hanging="360"/>
      </w:pPr>
      <w:r>
        <w:t xml:space="preserve">4. Does Theology depend on other Sciences? If so, is there not a Danger of Relativism in Theology?</w:t>
      </w:r>
    </w:p>
    <w:p>
      <w:pPr>
        <w:pStyle w:val="ListParagraph"/>
        <w:spacing w:after="80"/>
        <w:ind w:left="720" w:hanging="360"/>
      </w:pPr>
      <w:r>
        <w:t xml:space="preserve">5. What are the different Goals of Theologizing? Could you classify these Goals in the Order of your Priority?</w:t>
      </w:r>
    </w:p>
    <w:p>
      <w:pPr>
        <w:spacing w:after="120"/>
      </w:pPr>
      <w:r>
        <w:t xml:space="preserve">(Questions for Review as given in the Chapter.)</w:t>
      </w:r>
      <w:r>
        <w:rPr>
          <w:rStyle w:val="FootnoteReference"/>
        </w:rPr>
        <w:footnoteReference w:id="36"/>
      </w:r>
    </w:p>
    <w:p>
      <w:pPr>
        <w:pStyle w:val="Heading2"/>
        <w:spacing w:after="120" w:before="220"/>
      </w:pPr>
      <w:r>
        <w:t xml:space="preserve">Select Bibliography</w:t>
      </w:r>
    </w:p>
    <w:p>
      <w:pPr>
        <w:spacing w:after="120"/>
      </w:pPr>
      <w:r>
        <w:t xml:space="preserve">As listed at the close of Chapter 1, arranged alphabetically.</w:t>
      </w:r>
    </w:p>
    <w:p>
      <w:pPr>
        <w:spacing w:after="120"/>
        <w:ind w:left="720" w:hanging="720"/>
      </w:pPr>
      <w:r>
        <w:rPr/>
        <w:t xml:space="preserve">Alszeghy, Zoltan, and Maurizio Flick. </w:t>
      </w:r>
      <w:r>
        <w:rPr>
          <w:i/>
          <w:iCs/>
        </w:rPr>
        <w:t xml:space="preserve">Introductory Theology</w:t>
      </w:r>
      <w:r>
        <w:rPr/>
        <w:t xml:space="preserve">. London: Sheed and Ward, 1982.</w:t>
      </w:r>
    </w:p>
    <w:p>
      <w:pPr>
        <w:spacing w:after="120"/>
        <w:ind w:left="720" w:hanging="720"/>
      </w:pPr>
      <w:r>
        <w:rPr/>
        <w:t xml:space="preserve">Dunn, Edmund J. </w:t>
      </w:r>
      <w:r>
        <w:rPr>
          <w:i/>
          <w:iCs/>
        </w:rPr>
        <w:t xml:space="preserve">What is Theology</w:t>
      </w:r>
      <w:r>
        <w:rPr/>
        <w:t xml:space="preserve">. Mystic, CT: Twenty-Third Publications, 1998.</w:t>
      </w:r>
    </w:p>
    <w:p>
      <w:pPr>
        <w:spacing w:after="120"/>
        <w:ind w:left="720" w:hanging="720"/>
      </w:pPr>
      <w:r>
        <w:rPr/>
        <w:t xml:space="preserve">Jennings, Theodore. </w:t>
      </w:r>
      <w:r>
        <w:rPr>
          <w:i/>
          <w:iCs/>
        </w:rPr>
        <w:t xml:space="preserve">Introduction to Theology</w:t>
      </w:r>
      <w:r>
        <w:rPr/>
        <w:t xml:space="preserve">. London: SPCK, 1976.</w:t>
      </w:r>
    </w:p>
    <w:p>
      <w:pPr>
        <w:spacing w:after="120"/>
        <w:ind w:left="720" w:hanging="720"/>
      </w:pPr>
      <w:r>
        <w:rPr/>
        <w:t xml:space="preserve">John Paul II. </w:t>
      </w:r>
      <w:r>
        <w:rPr>
          <w:i/>
          <w:iCs/>
        </w:rPr>
        <w:t xml:space="preserve">Fides et Ratio</w:t>
      </w:r>
      <w:r>
        <w:rPr/>
        <w:t xml:space="preserve">. Encyclical. Vatican City, 1998.</w:t>
      </w:r>
    </w:p>
    <w:p>
      <w:pPr>
        <w:spacing w:after="120"/>
        <w:ind w:left="720" w:hanging="720"/>
      </w:pPr>
      <w:r>
        <w:rPr/>
        <w:t xml:space="preserve">Latourelle, Rene. </w:t>
      </w:r>
      <w:r>
        <w:rPr>
          <w:i/>
          <w:iCs/>
        </w:rPr>
        <w:t xml:space="preserve">Theology: Science of Salvation</w:t>
      </w:r>
      <w:r>
        <w:rPr/>
        <w:t xml:space="preserve">. New York: Alba House, 1969.</w:t>
      </w:r>
    </w:p>
    <w:p>
      <w:pPr>
        <w:spacing w:after="120"/>
        <w:ind w:left="720" w:hanging="720"/>
      </w:pPr>
      <w:r>
        <w:rPr/>
        <w:t xml:space="preserve">McGrath, Alister E. </w:t>
      </w:r>
      <w:r>
        <w:rPr>
          <w:i/>
          <w:iCs/>
        </w:rPr>
        <w:t xml:space="preserve">Christian Theology: An Introduction</w:t>
      </w:r>
      <w:r>
        <w:rPr/>
        <w:t xml:space="preserve">. Oxford: Blackwell, 2001.</w:t>
      </w:r>
    </w:p>
    <w:p>
      <w:pPr>
        <w:spacing w:after="120"/>
        <w:ind w:left="720" w:hanging="720"/>
      </w:pPr>
      <w:r>
        <w:rPr/>
        <w:t xml:space="preserve">Nichols, Aidan. </w:t>
      </w:r>
      <w:r>
        <w:rPr>
          <w:i/>
          <w:iCs/>
        </w:rPr>
        <w:t xml:space="preserve">The Shape of Catholic Theology: An Introduction to its Sources, Principles and History</w:t>
      </w:r>
      <w:r>
        <w:rPr/>
        <w:t xml:space="preserve">. Collegeville, MN: The Liturgical Press, 1991.</w:t>
      </w:r>
    </w:p>
    <w:p>
      <w:pPr>
        <w:spacing w:after="120"/>
        <w:ind w:left="720" w:hanging="720"/>
      </w:pPr>
      <w:r>
        <w:rPr/>
        <w:t xml:space="preserve">O’Collins, Gerald. </w:t>
      </w:r>
      <w:r>
        <w:rPr>
          <w:i/>
          <w:iCs/>
        </w:rPr>
        <w:t xml:space="preserve">Fundamental Theology</w:t>
      </w:r>
      <w:r>
        <w:rPr/>
        <w:t xml:space="preserve">. London: Darton, Longman and Todd, 1981.</w:t>
      </w:r>
    </w:p>
    <w:p>
      <w:pPr>
        <w:spacing w:after="120"/>
        <w:ind w:left="720" w:hanging="720"/>
      </w:pPr>
      <w:r>
        <w:rPr/>
        <w:t xml:space="preserve">Pailin, David. </w:t>
      </w:r>
      <w:r>
        <w:rPr>
          <w:i/>
          <w:iCs/>
        </w:rPr>
        <w:t xml:space="preserve">The Anthropological Character of Theology</w:t>
      </w:r>
      <w:r>
        <w:rPr/>
        <w:t xml:space="preserve">. Cambridge: Cambridge University Press, 1990.</w:t>
      </w:r>
    </w:p>
    <w:p>
      <w:pPr>
        <w:spacing w:after="120"/>
        <w:ind w:left="720" w:hanging="720"/>
      </w:pPr>
      <w:r>
        <w:rPr/>
        <w:t xml:space="preserve">Pathil, Kuncheria, and Dominic Veliath. </w:t>
      </w:r>
      <w:r>
        <w:rPr>
          <w:i/>
          <w:iCs/>
        </w:rPr>
        <w:t xml:space="preserve">An Introduction to Theology</w:t>
      </w:r>
      <w:r>
        <w:rPr/>
        <w:t xml:space="preserve">. Indian Theological Series. Publisher and year not verified in the source scan; confirm against the printed edition.</w:t>
      </w:r>
    </w:p>
    <w:p>
      <w:pPr>
        <w:spacing w:after="120"/>
        <w:ind w:left="720" w:hanging="720"/>
      </w:pPr>
      <w:r>
        <w:rPr/>
        <w:t xml:space="preserve">Segundo, Juan Luis. </w:t>
      </w:r>
      <w:r>
        <w:rPr>
          <w:i/>
          <w:iCs/>
        </w:rPr>
        <w:t xml:space="preserve">Faith and Ideologies</w:t>
      </w:r>
      <w:r>
        <w:rPr/>
        <w:t xml:space="preserve">. New York: Orbis Books, 1984.</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20"/>
          <w:szCs w:val="20"/>
        </w:rPr>
        <w:t xml:space="preserve">Kuncheria Pathil and Dominic Veliath, </w:t>
      </w:r>
      <w:r>
        <w:rPr>
          <w:i/>
          <w:iCs/>
          <w:sz w:val="20"/>
          <w:szCs w:val="20"/>
        </w:rPr>
        <w:t xml:space="preserve">An Introduction to Theology</w:t>
      </w:r>
      <w:r>
        <w:rPr>
          <w:sz w:val="20"/>
          <w:szCs w:val="20"/>
        </w:rPr>
        <w:t xml:space="preserve">, Indian Theological Series, chap. 1. Commissioned by the Catholic Bishops’ Conference of India as a contextualised theological manual for the Indian seminary curriculum.</w:t>
      </w:r>
    </w:p>
  </w:footnote>
  <w:footnote w:id="2">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1, sec. A.4, “God-Experience.”</w:t>
      </w:r>
    </w:p>
  </w:footnote>
  <w:footnote w:id="3">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1, sec. A.1.</w:t>
      </w:r>
    </w:p>
  </w:footnote>
  <w:footnote w:id="4">
    <w:p>
      <w:r>
        <w:rPr>
          <w:rStyle w:val="FootnoteReference"/>
        </w:rPr>
        <w:footnoteRef/>
      </w:r>
      <w:r>
        <w:rPr>
          <w:sz w:val="20"/>
          <w:szCs w:val="20"/>
        </w:rPr>
        <w:t xml:space="preserve">Vatican Council I, </w:t>
      </w:r>
      <w:r>
        <w:rPr>
          <w:i/>
          <w:iCs/>
          <w:sz w:val="20"/>
          <w:szCs w:val="20"/>
        </w:rPr>
        <w:t xml:space="preserve">Dei Filius</w:t>
      </w:r>
      <w:r>
        <w:rPr>
          <w:sz w:val="20"/>
          <w:szCs w:val="20"/>
        </w:rPr>
        <w:t xml:space="preserve">, chap. 2; Vatican Council II, </w:t>
      </w:r>
      <w:r>
        <w:rPr>
          <w:i/>
          <w:iCs/>
          <w:sz w:val="20"/>
          <w:szCs w:val="20"/>
        </w:rPr>
        <w:t xml:space="preserve">Dei Verbum</w:t>
      </w:r>
      <w:r>
        <w:rPr>
          <w:sz w:val="20"/>
          <w:szCs w:val="20"/>
        </w:rPr>
        <w:t xml:space="preserve">, no. 6; both cited in Pathil and Veliath, </w:t>
      </w:r>
      <w:r>
        <w:rPr>
          <w:i/>
          <w:iCs/>
          <w:sz w:val="20"/>
          <w:szCs w:val="20"/>
        </w:rPr>
        <w:t xml:space="preserve">An Introduction to Theology</w:t>
      </w:r>
      <w:r>
        <w:rPr>
          <w:sz w:val="20"/>
          <w:szCs w:val="20"/>
        </w:rPr>
        <w:t xml:space="preserve">, chap. 1, sec. A.1.</w:t>
      </w:r>
    </w:p>
  </w:footnote>
  <w:footnote w:id="5">
    <w:p>
      <w:r>
        <w:rPr>
          <w:rStyle w:val="FootnoteReference"/>
        </w:rPr>
        <w:footnoteRef/>
      </w:r>
      <w:r>
        <w:rPr>
          <w:i/>
          <w:iCs/>
          <w:sz w:val="20"/>
          <w:szCs w:val="20"/>
        </w:rPr>
        <w:t xml:space="preserve">Catechism of the Catholic Church</w:t>
      </w:r>
      <w:r>
        <w:rPr>
          <w:sz w:val="20"/>
          <w:szCs w:val="20"/>
        </w:rPr>
        <w:t xml:space="preserve">, no. 36.</w:t>
      </w:r>
    </w:p>
  </w:footnote>
  <w:footnote w:id="6">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1, sec. A.1, citing John Henry Newman.</w:t>
      </w:r>
    </w:p>
  </w:footnote>
  <w:footnote w:id="7">
    <w:p>
      <w:r>
        <w:rPr>
          <w:rStyle w:val="FootnoteReference"/>
        </w:rPr>
        <w:footnoteRef/>
      </w:r>
      <w:r>
        <w:rPr>
          <w:sz w:val="20"/>
          <w:szCs w:val="20"/>
        </w:rPr>
        <w:t xml:space="preserve">Lateran Council IV, cited in </w:t>
      </w:r>
      <w:r>
        <w:rPr>
          <w:i/>
          <w:iCs/>
          <w:sz w:val="20"/>
          <w:szCs w:val="20"/>
        </w:rPr>
        <w:t xml:space="preserve">Catechism of the Catholic Church</w:t>
      </w:r>
      <w:r>
        <w:rPr>
          <w:sz w:val="20"/>
          <w:szCs w:val="20"/>
        </w:rPr>
        <w:t xml:space="preserve">, nos. 40-43; see also Thomas Aquinas, </w:t>
      </w:r>
      <w:r>
        <w:rPr>
          <w:i/>
          <w:iCs/>
          <w:sz w:val="20"/>
          <w:szCs w:val="20"/>
        </w:rPr>
        <w:t xml:space="preserve">Summa contra Gentiles</w:t>
      </w:r>
      <w:r>
        <w:rPr>
          <w:sz w:val="20"/>
          <w:szCs w:val="20"/>
        </w:rPr>
        <w:t xml:space="preserve"> I, 30.</w:t>
      </w:r>
    </w:p>
  </w:footnote>
  <w:footnote w:id="8">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1, sec. A.3.</w:t>
      </w:r>
    </w:p>
  </w:footnote>
  <w:footnote w:id="9">
    <w:p>
      <w:r>
        <w:rPr>
          <w:rStyle w:val="FootnoteReference"/>
        </w:rPr>
        <w:footnoteRef/>
      </w:r>
      <w:r>
        <w:rPr>
          <w:sz w:val="20"/>
          <w:szCs w:val="20"/>
        </w:rPr>
        <w:t xml:space="preserve">William James, </w:t>
      </w:r>
      <w:r>
        <w:rPr>
          <w:i/>
          <w:iCs/>
          <w:sz w:val="20"/>
          <w:szCs w:val="20"/>
        </w:rPr>
        <w:t xml:space="preserve">The Varieties of Religious Experience</w:t>
      </w:r>
      <w:r>
        <w:rPr>
          <w:sz w:val="20"/>
          <w:szCs w:val="20"/>
        </w:rPr>
        <w:t xml:space="preserve"> (1902); Martin Buber, </w:t>
      </w:r>
      <w:r>
        <w:rPr>
          <w:i/>
          <w:iCs/>
          <w:sz w:val="20"/>
          <w:szCs w:val="20"/>
        </w:rPr>
        <w:t xml:space="preserve">I and Thou</w:t>
      </w:r>
      <w:r>
        <w:rPr>
          <w:sz w:val="20"/>
          <w:szCs w:val="20"/>
        </w:rPr>
        <w:t xml:space="preserve"> (1937); Rudolf Otto, </w:t>
      </w:r>
      <w:r>
        <w:rPr>
          <w:i/>
          <w:iCs/>
          <w:sz w:val="20"/>
          <w:szCs w:val="20"/>
        </w:rPr>
        <w:t xml:space="preserve">The Idea of the Holy</w:t>
      </w:r>
      <w:r>
        <w:rPr>
          <w:sz w:val="20"/>
          <w:szCs w:val="20"/>
        </w:rPr>
        <w:t xml:space="preserve"> (1950); all cited in Pathil and Veliath, </w:t>
      </w:r>
      <w:r>
        <w:rPr>
          <w:i/>
          <w:iCs/>
          <w:sz w:val="20"/>
          <w:szCs w:val="20"/>
        </w:rPr>
        <w:t xml:space="preserve">An Introduction to Theology</w:t>
      </w:r>
      <w:r>
        <w:rPr>
          <w:sz w:val="20"/>
          <w:szCs w:val="20"/>
        </w:rPr>
        <w:t xml:space="preserve">, chap. 1, sec. A.4.</w:t>
      </w:r>
    </w:p>
  </w:footnote>
  <w:footnote w:id="10">
    <w:p>
      <w:r>
        <w:rPr>
          <w:rStyle w:val="FootnoteReference"/>
        </w:rPr>
        <w:footnoteRef/>
      </w:r>
      <w:r>
        <w:rPr>
          <w:sz w:val="20"/>
          <w:szCs w:val="20"/>
        </w:rPr>
        <w:t xml:space="preserve">Rudolf Otto, </w:t>
      </w:r>
      <w:r>
        <w:rPr>
          <w:i/>
          <w:iCs/>
          <w:sz w:val="20"/>
          <w:szCs w:val="20"/>
        </w:rPr>
        <w:t xml:space="preserve">The Idea of the Holy</w:t>
      </w:r>
      <w:r>
        <w:rPr>
          <w:sz w:val="20"/>
          <w:szCs w:val="20"/>
        </w:rPr>
        <w:t xml:space="preserve">, cited in Pathil and Veliath, </w:t>
      </w:r>
      <w:r>
        <w:rPr>
          <w:i/>
          <w:iCs/>
          <w:sz w:val="20"/>
          <w:szCs w:val="20"/>
        </w:rPr>
        <w:t xml:space="preserve">An Introduction to Theology</w:t>
      </w:r>
      <w:r>
        <w:rPr>
          <w:sz w:val="20"/>
          <w:szCs w:val="20"/>
        </w:rPr>
        <w:t xml:space="preserve">, chap. 1, sec. A.4.</w:t>
      </w:r>
    </w:p>
  </w:footnote>
  <w:footnote w:id="11">
    <w:p>
      <w:r>
        <w:rPr>
          <w:rStyle w:val="FootnoteReference"/>
        </w:rPr>
        <w:footnoteRef/>
      </w:r>
      <w:r>
        <w:rPr>
          <w:sz w:val="20"/>
          <w:szCs w:val="20"/>
        </w:rPr>
        <w:t xml:space="preserve">I. T. Ramsey, </w:t>
      </w:r>
      <w:r>
        <w:rPr>
          <w:i/>
          <w:iCs/>
          <w:sz w:val="20"/>
          <w:szCs w:val="20"/>
        </w:rPr>
        <w:t xml:space="preserve">Religious Language</w:t>
      </w:r>
      <w:r>
        <w:rPr>
          <w:sz w:val="20"/>
          <w:szCs w:val="20"/>
        </w:rPr>
        <w:t xml:space="preserve"> (1957), cited in Pathil and Veliath, </w:t>
      </w:r>
      <w:r>
        <w:rPr>
          <w:i/>
          <w:iCs/>
          <w:sz w:val="20"/>
          <w:szCs w:val="20"/>
        </w:rPr>
        <w:t xml:space="preserve">An Introduction to Theology</w:t>
      </w:r>
      <w:r>
        <w:rPr>
          <w:sz w:val="20"/>
          <w:szCs w:val="20"/>
        </w:rPr>
        <w:t xml:space="preserve">, chap. 1, sec. A.4.</w:t>
      </w:r>
    </w:p>
  </w:footnote>
  <w:footnote w:id="12">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1, sec. A.5.</w:t>
      </w:r>
    </w:p>
  </w:footnote>
  <w:footnote w:id="13">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1, sec. B.1.</w:t>
      </w:r>
    </w:p>
  </w:footnote>
  <w:footnote w:id="14">
    <w:p>
      <w:r>
        <w:rPr>
          <w:rStyle w:val="FootnoteReference"/>
        </w:rPr>
        <w:footnoteRef/>
      </w:r>
      <w:r>
        <w:rPr>
          <w:sz w:val="20"/>
          <w:szCs w:val="20"/>
        </w:rPr>
        <w:t xml:space="preserve">Anselm of Canterbury, cited in Pathil and Veliath, </w:t>
      </w:r>
      <w:r>
        <w:rPr>
          <w:i/>
          <w:iCs/>
          <w:sz w:val="20"/>
          <w:szCs w:val="20"/>
        </w:rPr>
        <w:t xml:space="preserve">An Introduction to Theology</w:t>
      </w:r>
      <w:r>
        <w:rPr>
          <w:sz w:val="20"/>
          <w:szCs w:val="20"/>
        </w:rPr>
        <w:t xml:space="preserve">, chap. 1, sec. B.2.</w:t>
      </w:r>
    </w:p>
  </w:footnote>
  <w:footnote w:id="15">
    <w:p>
      <w:r>
        <w:rPr>
          <w:rStyle w:val="FootnoteReference"/>
        </w:rPr>
        <w:footnoteRef/>
      </w:r>
      <w:r>
        <w:rPr>
          <w:sz w:val="20"/>
          <w:szCs w:val="20"/>
        </w:rPr>
        <w:t xml:space="preserve">John Paul II, </w:t>
      </w:r>
      <w:r>
        <w:rPr>
          <w:i/>
          <w:iCs/>
          <w:sz w:val="20"/>
          <w:szCs w:val="20"/>
        </w:rPr>
        <w:t xml:space="preserve">Fides et Ratio</w:t>
      </w:r>
      <w:r>
        <w:rPr>
          <w:sz w:val="20"/>
          <w:szCs w:val="20"/>
        </w:rPr>
        <w:t xml:space="preserve">, no. 73, cited in Pathil and Veliath, </w:t>
      </w:r>
      <w:r>
        <w:rPr>
          <w:i/>
          <w:iCs/>
          <w:sz w:val="20"/>
          <w:szCs w:val="20"/>
        </w:rPr>
        <w:t xml:space="preserve">An Introduction to Theology</w:t>
      </w:r>
      <w:r>
        <w:rPr>
          <w:sz w:val="20"/>
          <w:szCs w:val="20"/>
        </w:rPr>
        <w:t xml:space="preserve">, chap. 1, sec. B.2.</w:t>
      </w:r>
    </w:p>
  </w:footnote>
  <w:footnote w:id="16">
    <w:p>
      <w:r>
        <w:rPr>
          <w:rStyle w:val="FootnoteReference"/>
        </w:rPr>
        <w:footnoteRef/>
      </w:r>
      <w:r>
        <w:rPr>
          <w:sz w:val="20"/>
          <w:szCs w:val="20"/>
        </w:rPr>
        <w:t xml:space="preserve">Vatican Council II, </w:t>
      </w:r>
      <w:r>
        <w:rPr>
          <w:i/>
          <w:iCs/>
          <w:sz w:val="20"/>
          <w:szCs w:val="20"/>
        </w:rPr>
        <w:t xml:space="preserve">Unitatis Redintegratio</w:t>
      </w:r>
      <w:r>
        <w:rPr>
          <w:sz w:val="20"/>
          <w:szCs w:val="20"/>
        </w:rPr>
        <w:t xml:space="preserve">, no. 17, on the complementary rather than conflicting Theological Traditions of East and West, cited in Pathil and Veliath, </w:t>
      </w:r>
      <w:r>
        <w:rPr>
          <w:i/>
          <w:iCs/>
          <w:sz w:val="20"/>
          <w:szCs w:val="20"/>
        </w:rPr>
        <w:t xml:space="preserve">An Introduction to Theology</w:t>
      </w:r>
      <w:r>
        <w:rPr>
          <w:sz w:val="20"/>
          <w:szCs w:val="20"/>
        </w:rPr>
        <w:t xml:space="preserve">, chap. 1, sec. B.3.</w:t>
      </w:r>
    </w:p>
  </w:footnote>
  <w:footnote w:id="17">
    <w:p>
      <w:r>
        <w:rPr>
          <w:rStyle w:val="FootnoteReference"/>
        </w:rPr>
        <w:footnoteRef/>
      </w:r>
      <w:r>
        <w:rPr>
          <w:sz w:val="20"/>
          <w:szCs w:val="20"/>
        </w:rPr>
        <w:t xml:space="preserve">Karl Rahner, </w:t>
      </w:r>
      <w:r>
        <w:rPr>
          <w:i/>
          <w:iCs/>
          <w:sz w:val="20"/>
          <w:szCs w:val="20"/>
        </w:rPr>
        <w:t xml:space="preserve">Theological Investigations</w:t>
      </w:r>
      <w:r>
        <w:rPr>
          <w:sz w:val="20"/>
          <w:szCs w:val="20"/>
        </w:rPr>
        <w:t xml:space="preserve">, vol. 9, p. 28, cited in Pathil and Veliath, </w:t>
      </w:r>
      <w:r>
        <w:rPr>
          <w:i/>
          <w:iCs/>
          <w:sz w:val="20"/>
          <w:szCs w:val="20"/>
        </w:rPr>
        <w:t xml:space="preserve">An Introduction to Theology</w:t>
      </w:r>
      <w:r>
        <w:rPr>
          <w:sz w:val="20"/>
          <w:szCs w:val="20"/>
        </w:rPr>
        <w:t xml:space="preserve">, chap. 1, sec. B.4.</w:t>
      </w:r>
    </w:p>
  </w:footnote>
  <w:footnote w:id="18">
    <w:p>
      <w:r>
        <w:rPr>
          <w:rStyle w:val="FootnoteReference"/>
        </w:rPr>
        <w:footnoteRef/>
      </w:r>
      <w:r>
        <w:rPr>
          <w:sz w:val="20"/>
          <w:szCs w:val="20"/>
        </w:rPr>
        <w:t xml:space="preserve">Gustavo Gutierrez, </w:t>
      </w:r>
      <w:r>
        <w:rPr>
          <w:i/>
          <w:iCs/>
          <w:sz w:val="20"/>
          <w:szCs w:val="20"/>
        </w:rPr>
        <w:t xml:space="preserve">A Theology of Liberation</w:t>
      </w:r>
      <w:r>
        <w:rPr>
          <w:sz w:val="20"/>
          <w:szCs w:val="20"/>
        </w:rPr>
        <w:t xml:space="preserve"> (1974), 6-15, cited in Pathil and Veliath, </w:t>
      </w:r>
      <w:r>
        <w:rPr>
          <w:i/>
          <w:iCs/>
          <w:sz w:val="20"/>
          <w:szCs w:val="20"/>
        </w:rPr>
        <w:t xml:space="preserve">An Introduction to Theology</w:t>
      </w:r>
      <w:r>
        <w:rPr>
          <w:sz w:val="20"/>
          <w:szCs w:val="20"/>
        </w:rPr>
        <w:t xml:space="preserve">, chap. 1, sec. B.5.</w:t>
      </w:r>
    </w:p>
  </w:footnote>
  <w:footnote w:id="19">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1, sec. B.7.</w:t>
      </w:r>
    </w:p>
  </w:footnote>
  <w:footnote w:id="20">
    <w:p>
      <w:r>
        <w:rPr>
          <w:rStyle w:val="FootnoteReference"/>
        </w:rPr>
        <w:footnoteRef/>
      </w:r>
      <w:r>
        <w:rPr>
          <w:sz w:val="20"/>
          <w:szCs w:val="20"/>
        </w:rPr>
        <w:t xml:space="preserve">Theodore W. Jennings Jr., </w:t>
      </w:r>
      <w:r>
        <w:rPr>
          <w:i/>
          <w:iCs/>
          <w:sz w:val="20"/>
          <w:szCs w:val="20"/>
        </w:rPr>
        <w:t xml:space="preserve">Introduction to Theology</w:t>
      </w:r>
      <w:r>
        <w:rPr>
          <w:sz w:val="20"/>
          <w:szCs w:val="20"/>
        </w:rPr>
        <w:t xml:space="preserve"> (London: SPCK), 2ff, cited in Pathil and Veliath, </w:t>
      </w:r>
      <w:r>
        <w:rPr>
          <w:i/>
          <w:iCs/>
          <w:sz w:val="20"/>
          <w:szCs w:val="20"/>
        </w:rPr>
        <w:t xml:space="preserve">An Introduction to Theology</w:t>
      </w:r>
      <w:r>
        <w:rPr>
          <w:sz w:val="20"/>
          <w:szCs w:val="20"/>
        </w:rPr>
        <w:t xml:space="preserve">, chap. 1, sec. B.8.</w:t>
      </w:r>
    </w:p>
  </w:footnote>
  <w:footnote w:id="21">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1, sec. B.9. This is the Definition set for the Oral Examination.</w:t>
      </w:r>
    </w:p>
  </w:footnote>
  <w:footnote w:id="22">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1, sec. C, drawing on Gerald O’Collins, </w:t>
      </w:r>
      <w:r>
        <w:rPr>
          <w:i/>
          <w:iCs/>
          <w:sz w:val="20"/>
          <w:szCs w:val="20"/>
        </w:rPr>
        <w:t xml:space="preserve">Fundamental Theology</w:t>
      </w:r>
      <w:r>
        <w:rPr>
          <w:sz w:val="20"/>
          <w:szCs w:val="20"/>
        </w:rPr>
        <w:t xml:space="preserve"> (London: Darton, Longman and Todd, 1981), 5-31.</w:t>
      </w:r>
    </w:p>
  </w:footnote>
  <w:footnote w:id="23">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1, sec. C.6.</w:t>
      </w:r>
    </w:p>
  </w:footnote>
  <w:footnote w:id="24">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1, sec. C.6.</w:t>
      </w:r>
    </w:p>
  </w:footnote>
  <w:footnote w:id="25">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1, sec. C.7.</w:t>
      </w:r>
    </w:p>
  </w:footnote>
  <w:footnote w:id="26">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1, sec. C.8.</w:t>
      </w:r>
    </w:p>
  </w:footnote>
  <w:footnote w:id="27">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1, sec. D.</w:t>
      </w:r>
    </w:p>
  </w:footnote>
  <w:footnote w:id="28">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1, sec. D.3.</w:t>
      </w:r>
    </w:p>
  </w:footnote>
  <w:footnote w:id="29">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1, sec. D.3.</w:t>
      </w:r>
    </w:p>
  </w:footnote>
  <w:footnote w:id="30">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1, sec. D.3.</w:t>
      </w:r>
    </w:p>
  </w:footnote>
  <w:footnote w:id="31">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1, sec. D.4.</w:t>
      </w:r>
    </w:p>
  </w:footnote>
  <w:footnote w:id="32">
    <w:p>
      <w:r>
        <w:rPr>
          <w:rStyle w:val="FootnoteReference"/>
        </w:rPr>
        <w:footnoteRef/>
      </w:r>
      <w:r>
        <w:rPr>
          <w:sz w:val="20"/>
          <w:szCs w:val="20"/>
        </w:rPr>
        <w:t xml:space="preserve">Vatican Council II, </w:t>
      </w:r>
      <w:r>
        <w:rPr>
          <w:i/>
          <w:iCs/>
          <w:sz w:val="20"/>
          <w:szCs w:val="20"/>
        </w:rPr>
        <w:t xml:space="preserve">Gaudium et Spes</w:t>
      </w:r>
      <w:r>
        <w:rPr>
          <w:sz w:val="20"/>
          <w:szCs w:val="20"/>
        </w:rPr>
        <w:t xml:space="preserve">, no. 36, cited in Pathil and Veliath, </w:t>
      </w:r>
      <w:r>
        <w:rPr>
          <w:i/>
          <w:iCs/>
          <w:sz w:val="20"/>
          <w:szCs w:val="20"/>
        </w:rPr>
        <w:t xml:space="preserve">An Introduction to Theology</w:t>
      </w:r>
      <w:r>
        <w:rPr>
          <w:sz w:val="20"/>
          <w:szCs w:val="20"/>
        </w:rPr>
        <w:t xml:space="preserve">, chap. 1, sec. D.5.</w:t>
      </w:r>
    </w:p>
  </w:footnote>
  <w:footnote w:id="33">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1, sec. E.</w:t>
      </w:r>
    </w:p>
  </w:footnote>
  <w:footnote w:id="34">
    <w:p>
      <w:r>
        <w:rPr>
          <w:rStyle w:val="FootnoteReference"/>
        </w:rPr>
        <w:footnoteRef/>
      </w:r>
      <w:r>
        <w:rPr>
          <w:sz w:val="20"/>
          <w:szCs w:val="20"/>
        </w:rPr>
        <w:t xml:space="preserve">Vatican Council II, Decree on Ecumenism, </w:t>
      </w:r>
      <w:r>
        <w:rPr>
          <w:i/>
          <w:iCs/>
          <w:sz w:val="20"/>
          <w:szCs w:val="20"/>
        </w:rPr>
        <w:t xml:space="preserve">Unitatis Redintegratio</w:t>
      </w:r>
      <w:r>
        <w:rPr>
          <w:sz w:val="20"/>
          <w:szCs w:val="20"/>
        </w:rPr>
        <w:t xml:space="preserve">, no. 11, cited in Pathil and Veliath, </w:t>
      </w:r>
      <w:r>
        <w:rPr>
          <w:i/>
          <w:iCs/>
          <w:sz w:val="20"/>
          <w:szCs w:val="20"/>
        </w:rPr>
        <w:t xml:space="preserve">An Introduction to Theology</w:t>
      </w:r>
      <w:r>
        <w:rPr>
          <w:sz w:val="20"/>
          <w:szCs w:val="20"/>
        </w:rPr>
        <w:t xml:space="preserve">, chap. 1, sec. E.</w:t>
      </w:r>
    </w:p>
  </w:footnote>
  <w:footnote w:id="35">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1, sec. E.</w:t>
      </w:r>
    </w:p>
  </w:footnote>
  <w:footnote w:id="36">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1, end of chapter.</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sz w:val="32"/>
      <w:szCs w:val="32"/>
    </w:rPr>
  </w:style>
  <w:style w:type="paragraph" w:styleId="Heading2">
    <w:name w:val="Heading 2"/>
    <w:basedOn w:val="Normal"/>
    <w:next w:val="Normal"/>
    <w:qFormat/>
    <w:rPr>
      <w:rFonts w:ascii="Times New Roman" w:cs="Times New Roman" w:eastAsia="Times New Roman" w:hAnsi="Times New Roman"/>
      <w:b/>
      <w:bCs/>
      <w:sz w:val="28"/>
      <w:szCs w:val="28"/>
    </w:rPr>
  </w:style>
  <w:style w:type="paragraph" w:styleId="Heading3">
    <w:name w:val="Heading 3"/>
    <w:basedOn w:val="Normal"/>
    <w:next w:val="Normal"/>
    <w:qFormat/>
    <w:rPr>
      <w:rFonts w:ascii="Times New Roman" w:cs="Times New Roman" w:eastAsia="Times New Roman" w:hAnsi="Times New Roman"/>
      <w:b/>
      <w:bCs/>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2026-07-15T19:18:06.755Z</dcterms:created>
  <dcterms:modified xsi:type="dcterms:W3CDTF">2026-07-15T19:18:06.758Z</dcterms:modified>
</cp:coreProperties>
</file>

<file path=docProps/custom.xml><?xml version="1.0" encoding="utf-8"?>
<Properties xmlns="http://schemas.openxmlformats.org/officeDocument/2006/custom-properties" xmlns:vt="http://schemas.openxmlformats.org/officeDocument/2006/docPropsVTypes"/>
</file>