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pPr>
      <w:r>
        <w:t xml:space="preserve">Chapter 2: The Sources of Theology</w:t>
      </w:r>
    </w:p>
    <w:p>
      <w:pPr>
        <w:spacing w:after="120"/>
      </w:pPr>
      <w:r>
        <w:t xml:space="preserve">Class Notes on Kuncheria Pathil, CMI, and Dominic Veliath, SDB, </w:t>
      </w:r>
      <w:r>
        <w:rPr>
          <w:i/>
          <w:iCs/>
        </w:rPr>
        <w:t xml:space="preserve">An Introduction to Theology</w:t>
      </w:r>
      <w:r>
        <w:t xml:space="preserve">, Indian Theological Series.</w:t>
      </w:r>
      <w:r>
        <w:rPr>
          <w:rStyle w:val="FootnoteReference"/>
        </w:rPr>
        <w:footnoteReference w:id="1"/>
      </w:r>
    </w:p>
    <w:p>
      <w:pPr>
        <w:spacing w:after="120"/>
      </w:pPr>
      <w:r>
        <w:t xml:space="preserve">Leitmotif continues: “Come no closer; remove your sandals, for the place where you are standing is holy ground” (Ex 3:5). Chapter 1 asked what Theology is. Chapter 2 asks where the Theologian stands while doing it. Foundations, Sources and Resources are together the Holy Ground beneath every Theological Sentence.</w:t>
      </w:r>
    </w:p>
    <w:p>
      <w:pPr>
        <w:pStyle w:val="Heading2"/>
        <w:spacing w:after="120" w:before="220"/>
      </w:pPr>
      <w:r>
        <w:t xml:space="preserve">A. Foundations of Theology</w:t>
      </w:r>
    </w:p>
    <w:p>
      <w:pPr>
        <w:spacing w:after="120"/>
      </w:pPr>
      <w:r>
        <w:t xml:space="preserve">Faith and Revelation are the Foundations of Theology, two Sides of the same Event: Revelation is God’s Self-Communication; Faith is the human Reception and Response. “Revelation is God’s self-communication to humans and faith is the response on the human side.”</w:t>
      </w:r>
      <w:r>
        <w:rPr>
          <w:rStyle w:val="FootnoteReference"/>
        </w:rPr>
        <w:footnoteReference w:id="2"/>
      </w:r>
      <w:r>
        <w:t xml:space="preserve"> Neither exists without the other.</w:t>
      </w:r>
    </w:p>
    <w:p>
      <w:pPr>
        <w:pStyle w:val="Heading3"/>
        <w:spacing w:after="100" w:before="180"/>
      </w:pPr>
      <w:r>
        <w:t xml:space="preserve">1. Faith</w:t>
      </w:r>
    </w:p>
    <w:p>
      <w:pPr>
        <w:spacing w:after="120"/>
      </w:pPr>
      <w:r>
        <w:t xml:space="preserve">Faith is a universal Human Phenomenon before it is a Christian Category. Paul Tillich defined Faith as “Ultimate Concern,” the State of being ultimately concerned, whatever proceeds from the Centre of one’s Being and absorbs the Energy of the whole Heart and Mind.</w:t>
      </w:r>
      <w:r>
        <w:rPr>
          <w:rStyle w:val="FootnoteReference"/>
        </w:rPr>
        <w:footnoteReference w:id="3"/>
      </w:r>
    </w:p>
    <w:p>
      <w:pPr>
        <w:spacing w:after="120"/>
      </w:pPr>
      <w:r>
        <w:t xml:space="preserve">Abraham is the Father of Faith, “the father of all who believe” (Rom 4:3); “By faith, Abraham obeyed when he was called to go out to a place which he was to receive as an inheritance” (Heb 11:8, citing Gen 12:1-4). Judaism, Christianity and Islam share this Abrahamic Faith: Obedience to God’s Word and deep Commitment to God’s Call in History.</w:t>
      </w:r>
    </w:p>
    <w:p>
      <w:pPr>
        <w:spacing w:after="120"/>
      </w:pPr>
      <w:r>
        <w:t xml:space="preserve">Christian Faith has its own Specificity: Faith in Jesus Christ, the Word of God Incarnate, in whom the Promises to Abraham and Israel are fulfilled and Salvation offered to all Nations.</w:t>
      </w:r>
      <w:r>
        <w:rPr>
          <w:rStyle w:val="FootnoteReference"/>
        </w:rPr>
        <w:footnoteReference w:id="4"/>
      </w:r>
    </w:p>
    <w:p>
      <w:pPr>
        <w:spacing w:after="120"/>
      </w:pPr>
      <w:r>
        <w:rPr>
          <w:b/>
          <w:bCs/>
        </w:rPr>
        <w:t xml:space="preserve">Faith and Belief are not the Same.</w:t>
      </w:r>
      <w:r>
        <w:t xml:space="preserve"> Faith is the total Response and Commitment of the whole Person to God; Beliefs are the rational, conceptual Expression of Faith’s Content (fides quae), always partial and culturally conditioned, while Faith itself (fides qua) remains one.</w:t>
      </w:r>
    </w:p>
    <w:p>
      <w:pPr>
        <w:pBdr>
          <w:left w:val="single" w:color="1565C0" w:sz="24"/>
        </w:pBdr>
        <w:shd w:fill="E3F2FD" w:val="clear"/>
        <w:spacing w:after="160" w:before="160"/>
        <w:ind w:left="240"/>
      </w:pPr>
      <w:r>
        <w:rPr>
          <w:b/>
          <w:bCs/>
          <w:color w:val="1565C0"/>
        </w:rPr>
        <w:t xml:space="preserve">EXAMPLE: </w:t>
      </w:r>
      <w:r>
        <w:t xml:space="preserve">“There is one Christ and one faith in Christ, but there have been different Christologies... one and the same faith in the real presence of Christ in the Eucharist, but different doctrines and theories to explain it.”</w:t>
      </w:r>
      <w:r>
        <w:rPr>
          <w:rStyle w:val="FootnoteReference"/>
        </w:rPr>
        <w:footnoteReference w:id="5"/>
      </w:r>
      <w:r>
        <w:t xml:space="preserve"> Doctrinal Development is thus not a Betrayal of Faith but its natural Growth.</w:t>
      </w:r>
    </w:p>
    <w:p>
      <w:pPr>
        <w:spacing w:after="120"/>
      </w:pPr>
      <w:r>
        <w:t xml:space="preserve">Faith can change and deepen. Four Reasons given: the Faith-Development Theories of Piaget, Erikson and Fowler trace Growth across a Lifetime; historical and cultural Context always situates Understanding; Faith is a perilous Journey between Belief and Doubt, and Doubt can deepen a living Faith; and Faith must pass from inherited, conventional Faith to personally appropriated Faith, the Chapter naming “Cultural Christianity,” baptized but not personally believing, as the unconverted middle stage.</w:t>
      </w:r>
      <w:r>
        <w:rPr>
          <w:rStyle w:val="FootnoteReference"/>
        </w:rPr>
        <w:footnoteReference w:id="6"/>
      </w:r>
    </w:p>
    <w:p>
      <w:pPr>
        <w:spacing w:after="120" w:before="120"/>
        <w:ind w:left="720" w:right="720"/>
      </w:pPr>
      <w:r>
        <w:t xml:space="preserve">“To know the truth is to do the truth; to know Jesus is to follow Jesus.”</w:t>
      </w:r>
    </w:p>
    <w:p>
      <w:pPr>
        <w:spacing w:after="120"/>
      </w:pPr>
      <w:r>
        <w:rPr/>
        <w:t xml:space="preserve">(Jon Sobrino, cited in Pathil and Veliath, </w:t>
      </w:r>
      <w:r>
        <w:rPr>
          <w:i/>
          <w:iCs/>
        </w:rPr>
        <w:t xml:space="preserve">An Introduction to Theology</w:t>
      </w:r>
      <w:r>
        <w:rPr/>
        <w:t xml:space="preserve">, chap. 2, sec. A.1.) Faith is finally not mere intellectual Assent but a Praxis, and remains, above all, God’s free Gift: “this revelation did not come from flesh and blood but from my Father who is in heaven.”</w:t>
      </w:r>
      <w:r>
        <w:rPr>
          <w:rStyle w:val="FootnoteReference"/>
        </w:rPr>
        <w:footnoteReference w:id="7"/>
      </w:r>
    </w:p>
    <w:p>
      <w:pPr>
        <w:pStyle w:val="Heading3"/>
        <w:spacing w:after="100" w:before="180"/>
      </w:pPr>
      <w:r>
        <w:t xml:space="preserve">2. Revelation</w:t>
      </w:r>
    </w:p>
    <w:p>
      <w:pPr>
        <w:spacing w:after="120"/>
      </w:pPr>
      <w:r>
        <w:t xml:space="preserve">Revelation is God’s gracious Self-Disclosure, “reaching out to humans as an invitation, as well as promise, to participate in God’s own life of unfathomable love, mediated to us through persons, nature, history, everyday experience, and, in an ultimate way, in and through God’s very Word, Jesus Christ.”</w:t>
      </w:r>
      <w:r>
        <w:rPr>
          <w:rStyle w:val="FootnoteReference"/>
        </w:rPr>
        <w:footnoteReference w:id="8"/>
      </w:r>
    </w:p>
    <w:p>
      <w:pPr>
        <w:spacing w:after="120"/>
      </w:pPr>
      <w:r>
        <w:t xml:space="preserve">“In His goodness and wisdom, God chose to reveal Himself and to make known to us the hidden purpose of His will.”</w:t>
      </w:r>
      <w:r>
        <w:rPr>
          <w:rStyle w:val="FootnoteReference"/>
        </w:rPr>
        <w:footnoteReference w:id="9"/>
      </w:r>
      <w:r>
        <w:rPr/>
        <w:t xml:space="preserve"> Revelation reaches its Fullness in Christ: “God, last of all in these days has spoken to us by his Son” (Heb 1:1-2; </w:t>
      </w:r>
      <w:r>
        <w:rPr>
          <w:i/>
          <w:iCs/>
        </w:rPr>
        <w:t xml:space="preserve">Dei Verbum</w:t>
      </w:r>
      <w:r>
        <w:rPr/>
        <w:t xml:space="preserve">, no. 4).</w:t>
      </w:r>
    </w:p>
    <w:p>
      <w:pPr>
        <w:pBdr>
          <w:left w:val="single" w:color="2E7D32" w:sz="24"/>
        </w:pBdr>
        <w:shd w:fill="E8F5E9" w:val="clear"/>
        <w:spacing w:after="160" w:before="160"/>
        <w:ind w:left="240"/>
      </w:pPr>
      <w:r>
        <w:rPr>
          <w:b/>
          <w:bCs/>
          <w:color w:val="2E7D32"/>
        </w:rPr>
        <w:t xml:space="preserve">INDIAN CONTEXT: </w:t>
      </w:r>
      <w:r>
        <w:t xml:space="preserve">Revelation is closed, complete in Christ, “there will be no other word than this One,” yet not exhausted: “it remains for Christian faith gradually to grasp its full significance over the course of the centuries.”</w:t>
      </w:r>
      <w:r>
        <w:rPr>
          <w:rStyle w:val="FootnoteReference"/>
        </w:rPr>
        <w:footnoteReference w:id="10"/>
      </w:r>
      <w:r>
        <w:t xml:space="preserve"> This is a Polarity in itself: Revelation is Closed in Christ, But its Understanding is never Closed.</w:t>
      </w:r>
    </w:p>
    <w:p>
      <w:pPr>
        <w:pStyle w:val="Heading3"/>
        <w:spacing w:after="100" w:before="180"/>
      </w:pPr>
      <w:r>
        <w:rPr/>
        <w:t xml:space="preserve">Four </w:t>
      </w:r>
      <w:r>
        <w:rPr>
          <w:i/>
          <w:iCs/>
        </w:rPr>
        <w:t xml:space="preserve">Models of Revelation</w:t>
      </w:r>
    </w:p>
    <w:p>
      <w:pPr>
        <w:pStyle w:val="ListParagraph"/>
        <w:numPr>
          <w:ilvl w:val="0"/>
          <w:numId w:val="1"/>
        </w:numPr>
        <w:spacing w:after="80"/>
      </w:pPr>
      <w:r>
        <w:rPr>
          <w:b/>
          <w:bCs/>
        </w:rPr>
        <w:t xml:space="preserve">Doctrine</w:t>
      </w:r>
      <w:r>
        <w:t xml:space="preserve">: cognitive Propositions contained in Scripture or Tradition.</w:t>
      </w:r>
    </w:p>
    <w:p>
      <w:pPr>
        <w:pStyle w:val="ListParagraph"/>
        <w:numPr>
          <w:ilvl w:val="0"/>
          <w:numId w:val="1"/>
        </w:numPr>
        <w:spacing w:after="80"/>
      </w:pPr>
      <w:r>
        <w:rPr>
          <w:b/>
          <w:bCs/>
        </w:rPr>
        <w:t xml:space="preserve">Presence</w:t>
      </w:r>
      <w:r>
        <w:t xml:space="preserve">: the personal Encounter with the living God within the Believer.</w:t>
      </w:r>
    </w:p>
    <w:p>
      <w:pPr>
        <w:pStyle w:val="ListParagraph"/>
        <w:numPr>
          <w:ilvl w:val="0"/>
          <w:numId w:val="1"/>
        </w:numPr>
        <w:spacing w:after="80"/>
      </w:pPr>
      <w:r>
        <w:rPr>
          <w:b/>
          <w:bCs/>
        </w:rPr>
        <w:t xml:space="preserve">Experience</w:t>
      </w:r>
      <w:r>
        <w:t xml:space="preserve">: a universal existential Experience possible for every Person.</w:t>
      </w:r>
    </w:p>
    <w:p>
      <w:pPr>
        <w:pStyle w:val="ListParagraph"/>
        <w:numPr>
          <w:ilvl w:val="0"/>
          <w:numId w:val="1"/>
        </w:numPr>
        <w:spacing w:after="80"/>
      </w:pPr>
      <w:r>
        <w:rPr>
          <w:b/>
          <w:bCs/>
        </w:rPr>
        <w:t xml:space="preserve">History</w:t>
      </w:r>
      <w:r>
        <w:t xml:space="preserve">: a public, historical Event open to historical Investigation.</w:t>
      </w:r>
      <w:r>
        <w:rPr>
          <w:rStyle w:val="FootnoteReference"/>
        </w:rPr>
        <w:footnoteReference w:id="11"/>
      </w:r>
    </w:p>
    <w:p>
      <w:pPr>
        <w:spacing w:after="120"/>
      </w:pPr>
      <w:r>
        <w:t xml:space="preserve">These four are not exclusive; they are Dimensions of one Reality.</w:t>
      </w:r>
    </w:p>
    <w:p>
      <w:pPr>
        <w:pStyle w:val="Heading3"/>
        <w:spacing w:after="100" w:before="180"/>
      </w:pPr>
      <w:r>
        <w:t xml:space="preserve">The Question of Other Religions</w:t>
      </w:r>
    </w:p>
    <w:p>
      <w:pPr>
        <w:spacing w:after="120"/>
      </w:pPr>
      <w:r>
        <w:t xml:space="preserve">If Revelation is universal, does Christianity hold a Monopoly? Vatican II affirms God’s Presence and Action in other Cultures and Religions.</w:t>
      </w:r>
      <w:r>
        <w:rPr>
          <w:rStyle w:val="FootnoteReference"/>
        </w:rPr>
        <w:footnoteReference w:id="12"/>
      </w:r>
      <w:r>
        <w:t xml:space="preserve"> Christian Revelation, mediated through the concrete historical Event of Christ, does not threaten but calls for Dialogue with the universal, existential Experience of Transcendence present in all Peoples.</w:t>
      </w:r>
    </w:p>
    <w:p>
      <w:pPr>
        <w:pStyle w:val="Heading2"/>
        <w:spacing w:after="120" w:before="220"/>
      </w:pPr>
      <w:r>
        <w:t xml:space="preserve">B. Sources of Theology</w:t>
      </w:r>
    </w:p>
    <w:p>
      <w:pPr>
        <w:pStyle w:val="Heading3"/>
        <w:spacing w:after="100" w:before="180"/>
      </w:pPr>
      <w:r>
        <w:t xml:space="preserve">1. The Historical Debate on the Sources</w:t>
      </w:r>
    </w:p>
    <w:p>
      <w:pPr>
        <w:spacing w:after="120"/>
      </w:pPr>
      <w:r>
        <w:rPr>
          <w:b/>
          <w:bCs/>
        </w:rPr>
        <w:t xml:space="preserve">Irenaeus</w:t>
      </w:r>
      <w:r>
        <w:t xml:space="preserve"> and the early Fathers, confronting Heresy, insisted on holding fast to the </w:t>
      </w:r>
      <w:r>
        <w:rPr>
          <w:b/>
          <w:bCs/>
        </w:rPr>
        <w:t xml:space="preserve">Apostolic Tradition</w:t>
      </w:r>
      <w:r>
        <w:t xml:space="preserve">: interpretations of Scripture may vary, but the Apostolic Tradition is one.</w:t>
      </w:r>
      <w:r>
        <w:rPr>
          <w:rStyle w:val="FootnoteReference"/>
        </w:rPr>
        <w:footnoteReference w:id="13"/>
      </w:r>
      <w:r>
        <w:t xml:space="preserve"> Once the Canon was fixed, Scripture became the supreme Norm of this founding Tradition.</w:t>
      </w:r>
    </w:p>
    <w:p>
      <w:pPr>
        <w:spacing w:after="120"/>
      </w:pPr>
      <w:r>
        <w:t xml:space="preserve">The Debate sharpened with </w:t>
      </w:r>
      <w:r>
        <w:rPr>
          <w:b/>
          <w:bCs/>
        </w:rPr>
        <w:t xml:space="preserve">Luther and Calvin’s</w:t>
      </w:r>
      <w:r>
        <w:t xml:space="preserve"> Sola Scriptura: Scripture alone, inspired by the Spirit, contains everything necessary for Salvation. The </w:t>
      </w:r>
      <w:r>
        <w:rPr>
          <w:b/>
          <w:bCs/>
        </w:rPr>
        <w:t xml:space="preserve">Council of Trent</w:t>
      </w:r>
      <w:r>
        <w:t xml:space="preserve"> answered by affirming both Scripture and unwritten Traditions, “received by the Apostles from the mouth of Christ Himself... and transmitted as it were from hand to hand.”</w:t>
      </w:r>
      <w:r>
        <w:rPr>
          <w:rStyle w:val="FootnoteReference"/>
        </w:rPr>
        <w:footnoteReference w:id="14"/>
      </w:r>
      <w:r>
        <w:t xml:space="preserve"> Post-Tridentine Theology hardened this into a defective “Two-Source Theory,” Scripture and Tradition as two separate Reservoirs of Truth.</w:t>
      </w:r>
    </w:p>
    <w:p>
      <w:pPr>
        <w:pBdr>
          <w:left w:val="single" w:color="1565C0" w:sz="24"/>
        </w:pBdr>
        <w:shd w:fill="E3F2FD" w:val="clear"/>
        <w:spacing w:after="160" w:before="160"/>
        <w:ind w:left="240"/>
      </w:pPr>
      <w:r>
        <w:rPr>
          <w:b/>
          <w:bCs/>
          <w:color w:val="1565C0"/>
        </w:rPr>
        <w:t xml:space="preserve">EXAMPLE: </w:t>
      </w:r>
      <w:r>
        <w:rPr>
          <w:b/>
          <w:bCs/>
        </w:rPr>
        <w:t xml:space="preserve">Vatican II resolves the Debate.</w:t>
      </w:r>
      <w:r>
        <w:t xml:space="preserve"> There is, in fact, only </w:t>
      </w:r>
      <w:r>
        <w:rPr>
          <w:b/>
          <w:bCs/>
        </w:rPr>
        <w:t xml:space="preserve">one Source</w:t>
      </w:r>
      <w:r>
        <w:t xml:space="preserve">: the Apostolic Tradition, the foundational revelational and Faith Experience of the early Community. But this one Tradition is concretely identified through </w:t>
      </w:r>
      <w:r>
        <w:rPr>
          <w:b/>
          <w:bCs/>
        </w:rPr>
        <w:t xml:space="preserve">three distinct Realities</w:t>
      </w:r>
      <w:r>
        <w:t xml:space="preserve">: Scripture, Tradition, and the Church’s Teaching Authority. “Sacred Tradition and Sacred Scripture form one sacred deposit of the word of God which is committed to the Church.”</w:t>
      </w:r>
      <w:r>
        <w:rPr>
          <w:rStyle w:val="FootnoteReference"/>
        </w:rPr>
        <w:footnoteReference w:id="15"/>
      </w:r>
      <w:r>
        <w:t xml:space="preserve"> “Sacred Tradition, Sacred Scripture and the teaching authority of the Church... are so linked and joined together that one cannot stand without the others.”</w:t>
      </w:r>
      <w:r>
        <w:rPr>
          <w:rStyle w:val="FootnoteReference"/>
        </w:rPr>
        <w:footnoteReference w:id="16"/>
      </w:r>
    </w:p>
    <w:p>
      <w:pPr>
        <w:pStyle w:val="Heading3"/>
        <w:spacing w:after="100" w:before="180"/>
      </w:pPr>
      <w:r>
        <w:t xml:space="preserve">2. The Three Sources</w:t>
      </w:r>
    </w:p>
    <w:p>
      <w:pPr>
        <w:pStyle w:val="Heading3"/>
        <w:spacing w:after="100" w:before="180"/>
      </w:pPr>
      <w:r>
        <w:t xml:space="preserve">a) Sacred Scripture</w:t>
      </w:r>
    </w:p>
    <w:p>
      <w:pPr>
        <w:spacing w:after="120"/>
      </w:pPr>
      <w:r>
        <w:t xml:space="preserve">Scripture is the </w:t>
      </w:r>
      <w:r>
        <w:rPr>
          <w:b/>
          <w:bCs/>
        </w:rPr>
        <w:t xml:space="preserve">norma normans non normata</w:t>
      </w:r>
      <w:r>
        <w:t xml:space="preserve">, the Norm which norms all else and is itself normed by no other Criterion.</w:t>
      </w:r>
      <w:r>
        <w:rPr>
          <w:rStyle w:val="FootnoteReference"/>
        </w:rPr>
        <w:footnoteReference w:id="17"/>
      </w:r>
      <w:r>
        <w:rPr/>
        <w:t xml:space="preserve"> Both Testaments are written by human Authors under the Inspiration of the Holy Spirit, teaching “firmly, faithfully, and without error that truth which God wanted to put into the sacred writings for the sake of our salvation” (</w:t>
      </w:r>
      <w:r>
        <w:rPr>
          <w:i/>
          <w:iCs/>
        </w:rPr>
        <w:t xml:space="preserve">Dei Verbum</w:t>
      </w:r>
      <w:r>
        <w:rPr/>
        <w:t xml:space="preserve">, no. 11). Scripture must be interpreted according to “the living tradition of the whole Church,” with final Authority resting in “the judgment of the Church” (</w:t>
      </w:r>
      <w:r>
        <w:rPr>
          <w:i/>
          <w:iCs/>
        </w:rPr>
        <w:t xml:space="preserve">Dei Verbum</w:t>
      </w:r>
      <w:r>
        <w:rPr/>
        <w:t xml:space="preserve">, no. 12).</w:t>
      </w:r>
    </w:p>
    <w:p>
      <w:pPr>
        <w:spacing w:after="120"/>
      </w:pPr>
      <w:r>
        <w:rPr/>
        <w:t xml:space="preserve">“Sacred theology rests on the written word of God, together with sacred tradition, as its primary and perpetual foundation... The sacred Scripture is the soul of sacred theology” (</w:t>
      </w:r>
      <w:r>
        <w:rPr>
          <w:i/>
          <w:iCs/>
        </w:rPr>
        <w:t xml:space="preserve">Dei Verbum</w:t>
      </w:r>
      <w:r>
        <w:rPr/>
        <w:t xml:space="preserve">, no. 24).</w:t>
      </w:r>
      <w:r>
        <w:rPr>
          <w:rStyle w:val="FootnoteReference"/>
        </w:rPr>
        <w:footnoteReference w:id="18"/>
      </w:r>
      <w:r>
        <w:t xml:space="preserve"> Inspiration is not divine Dictation; the human Authors remain conditioned by their own History, Culture and Thought-Patterns, even as the Scriptures’ Authority derives ultimately from Christ.</w:t>
      </w:r>
    </w:p>
    <w:p>
      <w:pPr>
        <w:pStyle w:val="Heading3"/>
        <w:spacing w:after="100" w:before="180"/>
      </w:pPr>
      <w:r>
        <w:t xml:space="preserve">b) Tradition and traditions</w:t>
      </w:r>
    </w:p>
    <w:p>
      <w:pPr>
        <w:spacing w:after="120"/>
      </w:pPr>
      <w:r>
        <w:t xml:space="preserve">Tradition (capital T) is the one Apostolic Reality; traditions (small t) are its many concrete Vehicles.</w:t>
      </w:r>
    </w:p>
    <w:p>
      <w:pPr>
        <w:pStyle w:val="Heading3"/>
        <w:spacing w:after="100" w:before="180"/>
      </w:pPr>
      <w:r>
        <w:t xml:space="preserve">i) Different Ecclesial Traditions</w:t>
      </w:r>
    </w:p>
    <w:p>
      <w:pPr>
        <w:spacing w:after="120"/>
      </w:pPr>
      <w:r>
        <w:t xml:space="preserve">“Each Individual Church or Rite retains its traditions whole and entire.”</w:t>
      </w:r>
      <w:r>
        <w:rPr>
          <w:rStyle w:val="FootnoteReference"/>
        </w:rPr>
        <w:footnoteReference w:id="19"/>
      </w:r>
    </w:p>
    <w:p>
      <w:pPr>
        <w:pBdr>
          <w:left w:val="single" w:color="2E7D32" w:sz="24"/>
        </w:pBdr>
        <w:shd w:fill="E8F5E9" w:val="clear"/>
        <w:spacing w:after="160" w:before="160"/>
        <w:ind w:left="240"/>
      </w:pPr>
      <w:r>
        <w:rPr>
          <w:b/>
          <w:bCs/>
          <w:color w:val="2E7D32"/>
        </w:rPr>
        <w:t xml:space="preserve">INDIAN CONTEXT: </w:t>
      </w:r>
      <w:r>
        <w:t xml:space="preserve">The Catholic Church is a Communion of </w:t>
      </w:r>
      <w:r>
        <w:rPr>
          <w:b/>
          <w:bCs/>
        </w:rPr>
        <w:t xml:space="preserve">22 Individual Churches</w:t>
      </w:r>
      <w:r>
        <w:t xml:space="preserve">, the Roman being the largest, the other 21 Oriental, belonging to </w:t>
      </w:r>
      <w:r>
        <w:rPr>
          <w:b/>
          <w:bCs/>
        </w:rPr>
        <w:t xml:space="preserve">six ancient liturgical Families</w:t>
      </w:r>
      <w:r>
        <w:t xml:space="preserve">: Roman, Alexandrian, Antiochian, Armenian, Chaldean and Byzantine, with equal Dignity among all.</w:t>
      </w:r>
      <w:r>
        <w:rPr>
          <w:rStyle w:val="FootnoteReference"/>
        </w:rPr>
        <w:footnoteReference w:id="20"/>
      </w:r>
      <w:r>
        <w:t xml:space="preserve"> India has two of these Individual Churches, the </w:t>
      </w:r>
      <w:r>
        <w:rPr>
          <w:b/>
          <w:bCs/>
        </w:rPr>
        <w:t xml:space="preserve">Syro-Malabar</w:t>
      </w:r>
      <w:r>
        <w:t xml:space="preserve"> and the </w:t>
      </w:r>
      <w:r>
        <w:rPr>
          <w:b/>
          <w:bCs/>
        </w:rPr>
        <w:t xml:space="preserve">Syro-Malankara</w:t>
      </w:r>
      <w:r>
        <w:t xml:space="preserve">, both tracing their Liturgical Ancestry to the Chaldean and Antiochene Traditions respectively. The Seminarian in India therefore studies Theology already within a living Instance of the Ecclesial Pluralism this Section describes, not as an abstract Principle from elsewhere.</w:t>
      </w:r>
    </w:p>
    <w:p>
      <w:pPr>
        <w:pStyle w:val="Heading3"/>
        <w:spacing w:after="100" w:before="180"/>
      </w:pPr>
      <w:r>
        <w:t xml:space="preserve">ii) Liturgy, Sacraments and Prayers</w:t>
      </w:r>
    </w:p>
    <w:p>
      <w:pPr>
        <w:spacing w:after="120"/>
      </w:pPr>
      <w:r>
        <w:t xml:space="preserve">“Liturgy is the summit toward which the activity of the Church is directed; at the same time it is the fountain from which all her power flows.”</w:t>
      </w:r>
      <w:r>
        <w:rPr>
          <w:rStyle w:val="FootnoteReference"/>
        </w:rPr>
        <w:footnoteReference w:id="21"/>
      </w:r>
      <w:r>
        <w:t xml:space="preserve"> This is the Chapter’s own Callback to the Lex Orandi, Lex Credendi of Chapter 1: Liturgy as Locus Theologicus. The Liturgy of the Hours, drawn from the Psalter, Scripture, Hymns and Litanies, is named a rich living Source.</w:t>
      </w:r>
    </w:p>
    <w:p>
      <w:pPr>
        <w:pStyle w:val="Heading3"/>
        <w:spacing w:after="100" w:before="180"/>
      </w:pPr>
      <w:r>
        <w:t xml:space="preserve">iii) Creeds or Symbols, Beliefs and Doctrines</w:t>
      </w:r>
    </w:p>
    <w:p>
      <w:pPr>
        <w:pBdr>
          <w:left w:val="single" w:color="1565C0" w:sz="24"/>
        </w:pBdr>
        <w:shd w:fill="E3F2FD" w:val="clear"/>
        <w:spacing w:after="160" w:before="160"/>
        <w:ind w:left="240"/>
      </w:pPr>
      <w:r>
        <w:rPr>
          <w:b/>
          <w:bCs/>
          <w:color w:val="1565C0"/>
        </w:rPr>
        <w:t xml:space="preserve">EXAMPLE: </w:t>
      </w:r>
      <w:r>
        <w:t xml:space="preserve">Creeds arose in the Context of Baptismal Liturgy and became the Rule of Faith. They are primarily Acts of Faith (fides qua) with an intellectual Content (fides quae). The </w:t>
      </w:r>
      <w:r>
        <w:rPr>
          <w:b/>
          <w:bCs/>
        </w:rPr>
        <w:t xml:space="preserve">Apostles’ Creed</w:t>
      </w:r>
      <w:r>
        <w:t xml:space="preserve">, third Century, and the Eastern </w:t>
      </w:r>
      <w:r>
        <w:rPr>
          <w:b/>
          <w:bCs/>
        </w:rPr>
        <w:t xml:space="preserve">Nicene</w:t>
      </w:r>
      <w:r>
        <w:t xml:space="preserve"> and </w:t>
      </w:r>
      <w:r>
        <w:rPr>
          <w:b/>
          <w:bCs/>
        </w:rPr>
        <w:t xml:space="preserve">Constantinopolitan Creeds</w:t>
      </w:r>
      <w:r>
        <w:t xml:space="preserve"> are the Chapter’s own Examples.</w:t>
      </w:r>
      <w:r>
        <w:rPr>
          <w:rStyle w:val="FootnoteReference"/>
        </w:rPr>
        <w:footnoteReference w:id="22"/>
      </w:r>
    </w:p>
    <w:p>
      <w:pPr>
        <w:pStyle w:val="Heading3"/>
        <w:spacing w:after="100" w:before="180"/>
      </w:pPr>
      <w:r>
        <w:t xml:space="preserve">iv) The Teachings of the Fathers of the Church</w:t>
      </w:r>
    </w:p>
    <w:p>
      <w:pPr>
        <w:spacing w:after="120"/>
      </w:pPr>
      <w:r>
        <w:t xml:space="preserve">The patristic Period runs from the close of the New Testament to John Damascene (749) in the East and Gregory the Great (604) and Isidore of Seville (639) in the West. Four Marks qualify a Father: </w:t>
      </w:r>
      <w:r>
        <w:rPr>
          <w:b/>
          <w:bCs/>
        </w:rPr>
        <w:t xml:space="preserve">Antiquity, Orthodoxy, Holiness of Life, and Recognition by the Church</w:t>
      </w:r>
      <w:r>
        <w:t xml:space="preserve">.</w:t>
      </w:r>
      <w:r>
        <w:rPr>
          <w:rStyle w:val="FootnoteReference"/>
        </w:rPr>
        <w:footnoteReference w:id="23"/>
      </w:r>
      <w:r>
        <w:t xml:space="preserve"> Their threefold Work: Scriptural Commentary, combating Heresy, and translating Faith into the Philosophical Categories of their own Age, a Model, not a Repository of ready Answers, for Theology today.</w:t>
      </w:r>
    </w:p>
    <w:p>
      <w:pPr>
        <w:pStyle w:val="Heading3"/>
        <w:spacing w:after="100" w:before="180"/>
      </w:pPr>
      <w:r>
        <w:t xml:space="preserve">v) Dogmas</w:t>
      </w:r>
    </w:p>
    <w:p>
      <w:pPr>
        <w:spacing w:after="120"/>
      </w:pPr>
      <w:r>
        <w:t xml:space="preserve">A Dogma is a Truth of Revelation explicitly propounded by the Church. Dogmas are the Church’s own fixed Faith-Language, safeguarding the Unity of Faith visibly and tangibly.</w:t>
      </w:r>
      <w:r>
        <w:rPr>
          <w:rStyle w:val="FootnoteReference"/>
        </w:rPr>
        <w:footnoteReference w:id="24"/>
      </w:r>
      <w:r>
        <w:t xml:space="preserve"> Two Qualifications: Dogma </w:t>
      </w:r>
      <w:r>
        <w:rPr>
          <w:b/>
          <w:bCs/>
        </w:rPr>
        <w:t xml:space="preserve">develops</w:t>
      </w:r>
      <w:r>
        <w:t xml:space="preserve">, making explicit what was implicit, never adding new Content to the Deposit; and Dogmas stand in a </w:t>
      </w:r>
      <w:r>
        <w:rPr>
          <w:b/>
          <w:bCs/>
        </w:rPr>
        <w:t xml:space="preserve">Hierarchy of Truths</w:t>
      </w:r>
      <w:r>
        <w:t xml:space="preserve">, “since they vary in their relationship to the foundation of the Christian faith,” that Foundation being the Mystery of Christ.</w:t>
      </w:r>
      <w:r>
        <w:rPr>
          <w:rStyle w:val="FootnoteReference"/>
        </w:rPr>
        <w:footnoteReference w:id="25"/>
      </w:r>
    </w:p>
    <w:p>
      <w:pPr>
        <w:pStyle w:val="Heading3"/>
        <w:spacing w:after="100" w:before="180"/>
      </w:pPr>
      <w:r>
        <w:t xml:space="preserve">vi) Customs, Disciplines and Codes</w:t>
      </w:r>
    </w:p>
    <w:p>
      <w:pPr>
        <w:pBdr>
          <w:left w:val="single" w:color="1565C0" w:sz="24"/>
        </w:pBdr>
        <w:shd w:fill="E3F2FD" w:val="clear"/>
        <w:spacing w:after="160" w:before="160"/>
        <w:ind w:left="240"/>
      </w:pPr>
      <w:r>
        <w:rPr>
          <w:b/>
          <w:bCs/>
          <w:color w:val="1565C0"/>
        </w:rPr>
        <w:t xml:space="preserve">EXAMPLE: </w:t>
      </w:r>
      <w:r>
        <w:t xml:space="preserve">The Church, a visible Society, needs Law. The Decalogue (Rom 13:8-10; Gal 5:13-25) roots Christian Law in the Old Testament; the Latin Code developed from Papal Decretals, first systematically codified by </w:t>
      </w:r>
      <w:r>
        <w:rPr>
          <w:b/>
          <w:bCs/>
        </w:rPr>
        <w:t xml:space="preserve">Gratian</w:t>
      </w:r>
      <w:r>
        <w:t xml:space="preserve"> in the twelfth Century, revised in 1917 and again, radically, after Vatican II in 1983, reflecting the new Ecclesiology of the People of God and Episcopal Collegiality. The Eastern Catholic Code was promulgated in 1990, the Church described as “breathing with two lungs.”</w:t>
      </w:r>
      <w:r>
        <w:rPr>
          <w:rStyle w:val="FootnoteReference"/>
        </w:rPr>
        <w:footnoteReference w:id="26"/>
      </w:r>
    </w:p>
    <w:p>
      <w:pPr>
        <w:pStyle w:val="Heading3"/>
        <w:spacing w:after="100" w:before="180"/>
      </w:pPr>
      <w:r>
        <w:t xml:space="preserve">vii) Catechisms of the Church</w:t>
      </w:r>
    </w:p>
    <w:p>
      <w:pPr>
        <w:spacing w:after="120"/>
      </w:pPr>
      <w:r>
        <w:t xml:space="preserve">From baptismal Catechesis, through the Reformation-Era Catechisms of Luther (1529), Canisius (1556) and Bellarmine (1598), to the Roman Catechism of Trent (1566, compiled by Charles Borromeo), to the 1992 </w:t>
      </w:r>
      <w:r>
        <w:rPr>
          <w:i/>
          <w:iCs/>
          <w:b/>
          <w:bCs/>
        </w:rPr>
        <w:t xml:space="preserve">Catechism of the Catholic Church</w:t>
      </w:r>
      <w:r>
        <w:t xml:space="preserve">, commissioned by the 1985 Extraordinary Synod, following the same fourfold Structure, Creed, Liturgy, Christian Life, Prayer, but with entirely new Material drawn from Vatican II.</w:t>
      </w:r>
      <w:r>
        <w:rPr>
          <w:rStyle w:val="FootnoteReference"/>
        </w:rPr>
        <w:footnoteReference w:id="27"/>
      </w:r>
    </w:p>
    <w:p>
      <w:pPr>
        <w:pStyle w:val="Heading3"/>
        <w:spacing w:after="100" w:before="180"/>
      </w:pPr>
      <w:r>
        <w:t xml:space="preserve">c) Magisterium or Teaching Office of the Church</w:t>
      </w:r>
    </w:p>
    <w:p>
      <w:pPr>
        <w:spacing w:after="120"/>
      </w:pPr>
      <w:r>
        <w:t xml:space="preserve">Distinct from Scripture and Tradition, yet inseparably united with them.</w:t>
      </w:r>
    </w:p>
    <w:p>
      <w:pPr>
        <w:pStyle w:val="Heading3"/>
        <w:spacing w:after="100" w:before="180"/>
      </w:pPr>
      <w:r>
        <w:t xml:space="preserve">i) Collegiality of the Bishops</w:t>
      </w:r>
    </w:p>
    <w:p>
      <w:pPr>
        <w:spacing w:after="120"/>
      </w:pPr>
      <w:r>
        <w:rPr/>
        <w:t xml:space="preserve">The Bishops, as one College or Collegium in Communion with the Roman Pontiff, hold the supreme Teaching Authority (</w:t>
      </w:r>
      <w:r>
        <w:rPr>
          <w:i/>
          <w:iCs/>
        </w:rPr>
        <w:t xml:space="preserve">Lumen Gentium</w:t>
      </w:r>
      <w:r>
        <w:rPr/>
        <w:t xml:space="preserve">, nos. 18-23). The New Testament Basis is Christ’s Choice of the Twelve. The Bishops teach at varying Levels of Authority, ordinary and, when acting collegially with the Pope, extraordinary or Infallible.</w:t>
      </w:r>
      <w:r>
        <w:rPr>
          <w:rStyle w:val="FootnoteReference"/>
        </w:rPr>
        <w:footnoteReference w:id="28"/>
      </w:r>
    </w:p>
    <w:p>
      <w:pPr>
        <w:pStyle w:val="Heading3"/>
        <w:spacing w:after="100" w:before="180"/>
      </w:pPr>
      <w:r>
        <w:t xml:space="preserve">ii) Papal Magisterium</w:t>
      </w:r>
    </w:p>
    <w:p>
      <w:pPr>
        <w:spacing w:after="120"/>
      </w:pPr>
      <w:r>
        <w:t xml:space="preserve">Roman Primacy, rooted in Peter’s Role in the New Testament (Mt 16:18) and Peter’s Martyrdom in Rome, was solemnly defined only at </w:t>
      </w:r>
      <w:r>
        <w:rPr>
          <w:b/>
          <w:bCs/>
        </w:rPr>
        <w:t xml:space="preserve">Vatican I (1870)</w:t>
      </w:r>
      <w:r>
        <w:t xml:space="preserve">, though attested earlier at the Councils of Lyons (1274) and Florence (1439).</w:t>
      </w:r>
      <w:r>
        <w:rPr>
          <w:rStyle w:val="FootnoteReference"/>
        </w:rPr>
        <w:footnoteReference w:id="29"/>
      </w:r>
      <w:r>
        <w:t xml:space="preserve"> Vatican I’s Definition of Papal Primacy and Infallibility is today read together with Vatican II’s Collegiality: the Pope teaches as Head of the College, not apart from it. Papal Teachings range from solemn infallible Definitions, such as the Immaculate Conception and the Assumption, to ordinary Teaching in Encyclicals.</w:t>
      </w:r>
    </w:p>
    <w:p>
      <w:pPr>
        <w:pStyle w:val="Heading3"/>
        <w:spacing w:after="100" w:before="180"/>
      </w:pPr>
      <w:r>
        <w:t xml:space="preserve">Sensus Fidei, Sensus Fidelium</w:t>
      </w:r>
    </w:p>
    <w:p>
      <w:pPr>
        <w:pBdr>
          <w:left w:val="single" w:color="1565C0" w:sz="24"/>
        </w:pBdr>
        <w:shd w:fill="E3F2FD" w:val="clear"/>
        <w:spacing w:after="160" w:before="160"/>
        <w:ind w:left="240"/>
      </w:pPr>
      <w:r>
        <w:rPr>
          <w:b/>
          <w:bCs/>
          <w:color w:val="1565C0"/>
        </w:rPr>
        <w:t xml:space="preserve">EXAMPLE: </w:t>
      </w:r>
      <w:r>
        <w:t xml:space="preserve">“The body of the faithful as a whole, anointed as they are by the Holy One, cannot err in matters of belief... it shows universal agreement in matters of faith and morals.”</w:t>
      </w:r>
      <w:r>
        <w:rPr>
          <w:rStyle w:val="FootnoteReference"/>
        </w:rPr>
        <w:footnoteReference w:id="30"/>
      </w:r>
      <w:r>
        <w:t xml:space="preserve"> The whole People of God possesses a supernatural Sense of Faith, which the Magisterium must discern, not override. Theologizing therefore needs the harmonious Blending of </w:t>
      </w:r>
      <w:r>
        <w:rPr>
          <w:b/>
          <w:bCs/>
        </w:rPr>
        <w:t xml:space="preserve">three Elements: the Sensus Fidei of the Community, the Charism of the Magisterium, and the intuitive, prophetic Work of the Theologian</w:t>
      </w:r>
      <w:r>
        <w:t xml:space="preserve">.</w:t>
      </w:r>
    </w:p>
    <w:p>
      <w:pPr>
        <w:pStyle w:val="Heading2"/>
        <w:spacing w:after="120" w:before="220"/>
      </w:pPr>
      <w:r>
        <w:t xml:space="preserve">Hinge</w:t>
      </w:r>
    </w:p>
    <w:p>
      <w:pPr>
        <w:spacing w:after="120" w:before="120"/>
        <w:ind w:left="720" w:right="720"/>
      </w:pPr>
      <w:r>
        <w:t xml:space="preserve">Is the Bush still Holy Ground when the Theologian moves from the Sources handed down to the Resources still being spoken? “Come no closer” was said once at the Bush; but the Voice that sent Moses to Pharaoh and to the Cry of the People (Ex 3:7, 10) did not fall silent when the Canon closed.</w:t>
      </w:r>
    </w:p>
    <w:p>
      <w:pPr>
        <w:pStyle w:val="Heading2"/>
        <w:spacing w:after="120" w:before="220"/>
      </w:pPr>
      <w:r>
        <w:t xml:space="preserve">C. Resources of Theology</w:t>
      </w:r>
    </w:p>
    <w:p>
      <w:pPr>
        <w:spacing w:after="120"/>
      </w:pPr>
      <w:r>
        <w:t xml:space="preserve">Revelation is definitive in Christ, but God has not ceased to act. “Even prior to the incarnation of the Word in Jesus Christ, God had certainly intervened, acted and spoke in human history.”</w:t>
      </w:r>
      <w:r>
        <w:rPr>
          <w:rStyle w:val="FootnoteReference"/>
        </w:rPr>
        <w:footnoteReference w:id="31"/>
      </w:r>
      <w:r>
        <w:rPr/>
        <w:t xml:space="preserve"> Where the Sources above are the normative, historically fixed Media of the one Apostolic Tradition, the Resources are the wider Field in which God continues to speak today, read through the Signs of the Times (</w:t>
      </w:r>
      <w:r>
        <w:rPr>
          <w:i/>
          <w:iCs/>
        </w:rPr>
        <w:t xml:space="preserve">Gaudium et Spes</w:t>
      </w:r>
      <w:r>
        <w:rPr/>
        <w:t xml:space="preserve">) in the ongoing hermeneutical Task of Theology.</w:t>
      </w:r>
    </w:p>
    <w:p>
      <w:pPr>
        <w:pStyle w:val="Heading3"/>
        <w:spacing w:after="100" w:before="180"/>
      </w:pPr>
      <w:r>
        <w:t xml:space="preserve">1. People and their Experience</w:t>
      </w:r>
    </w:p>
    <w:p>
      <w:pPr>
        <w:spacing w:after="120"/>
      </w:pPr>
      <w:r>
        <w:t xml:space="preserve">“God does not have favourites, but anybody of any nationality who fear God and does what is right is acceptable to him” (Acts 10:34-35, the Cornelius Episode). The whole of Humankind relates, in different Degrees, to the People of God.</w:t>
      </w:r>
      <w:r>
        <w:rPr>
          <w:rStyle w:val="FootnoteReference"/>
        </w:rPr>
        <w:footnoteReference w:id="32"/>
      </w:r>
      <w:r>
        <w:t xml:space="preserve"> Human Experience, in Art, Architecture, Music, Story and Struggle, is the Meeting-Point of God’s Self-Gift and human Response, and so the Starting-Point of all religious and theological Investigation.</w:t>
      </w:r>
    </w:p>
    <w:p>
      <w:pPr>
        <w:pStyle w:val="Heading3"/>
        <w:spacing w:after="100" w:before="180"/>
      </w:pPr>
      <w:r>
        <w:t xml:space="preserve">2. Cultural Resources</w:t>
      </w:r>
    </w:p>
    <w:p>
      <w:pPr>
        <w:spacing w:after="120"/>
      </w:pPr>
      <w:r>
        <w:t xml:space="preserve">Culture = the total Vision of Life of a People: Values, Symbols, Customs, Story. “Man develops and refines his own talents and qualities” through Culture, and Culture in turn shapes the Person by Socialisation.</w:t>
      </w:r>
      <w:r>
        <w:rPr>
          <w:rStyle w:val="FootnoteReference"/>
        </w:rPr>
        <w:footnoteReference w:id="33"/>
      </w:r>
      <w:r>
        <w:t xml:space="preserve"> No Culture is superior or inferior; each carries both authentic Value and the Distortion of Sin, and needs the Cross-Fertilisation of Contact with Others without losing Identity.</w:t>
      </w:r>
    </w:p>
    <w:p>
      <w:pPr>
        <w:spacing w:after="120"/>
      </w:pPr>
      <w:r>
        <w:rPr/>
        <w:t xml:space="preserve">“God speaks to humans according to their culture of different ages” (</w:t>
      </w:r>
      <w:r>
        <w:rPr>
          <w:i/>
          <w:iCs/>
        </w:rPr>
        <w:t xml:space="preserve">Gaudium et Spes</w:t>
      </w:r>
      <w:r>
        <w:rPr/>
        <w:t xml:space="preserve">, no. 58). Christian Theology’s older missionary Method too often imposed the Gospel from outside; the Task now is first to </w:t>
      </w:r>
      <w:r>
        <w:rPr>
          <w:b/>
          <w:bCs/>
        </w:rPr>
        <w:t xml:space="preserve">listen</w:t>
      </w:r>
      <w:r>
        <w:t xml:space="preserve"> to a Culture and discern the Risen Lord already at work within it.</w:t>
      </w:r>
      <w:r>
        <w:rPr>
          <w:rStyle w:val="FootnoteReference"/>
        </w:rPr>
        <w:footnoteReference w:id="34"/>
      </w:r>
    </w:p>
    <w:p>
      <w:pPr>
        <w:pStyle w:val="Heading3"/>
        <w:spacing w:after="100" w:before="180"/>
      </w:pPr>
      <w:r>
        <w:t xml:space="preserve">3. Diverse Religious Traditions</w:t>
      </w:r>
    </w:p>
    <w:p>
      <w:pPr>
        <w:spacing w:after="120"/>
      </w:pPr>
      <w:r>
        <w:t xml:space="preserve">The Chapter traces </w:t>
      </w:r>
      <w:r>
        <w:rPr>
          <w:b/>
          <w:bCs/>
        </w:rPr>
        <w:t xml:space="preserve">Three historical Stages</w:t>
      </w:r>
      <w:r>
        <w:t xml:space="preserve"> in Christianity’s Encounter with other Religions: first, other Religions seen as a Threat, false, merely human, even demonic; second, a more scientific Recognition of human Value in them, though still subordinate to Christianity; third, today’s Stage, in which God is recognised as present and active within authentic religious Traditions themselves.</w:t>
      </w:r>
      <w:r>
        <w:rPr>
          <w:rStyle w:val="FootnoteReference"/>
        </w:rPr>
        <w:footnoteReference w:id="35"/>
      </w:r>
    </w:p>
    <w:p>
      <w:pPr>
        <w:spacing w:after="120"/>
      </w:pPr>
      <w:r>
        <w:rPr/>
        <w:t xml:space="preserve">“All those who strive to do the will of God as it is known to them through the dictates of conscience” may attain Salvation (</w:t>
      </w:r>
      <w:r>
        <w:rPr>
          <w:i/>
          <w:iCs/>
        </w:rPr>
        <w:t xml:space="preserve">Lumen Gentium</w:t>
      </w:r>
      <w:r>
        <w:rPr/>
        <w:t xml:space="preserve">, no. 16). Other Religions “reflect a ray of that truth which enlightens all” (</w:t>
      </w:r>
      <w:r>
        <w:rPr>
          <w:i/>
          <w:iCs/>
        </w:rPr>
        <w:t xml:space="preserve">Nostra Aetate</w:t>
      </w:r>
      <w:r>
        <w:rPr/>
        <w:t xml:space="preserve">, no. 2).</w:t>
      </w:r>
      <w:r>
        <w:rPr>
          <w:rStyle w:val="FootnoteReference"/>
        </w:rPr>
        <w:footnoteReference w:id="36"/>
      </w:r>
    </w:p>
    <w:p>
      <w:pPr>
        <w:pBdr>
          <w:left w:val="single" w:color="1565C0" w:sz="24"/>
        </w:pBdr>
        <w:shd w:fill="E3F2FD" w:val="clear"/>
        <w:spacing w:after="160" w:before="160"/>
        <w:ind w:left="240"/>
      </w:pPr>
      <w:r>
        <w:rPr>
          <w:b/>
          <w:bCs/>
          <w:color w:val="1565C0"/>
        </w:rPr>
        <w:t xml:space="preserve">EXAMPLE: </w:t>
      </w:r>
      <w:r>
        <w:t xml:space="preserve">The Federation of Asian Bishops’ Conferences went further: “We accept them, the Great religions of Asia, as significant and positive elements in the economy of God’s design of salvation... How can we not acknowledge that God has drawn our peoples to Himself through them?”</w:t>
      </w:r>
      <w:r>
        <w:rPr>
          <w:rStyle w:val="FootnoteReference"/>
        </w:rPr>
        <w:footnoteReference w:id="37"/>
      </w:r>
    </w:p>
    <w:p>
      <w:pPr>
        <w:spacing w:after="120"/>
      </w:pPr>
      <w:r>
        <w:t xml:space="preserve">This is the Chapter’s own Hinge into Dialogue: not all Religions are equally free of Distortion, since Sin can affect any Symbolic System, but the Scriptures of other Religions are named as a Heritage of the whole of Humanity, and Interreligious Dialogue is named a central Task of Theology today, calling all Religions to mutual Learning, Reform and Communion.</w:t>
      </w:r>
    </w:p>
    <w:p>
      <w:pPr>
        <w:pStyle w:val="Heading3"/>
        <w:spacing w:after="100" w:before="180"/>
      </w:pPr>
      <w:r>
        <w:t xml:space="preserve">4. The Peoples’ Movements and the Voice of the Marginalized</w:t>
      </w:r>
    </w:p>
    <w:p>
      <w:pPr>
        <w:pBdr>
          <w:left w:val="single" w:color="2E7D32" w:sz="24"/>
        </w:pBdr>
        <w:shd w:fill="E8F5E9" w:val="clear"/>
        <w:spacing w:after="160" w:before="160"/>
        <w:ind w:left="240"/>
      </w:pPr>
      <w:r>
        <w:rPr>
          <w:b/>
          <w:bCs/>
          <w:color w:val="2E7D32"/>
        </w:rPr>
        <w:t xml:space="preserve">INDIAN CONTEXT: </w:t>
      </w:r>
      <w:r>
        <w:t xml:space="preserve">“The Exodus was the story of the struggles and triumph of an oppressed people.”</w:t>
      </w:r>
      <w:r>
        <w:rPr>
          <w:rStyle w:val="FootnoteReference"/>
        </w:rPr>
        <w:footnoteReference w:id="38"/>
      </w:r>
      <w:r>
        <w:t xml:space="preserve"> Israel’s History and the Community Jesus gathered, tax collectors, the sick, the sinners, are named as one continuous People’s Movement toward Freedom, Justice, Equality and Fellowship. The Chapter names today’s Equivalents: Human Rights, Women’s, Peasants’, Fisher-Folk, </w:t>
      </w:r>
      <w:r>
        <w:rPr>
          <w:b/>
          <w:bCs/>
        </w:rPr>
        <w:t xml:space="preserve">Tribal</w:t>
      </w:r>
      <w:r>
        <w:t xml:space="preserve">, </w:t>
      </w:r>
      <w:r>
        <w:rPr>
          <w:b/>
          <w:bCs/>
        </w:rPr>
        <w:t xml:space="preserve">Dalit</w:t>
      </w:r>
      <w:r>
        <w:t xml:space="preserve"> and Ecological Movements. Theology must attend especially to the Voice of Women, more than 50 per cent of the World’s People yet still under-represented, and of the Dalits and Tribals, marginalised in India by Caste and dominant Socio-Economic Power.</w:t>
      </w:r>
    </w:p>
    <w:p>
      <w:pPr>
        <w:pStyle w:val="Heading3"/>
        <w:spacing w:after="100" w:before="180"/>
      </w:pPr>
      <w:r>
        <w:t xml:space="preserve">5. The Cry of the Poor</w:t>
      </w:r>
    </w:p>
    <w:p>
      <w:pPr>
        <w:pBdr>
          <w:left w:val="single" w:color="2E7D32" w:sz="24"/>
        </w:pBdr>
        <w:shd w:fill="E8F5E9" w:val="clear"/>
        <w:spacing w:after="160" w:before="160"/>
        <w:ind w:left="240"/>
      </w:pPr>
      <w:r>
        <w:rPr>
          <w:b/>
          <w:bCs/>
          <w:color w:val="2E7D32"/>
        </w:rPr>
        <w:t xml:space="preserve">INDIAN CONTEXT: </w:t>
      </w:r>
      <w:r>
        <w:t xml:space="preserve">“In the traditional caste organization, the outcastes were discriminated; but they knew that they were wanted... today the worst thing is happening: the poor are told that they are not wanted, that they are redundant.”</w:t>
      </w:r>
      <w:r>
        <w:rPr>
          <w:rStyle w:val="FootnoteReference"/>
        </w:rPr>
        <w:footnoteReference w:id="39"/>
      </w:r>
      <w:r>
        <w:t xml:space="preserve"> Poverty is not willed by God but is the Consequence of Sin, incompatible with the Kingdom Jesus proclaimed. The Church must take “an unambiguous option for the poor, and listen to their cry.”</w:t>
      </w:r>
      <w:r>
        <w:rPr>
          <w:rStyle w:val="FootnoteReference"/>
        </w:rPr>
        <w:footnoteReference w:id="40"/>
      </w:r>
    </w:p>
    <w:p>
      <w:pPr>
        <w:spacing w:after="120"/>
      </w:pPr>
      <w:r>
        <w:t xml:space="preserve">Liberation Theologians speak of the </w:t>
      </w:r>
      <w:r>
        <w:rPr>
          <w:b/>
          <w:bCs/>
        </w:rPr>
        <w:t xml:space="preserve">Epistemological Privilege of the Poor</w:t>
      </w:r>
      <w:r>
        <w:t xml:space="preserve">: because the Poor depend wholly on God’s Benevolence, they have a privileged Nearness to God and a privileged Knowledge of God. “God speaks today in a very special way through the cry of the poor, their struggles, aspirations, visions and hopes.”</w:t>
      </w:r>
    </w:p>
    <w:p>
      <w:pPr>
        <w:pStyle w:val="Heading2"/>
        <w:spacing w:after="120" w:before="220"/>
      </w:pPr>
      <w:r>
        <w:t xml:space="preserve">Close: The Cry That Sent Moses Still Sends</w:t>
      </w:r>
    </w:p>
    <w:p>
      <w:pPr>
        <w:spacing w:after="120"/>
      </w:pPr>
      <w:r>
        <w:t xml:space="preserve">Chapter 1 opened at the Bush that burns and is not consumed. Chapter 2 has walked the Ground from the Fire outward: from Faith and Revelation, the Holy Ground itself; through Scripture, Tradition and Magisterium, the Sources that hand the Fire on; to the Resources, People, Culture, other Religions, Movements, the Poor, where the same Voice that said “I have seen the affliction of my people... I have heard their cry” (Ex 3:7) still speaks. “I will send you” (Ex 3:10) was not addressed to Moses alone. Every Source and every Resource named in this Chapter exists only to be sent again toward that Cry.</w:t>
      </w:r>
    </w:p>
    <w:p>
      <w:pPr>
        <w:pStyle w:val="Heading2"/>
        <w:spacing w:after="120" w:before="220"/>
      </w:pPr>
      <w:r>
        <w:t xml:space="preserve">Polarities Implicit in This Chapter</w:t>
      </w:r>
    </w:p>
    <w:p>
      <w:pPr>
        <w:pStyle w:val="ListParagraph"/>
        <w:numPr>
          <w:ilvl w:val="0"/>
          <w:numId w:val="1"/>
        </w:numPr>
        <w:spacing w:after="80"/>
      </w:pPr>
      <w:r>
        <w:rPr>
          <w:b/>
          <w:bCs/>
        </w:rPr>
        <w:t xml:space="preserve">1. Sources and Resources.</w:t>
      </w:r>
      <w:r>
        <w:t xml:space="preserve"> The historical Sources, Scripture, Tradition, Magisterium, carry a permanent, normative Value. But the Resources, Culture, other Religions, the Cry of the Poor, are equally where God speaks today, and Theology may draw from both, without collapsing one into the other.</w:t>
      </w:r>
    </w:p>
    <w:p>
      <w:pPr>
        <w:pStyle w:val="ListParagraph"/>
        <w:numPr>
          <w:ilvl w:val="0"/>
          <w:numId w:val="1"/>
        </w:numPr>
        <w:spacing w:after="80"/>
      </w:pPr>
      <w:r>
        <w:rPr>
          <w:b/>
          <w:bCs/>
        </w:rPr>
        <w:t xml:space="preserve">2. Scripture and Tradition.</w:t>
      </w:r>
      <w:r>
        <w:rPr/>
        <w:t xml:space="preserve"> Scripture is norma normans non normata. But Scripture itself arose from and is authenticated by the Tradition and the Sensus Fidei of the Community that first received it; neither stands without the other (</w:t>
      </w:r>
      <w:r>
        <w:rPr>
          <w:i/>
          <w:iCs/>
        </w:rPr>
        <w:t xml:space="preserve">Dei Verbum</w:t>
      </w:r>
      <w:r>
        <w:rPr/>
        <w:t xml:space="preserve">, no. 10).</w:t>
      </w:r>
    </w:p>
    <w:p>
      <w:pPr>
        <w:pStyle w:val="ListParagraph"/>
        <w:numPr>
          <w:ilvl w:val="0"/>
          <w:numId w:val="1"/>
        </w:numPr>
        <w:spacing w:after="80"/>
      </w:pPr>
      <w:r>
        <w:rPr>
          <w:b/>
          <w:bCs/>
        </w:rPr>
        <w:t xml:space="preserve">3. Collegiality and Papal Primacy.</w:t>
      </w:r>
      <w:r>
        <w:t xml:space="preserve"> The whole College of Bishops, in Communion with the Pope, holds supreme Teaching Authority. But the Pope’s own Primacy, defined at Vatican I, is not absorbed into the College; the two Vatican Councils’ Teachings are held together, not resolved into one.</w:t>
      </w:r>
    </w:p>
    <w:p>
      <w:pPr>
        <w:pStyle w:val="ListParagraph"/>
        <w:numPr>
          <w:ilvl w:val="0"/>
          <w:numId w:val="1"/>
        </w:numPr>
        <w:spacing w:after="80"/>
      </w:pPr>
      <w:r>
        <w:rPr>
          <w:b/>
          <w:bCs/>
        </w:rPr>
        <w:t xml:space="preserve">4. Magisterium and Sensus Fidelium.</w:t>
      </w:r>
      <w:r>
        <w:t xml:space="preserve"> The Magisterium teaches with Authority. But it teaches only what it has first listened for in the believing Sense of the whole People of God; the Chapter insists on a “harmonious blending” of Magisterium, Sensus Fidei and Theologian, not a one-way Chain of Command.</w:t>
      </w:r>
    </w:p>
    <w:p>
      <w:pPr>
        <w:pStyle w:val="Heading2"/>
        <w:spacing w:after="120" w:before="220"/>
      </w:pPr>
      <w:r>
        <w:t xml:space="preserve">Questions for Review</w:t>
      </w:r>
    </w:p>
    <w:p>
      <w:pPr>
        <w:pStyle w:val="ListParagraph"/>
        <w:spacing w:after="80"/>
        <w:ind w:left="720" w:hanging="360"/>
      </w:pPr>
      <w:r>
        <w:t xml:space="preserve">1. The Faith-Experience of the earliest Christian Community is the primary Source of Theology. Does this Statement tally with the Notion that Revelation and Faith are the Sources and Foundations of Theology?</w:t>
      </w:r>
    </w:p>
    <w:p>
      <w:pPr>
        <w:pStyle w:val="ListParagraph"/>
        <w:spacing w:after="80"/>
        <w:ind w:left="720" w:hanging="360"/>
      </w:pPr>
      <w:r>
        <w:t xml:space="preserve">2. What were the Issues in Focus during the historical Debate on the Sources of Theology? Does Theology have one, or two, or three Sources?</w:t>
      </w:r>
    </w:p>
    <w:p>
      <w:pPr>
        <w:pStyle w:val="ListParagraph"/>
        <w:spacing w:after="80"/>
        <w:ind w:left="720" w:hanging="360"/>
      </w:pPr>
      <w:r>
        <w:t xml:space="preserve">3. What are the respective Roles of the Magisterium, the Sensus Fidelium and the Theologians in the Theologizing Process, and what exactly is the Relationship among them?</w:t>
      </w:r>
    </w:p>
    <w:p>
      <w:pPr>
        <w:pStyle w:val="ListParagraph"/>
        <w:spacing w:after="80"/>
        <w:ind w:left="720" w:hanging="360"/>
      </w:pPr>
      <w:r>
        <w:t xml:space="preserve">4. What is the Basis for the Distinction between Sources and Resources in Theology? Do you think that such a Distinction is valid?</w:t>
      </w:r>
    </w:p>
    <w:p>
      <w:pPr>
        <w:pStyle w:val="ListParagraph"/>
        <w:spacing w:after="80"/>
        <w:ind w:left="720" w:hanging="360"/>
      </w:pPr>
      <w:r>
        <w:t xml:space="preserve">5. What are the Attitudes and Approaches of the Church today towards other Cultures and Religions? Do you notice any significant Change in this regard?</w:t>
      </w:r>
    </w:p>
    <w:p>
      <w:pPr>
        <w:spacing w:after="120"/>
      </w:pPr>
      <w:r>
        <w:t xml:space="preserve">(Questions for Review as given in the Chapter.)</w:t>
      </w:r>
      <w:r>
        <w:rPr>
          <w:rStyle w:val="FootnoteReference"/>
        </w:rPr>
        <w:footnoteReference w:id="41"/>
      </w:r>
    </w:p>
    <w:p>
      <w:pPr>
        <w:pStyle w:val="Heading2"/>
        <w:spacing w:after="120" w:before="220"/>
      </w:pPr>
      <w:r>
        <w:t xml:space="preserve">Select Bibliography</w:t>
      </w:r>
    </w:p>
    <w:p>
      <w:pPr>
        <w:spacing w:after="120"/>
      </w:pPr>
      <w:r>
        <w:t xml:space="preserve">As listed at the close of Chapter 2, arranged alphabetically.</w:t>
      </w:r>
    </w:p>
    <w:p>
      <w:pPr>
        <w:spacing w:after="120"/>
        <w:ind w:left="720" w:hanging="720"/>
      </w:pPr>
      <w:r>
        <w:rPr>
          <w:i/>
          <w:iCs/>
        </w:rPr>
        <w:t xml:space="preserve">Catechism of the Catholic Church</w:t>
      </w:r>
      <w:r>
        <w:rPr/>
        <w:t xml:space="preserve">. Bangalore: Theological Publications in India, 1994.</w:t>
      </w:r>
    </w:p>
    <w:p>
      <w:pPr>
        <w:spacing w:after="120"/>
        <w:ind w:left="720" w:hanging="720"/>
      </w:pPr>
      <w:r>
        <w:rPr/>
        <w:t xml:space="preserve">Dulles, Avery. </w:t>
      </w:r>
      <w:r>
        <w:rPr>
          <w:i/>
          <w:iCs/>
        </w:rPr>
        <w:t xml:space="preserve">Models of Revelation</w:t>
      </w:r>
      <w:r>
        <w:rPr/>
        <w:t xml:space="preserve">. New York: Doubleday, 1983.</w:t>
      </w:r>
    </w:p>
    <w:p>
      <w:pPr>
        <w:spacing w:after="120"/>
        <w:ind w:left="720" w:hanging="720"/>
      </w:pPr>
      <w:r>
        <w:rPr/>
        <w:t xml:space="preserve">Fischer, Kathleen, and Thomas Hart. </w:t>
      </w:r>
      <w:r>
        <w:rPr>
          <w:i/>
          <w:iCs/>
        </w:rPr>
        <w:t xml:space="preserve">Christian Foundations</w:t>
      </w:r>
      <w:r>
        <w:rPr/>
        <w:t xml:space="preserve">. New York: Paulist Press, 1986.</w:t>
      </w:r>
    </w:p>
    <w:p>
      <w:pPr>
        <w:spacing w:after="120"/>
        <w:ind w:left="720" w:hanging="720"/>
      </w:pPr>
      <w:r>
        <w:rPr/>
        <w:t xml:space="preserve">Kueng, Hans. </w:t>
      </w:r>
      <w:r>
        <w:rPr>
          <w:i/>
          <w:iCs/>
        </w:rPr>
        <w:t xml:space="preserve">On Being a Christian</w:t>
      </w:r>
      <w:r>
        <w:rPr/>
        <w:t xml:space="preserve">. New York: Doubleday, 1976.</w:t>
      </w:r>
    </w:p>
    <w:p>
      <w:pPr>
        <w:spacing w:after="120"/>
        <w:ind w:left="720" w:hanging="720"/>
      </w:pPr>
      <w:r>
        <w:rPr/>
        <w:t xml:space="preserve">Neuner, J., and J. Dupuis, eds. </w:t>
      </w:r>
      <w:r>
        <w:rPr>
          <w:i/>
          <w:iCs/>
        </w:rPr>
        <w:t xml:space="preserve">The Christian Faith</w:t>
      </w:r>
      <w:r>
        <w:rPr/>
        <w:t xml:space="preserve">. 7th ed. Bangalore: TPI, 2001.</w:t>
      </w:r>
    </w:p>
    <w:p>
      <w:pPr>
        <w:spacing w:after="120"/>
        <w:ind w:left="720" w:hanging="720"/>
      </w:pPr>
      <w:r>
        <w:rPr/>
        <w:t xml:space="preserve">Pathil, Kuncheria, and Dominic Veliath. </w:t>
      </w:r>
      <w:r>
        <w:rPr>
          <w:i/>
          <w:iCs/>
        </w:rPr>
        <w:t xml:space="preserve">An Introduction to Theology</w:t>
      </w:r>
      <w:r>
        <w:rPr/>
        <w:t xml:space="preserve">. Indian Theological Series. Publisher and year not verified in the source scan; confirm against the printed edition.</w:t>
      </w:r>
    </w:p>
    <w:p>
      <w:pPr>
        <w:spacing w:after="120"/>
        <w:ind w:left="720" w:hanging="720"/>
      </w:pPr>
      <w:r>
        <w:rPr/>
        <w:t xml:space="preserve">Rahner, Karl. </w:t>
      </w:r>
      <w:r>
        <w:rPr>
          <w:i/>
          <w:iCs/>
        </w:rPr>
        <w:t xml:space="preserve">Foundations of Christian Faith</w:t>
      </w:r>
      <w:r>
        <w:rPr/>
        <w:t xml:space="preserve">. London: Darton, Longman and Todd, 1978.</w:t>
      </w:r>
    </w:p>
    <w:p>
      <w:pPr>
        <w:spacing w:after="120"/>
        <w:ind w:left="720" w:hanging="720"/>
      </w:pPr>
      <w:r>
        <w:rPr/>
        <w:t xml:space="preserve">Schreiter, Robert J. </w:t>
      </w:r>
      <w:r>
        <w:rPr>
          <w:i/>
          <w:iCs/>
        </w:rPr>
        <w:t xml:space="preserve">Constructing Local Theologies</w:t>
      </w:r>
      <w:r>
        <w:rPr/>
        <w:t xml:space="preserve">. Maryknoll, NY: Orbis Books, 1985.</w:t>
      </w:r>
    </w:p>
    <w:p>
      <w:pPr>
        <w:spacing w:after="120"/>
        <w:ind w:left="720" w:hanging="720"/>
      </w:pPr>
      <w:r>
        <w:rPr/>
        <w:t xml:space="preserve">Vatican Council II. </w:t>
      </w:r>
      <w:r>
        <w:rPr>
          <w:i/>
          <w:iCs/>
        </w:rPr>
        <w:t xml:space="preserve">Constitution on the Sacred Liturgy</w:t>
      </w:r>
      <w:r>
        <w:rPr/>
        <w:t xml:space="preserve"> (</w:t>
      </w:r>
      <w:r>
        <w:rPr>
          <w:i/>
          <w:iCs/>
        </w:rPr>
        <w:t xml:space="preserve">Sacrosanctum Concilium</w:t>
      </w:r>
      <w:r>
        <w:rPr/>
        <w:t xml:space="preserve">). 1963.</w:t>
      </w:r>
    </w:p>
    <w:p>
      <w:pPr>
        <w:spacing w:after="120"/>
        <w:ind w:left="720" w:hanging="720"/>
      </w:pPr>
      <w:r>
        <w:rPr/>
        <w:t xml:space="preserve">Vatican Council II. </w:t>
      </w:r>
      <w:r>
        <w:rPr>
          <w:i/>
          <w:iCs/>
        </w:rPr>
        <w:t xml:space="preserve">Dogmatic Constitution on Divine Revelation</w:t>
      </w:r>
      <w:r>
        <w:rPr/>
        <w:t xml:space="preserve"> (</w:t>
      </w:r>
      <w:r>
        <w:rPr>
          <w:i/>
          <w:iCs/>
        </w:rPr>
        <w:t xml:space="preserve">Dei Verbum</w:t>
      </w:r>
      <w:r>
        <w:rPr/>
        <w:t xml:space="preserve">). 1965.</w:t>
      </w:r>
    </w:p>
    <w:p>
      <w:pPr>
        <w:spacing w:after="120"/>
        <w:ind w:left="720" w:hanging="720"/>
      </w:pPr>
      <w:r>
        <w:rPr/>
        <w:t xml:space="preserve">Vatican Council II. </w:t>
      </w:r>
      <w:r>
        <w:rPr>
          <w:i/>
          <w:iCs/>
        </w:rPr>
        <w:t xml:space="preserve">Dogmatic Constitution on the Church</w:t>
      </w:r>
      <w:r>
        <w:rPr/>
        <w:t xml:space="preserve"> (</w:t>
      </w:r>
      <w:r>
        <w:rPr>
          <w:i/>
          <w:iCs/>
        </w:rPr>
        <w:t xml:space="preserve">Lumen Gentium</w:t>
      </w:r>
      <w:r>
        <w:rPr/>
        <w:t xml:space="preserve">). 1964.</w:t>
      </w:r>
    </w:p>
    <w:p>
      <w:pPr>
        <w:spacing w:after="120"/>
        <w:ind w:left="720" w:hanging="720"/>
      </w:pPr>
      <w:r>
        <w:rPr/>
        <w:t xml:space="preserve">Vatican Council II. </w:t>
      </w:r>
      <w:r>
        <w:rPr>
          <w:i/>
          <w:iCs/>
        </w:rPr>
        <w:t xml:space="preserve">Pastoral Constitution on the Church in the Modern World</w:t>
      </w:r>
      <w:r>
        <w:rPr/>
        <w:t xml:space="preserve"> (</w:t>
      </w:r>
      <w:r>
        <w:rPr>
          <w:i/>
          <w:iCs/>
        </w:rPr>
        <w:t xml:space="preserve">Gaudium et Spes</w:t>
      </w:r>
      <w:r>
        <w:rPr/>
        <w:t xml:space="preserve">). 1965.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Kuncheria Pathil and Dominic Veliath, </w:t>
      </w:r>
      <w:r>
        <w:rPr>
          <w:i/>
          <w:iCs/>
          <w:sz w:val="20"/>
          <w:szCs w:val="20"/>
        </w:rPr>
        <w:t xml:space="preserve">An Introduction to Theology</w:t>
      </w:r>
      <w:r>
        <w:rPr>
          <w:sz w:val="20"/>
          <w:szCs w:val="20"/>
        </w:rPr>
        <w:t xml:space="preserve">, Indian Theological Series, chap. 2.</w:t>
      </w:r>
    </w:p>
  </w:footnote>
  <w:footnote w:id="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A.</w:t>
      </w:r>
    </w:p>
  </w:footnote>
  <w:footnote w:id="3">
    <w:p>
      <w:r>
        <w:rPr>
          <w:rStyle w:val="FootnoteReference"/>
        </w:rPr>
        <w:footnoteRef/>
      </w:r>
      <w:r>
        <w:rPr>
          <w:sz w:val="20"/>
          <w:szCs w:val="20"/>
        </w:rPr>
        <w:t xml:space="preserve">Paul Tillich, </w:t>
      </w:r>
      <w:r>
        <w:rPr>
          <w:i/>
          <w:iCs/>
          <w:sz w:val="20"/>
          <w:szCs w:val="20"/>
        </w:rPr>
        <w:t xml:space="preserve">Dynamics of Faith</w:t>
      </w:r>
      <w:r>
        <w:rPr>
          <w:sz w:val="20"/>
          <w:szCs w:val="20"/>
        </w:rPr>
        <w:t xml:space="preserve"> (1958), cited in Pathil and Veliath, </w:t>
      </w:r>
      <w:r>
        <w:rPr>
          <w:i/>
          <w:iCs/>
          <w:sz w:val="20"/>
          <w:szCs w:val="20"/>
        </w:rPr>
        <w:t xml:space="preserve">An Introduction to Theology</w:t>
      </w:r>
      <w:r>
        <w:rPr>
          <w:sz w:val="20"/>
          <w:szCs w:val="20"/>
        </w:rPr>
        <w:t xml:space="preserve">, chap. 2, sec. A.1.</w:t>
      </w:r>
    </w:p>
  </w:footnote>
  <w:footnote w:id="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A.1.</w:t>
      </w:r>
    </w:p>
  </w:footnote>
  <w:footnote w:id="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A.1.</w:t>
      </w:r>
    </w:p>
  </w:footnote>
  <w:footnote w:id="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A.1.</w:t>
      </w:r>
    </w:p>
  </w:footnote>
  <w:footnote w:id="7">
    <w:p>
      <w:r>
        <w:rPr>
          <w:rStyle w:val="FootnoteReference"/>
        </w:rPr>
        <w:footnoteRef/>
      </w:r>
      <w:r>
        <w:rPr>
          <w:i/>
          <w:iCs/>
          <w:sz w:val="20"/>
          <w:szCs w:val="20"/>
        </w:rPr>
        <w:t xml:space="preserve">Catechism of the Catholic Church</w:t>
      </w:r>
      <w:r>
        <w:rPr>
          <w:sz w:val="20"/>
          <w:szCs w:val="20"/>
        </w:rPr>
        <w:t xml:space="preserve">, no. 153, on Peter’s Confession, Mt 16:17.</w:t>
      </w:r>
    </w:p>
  </w:footnote>
  <w:footnote w:id="8">
    <w:p>
      <w:r>
        <w:rPr>
          <w:rStyle w:val="FootnoteReference"/>
        </w:rPr>
        <w:footnoteRef/>
      </w:r>
      <w:r>
        <w:rPr>
          <w:sz w:val="20"/>
          <w:szCs w:val="20"/>
        </w:rPr>
        <w:t xml:space="preserve">Edmund J. Dunn, </w:t>
      </w:r>
      <w:r>
        <w:rPr>
          <w:i/>
          <w:iCs/>
          <w:sz w:val="20"/>
          <w:szCs w:val="20"/>
        </w:rPr>
        <w:t xml:space="preserve">What is Theology?</w:t>
      </w:r>
      <w:r>
        <w:rPr>
          <w:sz w:val="20"/>
          <w:szCs w:val="20"/>
        </w:rPr>
        <w:t xml:space="preserve"> (Mystic, CT: Twenty-Third Publications, 1998), 42, cited in Pathil and Veliath, </w:t>
      </w:r>
      <w:r>
        <w:rPr>
          <w:i/>
          <w:iCs/>
          <w:sz w:val="20"/>
          <w:szCs w:val="20"/>
        </w:rPr>
        <w:t xml:space="preserve">An Introduction to Theology</w:t>
      </w:r>
      <w:r>
        <w:rPr>
          <w:sz w:val="20"/>
          <w:szCs w:val="20"/>
        </w:rPr>
        <w:t xml:space="preserve">, chap. 2, sec. A.2.</w:t>
      </w:r>
    </w:p>
  </w:footnote>
  <w:footnote w:id="9">
    <w:p>
      <w:r>
        <w:rPr>
          <w:rStyle w:val="FootnoteReference"/>
        </w:rPr>
        <w:footnoteRef/>
      </w:r>
      <w:r>
        <w:rPr>
          <w:sz w:val="20"/>
          <w:szCs w:val="20"/>
        </w:rPr>
        <w:t xml:space="preserve">Vatican Council II, </w:t>
      </w:r>
      <w:r>
        <w:rPr>
          <w:i/>
          <w:iCs/>
          <w:sz w:val="20"/>
          <w:szCs w:val="20"/>
        </w:rPr>
        <w:t xml:space="preserve">Dei Verbum</w:t>
      </w:r>
      <w:r>
        <w:rPr>
          <w:sz w:val="20"/>
          <w:szCs w:val="20"/>
        </w:rPr>
        <w:t xml:space="preserve">, no. 2.</w:t>
      </w:r>
    </w:p>
  </w:footnote>
  <w:footnote w:id="10">
    <w:p>
      <w:r>
        <w:rPr>
          <w:rStyle w:val="FootnoteReference"/>
        </w:rPr>
        <w:footnoteRef/>
      </w:r>
      <w:r>
        <w:rPr>
          <w:i/>
          <w:iCs/>
          <w:sz w:val="20"/>
          <w:szCs w:val="20"/>
        </w:rPr>
        <w:t xml:space="preserve">Catechism of the Catholic Church</w:t>
      </w:r>
      <w:r>
        <w:rPr>
          <w:sz w:val="20"/>
          <w:szCs w:val="20"/>
        </w:rPr>
        <w:t xml:space="preserve">, nos. 65-66.</w:t>
      </w:r>
    </w:p>
  </w:footnote>
  <w:footnote w:id="11">
    <w:p>
      <w:r>
        <w:rPr>
          <w:rStyle w:val="FootnoteReference"/>
        </w:rPr>
        <w:footnoteRef/>
      </w:r>
      <w:r>
        <w:rPr>
          <w:sz w:val="20"/>
          <w:szCs w:val="20"/>
        </w:rPr>
        <w:t xml:space="preserve">Alister E. McGrath, </w:t>
      </w:r>
      <w:r>
        <w:rPr>
          <w:i/>
          <w:iCs/>
          <w:sz w:val="20"/>
          <w:szCs w:val="20"/>
        </w:rPr>
        <w:t xml:space="preserve">Christian Theology: An Introduction</w:t>
      </w:r>
      <w:r>
        <w:rPr>
          <w:sz w:val="20"/>
          <w:szCs w:val="20"/>
        </w:rPr>
        <w:t xml:space="preserve"> (Oxford: Blackwell, 2001), 202-208, cited in Pathil and Veliath, </w:t>
      </w:r>
      <w:r>
        <w:rPr>
          <w:i/>
          <w:iCs/>
          <w:sz w:val="20"/>
          <w:szCs w:val="20"/>
        </w:rPr>
        <w:t xml:space="preserve">An Introduction to Theology</w:t>
      </w:r>
      <w:r>
        <w:rPr>
          <w:sz w:val="20"/>
          <w:szCs w:val="20"/>
        </w:rPr>
        <w:t xml:space="preserve">, chap. 2, sec. A.2.</w:t>
      </w:r>
    </w:p>
  </w:footnote>
  <w:footnote w:id="12">
    <w:p>
      <w:r>
        <w:rPr>
          <w:rStyle w:val="FootnoteReference"/>
        </w:rPr>
        <w:footnoteRef/>
      </w:r>
      <w:r>
        <w:rPr>
          <w:i/>
          <w:iCs/>
          <w:sz w:val="20"/>
          <w:szCs w:val="20"/>
        </w:rPr>
        <w:t xml:space="preserve">Nostra Aetate</w:t>
      </w:r>
      <w:r>
        <w:rPr>
          <w:sz w:val="20"/>
          <w:szCs w:val="20"/>
        </w:rPr>
        <w:t xml:space="preserve">; </w:t>
      </w:r>
      <w:r>
        <w:rPr>
          <w:i/>
          <w:iCs/>
          <w:sz w:val="20"/>
          <w:szCs w:val="20"/>
        </w:rPr>
        <w:t xml:space="preserve">Gaudium et Spes</w:t>
      </w:r>
      <w:r>
        <w:rPr>
          <w:sz w:val="20"/>
          <w:szCs w:val="20"/>
        </w:rPr>
        <w:t xml:space="preserve">, no. 22; </w:t>
      </w:r>
      <w:r>
        <w:rPr>
          <w:i/>
          <w:iCs/>
          <w:sz w:val="20"/>
          <w:szCs w:val="20"/>
        </w:rPr>
        <w:t xml:space="preserve">Ad Gentes</w:t>
      </w:r>
      <w:r>
        <w:rPr>
          <w:sz w:val="20"/>
          <w:szCs w:val="20"/>
        </w:rPr>
        <w:t xml:space="preserve">, no. 7; all cited in Pathil and Veliath, </w:t>
      </w:r>
      <w:r>
        <w:rPr>
          <w:i/>
          <w:iCs/>
          <w:sz w:val="20"/>
          <w:szCs w:val="20"/>
        </w:rPr>
        <w:t xml:space="preserve">An Introduction to Theology</w:t>
      </w:r>
      <w:r>
        <w:rPr>
          <w:sz w:val="20"/>
          <w:szCs w:val="20"/>
        </w:rPr>
        <w:t xml:space="preserve">, chap. 2, sec. A.2.</w:t>
      </w:r>
    </w:p>
  </w:footnote>
  <w:footnote w:id="1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B.1.</w:t>
      </w:r>
    </w:p>
  </w:footnote>
  <w:footnote w:id="14">
    <w:p>
      <w:r>
        <w:rPr>
          <w:rStyle w:val="FootnoteReference"/>
        </w:rPr>
        <w:footnoteRef/>
      </w:r>
      <w:r>
        <w:rPr>
          <w:sz w:val="20"/>
          <w:szCs w:val="20"/>
        </w:rPr>
        <w:t xml:space="preserve">Council of Trent, Decree on Sacred Books and on Traditions, in J. Neuner and J. Dupuis, eds., </w:t>
      </w:r>
      <w:r>
        <w:rPr>
          <w:i/>
          <w:iCs/>
          <w:sz w:val="20"/>
          <w:szCs w:val="20"/>
        </w:rPr>
        <w:t xml:space="preserve">The Christian Faith</w:t>
      </w:r>
      <w:r>
        <w:rPr>
          <w:sz w:val="20"/>
          <w:szCs w:val="20"/>
        </w:rPr>
        <w:t xml:space="preserve">, 7th ed. (Bangalore: TPI, 2001), no. 210, cited in Pathil and Veliath, </w:t>
      </w:r>
      <w:r>
        <w:rPr>
          <w:i/>
          <w:iCs/>
          <w:sz w:val="20"/>
          <w:szCs w:val="20"/>
        </w:rPr>
        <w:t xml:space="preserve">An Introduction to Theology</w:t>
      </w:r>
      <w:r>
        <w:rPr>
          <w:sz w:val="20"/>
          <w:szCs w:val="20"/>
        </w:rPr>
        <w:t xml:space="preserve">, chap. 2, sec. B.1.</w:t>
      </w:r>
    </w:p>
  </w:footnote>
  <w:footnote w:id="15">
    <w:p>
      <w:r>
        <w:rPr>
          <w:rStyle w:val="FootnoteReference"/>
        </w:rPr>
        <w:footnoteRef/>
      </w:r>
      <w:r>
        <w:rPr>
          <w:i/>
          <w:iCs/>
          <w:sz w:val="20"/>
          <w:szCs w:val="20"/>
        </w:rPr>
        <w:t xml:space="preserve">Dei Verbum</w:t>
      </w:r>
      <w:r>
        <w:rPr>
          <w:sz w:val="20"/>
          <w:szCs w:val="20"/>
        </w:rPr>
        <w:t xml:space="preserve">, nos. 6-9, cited in Pathil and Veliath, </w:t>
      </w:r>
      <w:r>
        <w:rPr>
          <w:i/>
          <w:iCs/>
          <w:sz w:val="20"/>
          <w:szCs w:val="20"/>
        </w:rPr>
        <w:t xml:space="preserve">An Introduction to Theology</w:t>
      </w:r>
      <w:r>
        <w:rPr>
          <w:sz w:val="20"/>
          <w:szCs w:val="20"/>
        </w:rPr>
        <w:t xml:space="preserve">, chap. 2, sec. B.1.</w:t>
      </w:r>
    </w:p>
  </w:footnote>
  <w:footnote w:id="16">
    <w:p>
      <w:r>
        <w:rPr>
          <w:rStyle w:val="FootnoteReference"/>
        </w:rPr>
        <w:footnoteRef/>
      </w:r>
      <w:r>
        <w:rPr>
          <w:i/>
          <w:iCs/>
          <w:sz w:val="20"/>
          <w:szCs w:val="20"/>
        </w:rPr>
        <w:t xml:space="preserve">Dei Verbum</w:t>
      </w:r>
      <w:r>
        <w:rPr>
          <w:sz w:val="20"/>
          <w:szCs w:val="20"/>
        </w:rPr>
        <w:t xml:space="preserve">, no. 10.</w:t>
      </w:r>
    </w:p>
  </w:footnote>
  <w:footnote w:id="1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B.2.a.</w:t>
      </w:r>
    </w:p>
  </w:footnote>
  <w:footnote w:id="1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B.2.a.</w:t>
      </w:r>
    </w:p>
  </w:footnote>
  <w:footnote w:id="19">
    <w:p>
      <w:r>
        <w:rPr>
          <w:rStyle w:val="FootnoteReference"/>
        </w:rPr>
        <w:footnoteRef/>
      </w:r>
      <w:r>
        <w:rPr>
          <w:sz w:val="20"/>
          <w:szCs w:val="20"/>
        </w:rPr>
        <w:t xml:space="preserve">Vatican Council II, </w:t>
      </w:r>
      <w:r>
        <w:rPr>
          <w:i/>
          <w:iCs/>
          <w:sz w:val="20"/>
          <w:szCs w:val="20"/>
        </w:rPr>
        <w:t xml:space="preserve">Orientalium Ecclesiarum</w:t>
      </w:r>
      <w:r>
        <w:rPr>
          <w:sz w:val="20"/>
          <w:szCs w:val="20"/>
        </w:rPr>
        <w:t xml:space="preserve">, no. 2, cited in Pathil and Veliath, </w:t>
      </w:r>
      <w:r>
        <w:rPr>
          <w:i/>
          <w:iCs/>
          <w:sz w:val="20"/>
          <w:szCs w:val="20"/>
        </w:rPr>
        <w:t xml:space="preserve">An Introduction to Theology</w:t>
      </w:r>
      <w:r>
        <w:rPr>
          <w:sz w:val="20"/>
          <w:szCs w:val="20"/>
        </w:rPr>
        <w:t xml:space="preserve">, chap. 2, sec. B.2.b.i.</w:t>
      </w:r>
    </w:p>
  </w:footnote>
  <w:footnote w:id="20">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B.2.b.i, citing Vatican Council II, Decree on Ecumenism, nos. 14-18.</w:t>
      </w:r>
    </w:p>
  </w:footnote>
  <w:footnote w:id="21">
    <w:p>
      <w:r>
        <w:rPr>
          <w:rStyle w:val="FootnoteReference"/>
        </w:rPr>
        <w:footnoteRef/>
      </w:r>
      <w:r>
        <w:rPr>
          <w:sz w:val="20"/>
          <w:szCs w:val="20"/>
        </w:rPr>
        <w:t xml:space="preserve">Vatican Council II, </w:t>
      </w:r>
      <w:r>
        <w:rPr>
          <w:i/>
          <w:iCs/>
          <w:sz w:val="20"/>
          <w:szCs w:val="20"/>
        </w:rPr>
        <w:t xml:space="preserve">Sacrosanctum Concilium</w:t>
      </w:r>
      <w:r>
        <w:rPr>
          <w:sz w:val="20"/>
          <w:szCs w:val="20"/>
        </w:rPr>
        <w:t xml:space="preserve">, no. 10, cited in Pathil and Veliath, </w:t>
      </w:r>
      <w:r>
        <w:rPr>
          <w:i/>
          <w:iCs/>
          <w:sz w:val="20"/>
          <w:szCs w:val="20"/>
        </w:rPr>
        <w:t xml:space="preserve">An Introduction to Theology</w:t>
      </w:r>
      <w:r>
        <w:rPr>
          <w:sz w:val="20"/>
          <w:szCs w:val="20"/>
        </w:rPr>
        <w:t xml:space="preserve">, chap. 2, sec. B.2.b.ii.</w:t>
      </w:r>
    </w:p>
  </w:footnote>
  <w:footnote w:id="2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B.2.b.iii.</w:t>
      </w:r>
    </w:p>
  </w:footnote>
  <w:footnote w:id="2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B.2.b.iv.</w:t>
      </w:r>
    </w:p>
  </w:footnote>
  <w:footnote w:id="2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B.2.b.v.</w:t>
      </w:r>
    </w:p>
  </w:footnote>
  <w:footnote w:id="25">
    <w:p>
      <w:r>
        <w:rPr>
          <w:rStyle w:val="FootnoteReference"/>
        </w:rPr>
        <w:footnoteRef/>
      </w:r>
      <w:r>
        <w:rPr>
          <w:sz w:val="20"/>
          <w:szCs w:val="20"/>
        </w:rPr>
        <w:t xml:space="preserve">Vatican Council II, Decree on Ecumenism, </w:t>
      </w:r>
      <w:r>
        <w:rPr>
          <w:i/>
          <w:iCs/>
          <w:sz w:val="20"/>
          <w:szCs w:val="20"/>
        </w:rPr>
        <w:t xml:space="preserve">Unitatis Redintegratio</w:t>
      </w:r>
      <w:r>
        <w:rPr>
          <w:sz w:val="20"/>
          <w:szCs w:val="20"/>
        </w:rPr>
        <w:t xml:space="preserve">, no. 11.</w:t>
      </w:r>
    </w:p>
  </w:footnote>
  <w:footnote w:id="2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B.2.b.vi.</w:t>
      </w:r>
    </w:p>
  </w:footnote>
  <w:footnote w:id="2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B.2.b.vii.</w:t>
      </w:r>
    </w:p>
  </w:footnote>
  <w:footnote w:id="28">
    <w:p>
      <w:r>
        <w:rPr>
          <w:rStyle w:val="FootnoteReference"/>
        </w:rPr>
        <w:footnoteRef/>
      </w:r>
      <w:r>
        <w:rPr>
          <w:sz w:val="20"/>
          <w:szCs w:val="20"/>
        </w:rPr>
        <w:t xml:space="preserve">Vatican Council II, </w:t>
      </w:r>
      <w:r>
        <w:rPr>
          <w:i/>
          <w:iCs/>
          <w:sz w:val="20"/>
          <w:szCs w:val="20"/>
        </w:rPr>
        <w:t xml:space="preserve">Lumen Gentium</w:t>
      </w:r>
      <w:r>
        <w:rPr>
          <w:sz w:val="20"/>
          <w:szCs w:val="20"/>
        </w:rPr>
        <w:t xml:space="preserve">, no. 25, cited in Pathil and Veliath, </w:t>
      </w:r>
      <w:r>
        <w:rPr>
          <w:i/>
          <w:iCs/>
          <w:sz w:val="20"/>
          <w:szCs w:val="20"/>
        </w:rPr>
        <w:t xml:space="preserve">An Introduction to Theology</w:t>
      </w:r>
      <w:r>
        <w:rPr>
          <w:sz w:val="20"/>
          <w:szCs w:val="20"/>
        </w:rPr>
        <w:t xml:space="preserve">, chap. 2, sec. B.2.c.i.</w:t>
      </w:r>
    </w:p>
  </w:footnote>
  <w:footnote w:id="2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B.2.c.ii.</w:t>
      </w:r>
    </w:p>
  </w:footnote>
  <w:footnote w:id="30">
    <w:p>
      <w:r>
        <w:rPr>
          <w:rStyle w:val="FootnoteReference"/>
        </w:rPr>
        <w:footnoteRef/>
      </w:r>
      <w:r>
        <w:rPr>
          <w:sz w:val="20"/>
          <w:szCs w:val="20"/>
        </w:rPr>
        <w:t xml:space="preserve">Vatican Council II, </w:t>
      </w:r>
      <w:r>
        <w:rPr>
          <w:i/>
          <w:iCs/>
          <w:sz w:val="20"/>
          <w:szCs w:val="20"/>
        </w:rPr>
        <w:t xml:space="preserve">Lumen Gentium</w:t>
      </w:r>
      <w:r>
        <w:rPr>
          <w:sz w:val="20"/>
          <w:szCs w:val="20"/>
        </w:rPr>
        <w:t xml:space="preserve">, no. 12, cited in Pathil and Veliath, </w:t>
      </w:r>
      <w:r>
        <w:rPr>
          <w:i/>
          <w:iCs/>
          <w:sz w:val="20"/>
          <w:szCs w:val="20"/>
        </w:rPr>
        <w:t xml:space="preserve">An Introduction to Theology</w:t>
      </w:r>
      <w:r>
        <w:rPr>
          <w:sz w:val="20"/>
          <w:szCs w:val="20"/>
        </w:rPr>
        <w:t xml:space="preserve">, chap. 2, sec. B.2.c.</w:t>
      </w:r>
    </w:p>
  </w:footnote>
  <w:footnote w:id="3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C.</w:t>
      </w:r>
    </w:p>
  </w:footnote>
  <w:footnote w:id="32">
    <w:p>
      <w:r>
        <w:rPr>
          <w:rStyle w:val="FootnoteReference"/>
        </w:rPr>
        <w:footnoteRef/>
      </w:r>
      <w:r>
        <w:rPr>
          <w:sz w:val="20"/>
          <w:szCs w:val="20"/>
        </w:rPr>
        <w:t xml:space="preserve">Vatican Council II, </w:t>
      </w:r>
      <w:r>
        <w:rPr>
          <w:i/>
          <w:iCs/>
          <w:sz w:val="20"/>
          <w:szCs w:val="20"/>
        </w:rPr>
        <w:t xml:space="preserve">Lumen Gentium</w:t>
      </w:r>
      <w:r>
        <w:rPr>
          <w:sz w:val="20"/>
          <w:szCs w:val="20"/>
        </w:rPr>
        <w:t xml:space="preserve">, nos. 14-16, cited in Pathil and Veliath, </w:t>
      </w:r>
      <w:r>
        <w:rPr>
          <w:i/>
          <w:iCs/>
          <w:sz w:val="20"/>
          <w:szCs w:val="20"/>
        </w:rPr>
        <w:t xml:space="preserve">An Introduction to Theology</w:t>
      </w:r>
      <w:r>
        <w:rPr>
          <w:sz w:val="20"/>
          <w:szCs w:val="20"/>
        </w:rPr>
        <w:t xml:space="preserve">, chap. 2, sec. C.1.</w:t>
      </w:r>
    </w:p>
  </w:footnote>
  <w:footnote w:id="33">
    <w:p>
      <w:r>
        <w:rPr>
          <w:rStyle w:val="FootnoteReference"/>
        </w:rPr>
        <w:footnoteRef/>
      </w:r>
      <w:r>
        <w:rPr>
          <w:sz w:val="20"/>
          <w:szCs w:val="20"/>
        </w:rPr>
        <w:t xml:space="preserve">Vatican Council II, </w:t>
      </w:r>
      <w:r>
        <w:rPr>
          <w:i/>
          <w:iCs/>
          <w:sz w:val="20"/>
          <w:szCs w:val="20"/>
        </w:rPr>
        <w:t xml:space="preserve">Gaudium et Spes</w:t>
      </w:r>
      <w:r>
        <w:rPr>
          <w:sz w:val="20"/>
          <w:szCs w:val="20"/>
        </w:rPr>
        <w:t xml:space="preserve">, no. 55, cited in Pathil and Veliath, </w:t>
      </w:r>
      <w:r>
        <w:rPr>
          <w:i/>
          <w:iCs/>
          <w:sz w:val="20"/>
          <w:szCs w:val="20"/>
        </w:rPr>
        <w:t xml:space="preserve">An Introduction to Theology</w:t>
      </w:r>
      <w:r>
        <w:rPr>
          <w:sz w:val="20"/>
          <w:szCs w:val="20"/>
        </w:rPr>
        <w:t xml:space="preserve">, chap. 2, sec. C.2.</w:t>
      </w:r>
    </w:p>
  </w:footnote>
  <w:footnote w:id="3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C.2.</w:t>
      </w:r>
    </w:p>
  </w:footnote>
  <w:footnote w:id="3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C.3.</w:t>
      </w:r>
    </w:p>
  </w:footnote>
  <w:footnote w:id="3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C.3.</w:t>
      </w:r>
    </w:p>
  </w:footnote>
  <w:footnote w:id="37">
    <w:p>
      <w:r>
        <w:rPr>
          <w:rStyle w:val="FootnoteReference"/>
        </w:rPr>
        <w:footnoteRef/>
      </w:r>
      <w:r>
        <w:rPr>
          <w:sz w:val="20"/>
          <w:szCs w:val="20"/>
        </w:rPr>
        <w:t xml:space="preserve">FABC, Taipei, 1974, cited in Pathil and Veliath, </w:t>
      </w:r>
      <w:r>
        <w:rPr>
          <w:i/>
          <w:iCs/>
          <w:sz w:val="20"/>
          <w:szCs w:val="20"/>
        </w:rPr>
        <w:t xml:space="preserve">An Introduction to Theology</w:t>
      </w:r>
      <w:r>
        <w:rPr>
          <w:sz w:val="20"/>
          <w:szCs w:val="20"/>
        </w:rPr>
        <w:t xml:space="preserve">, chap. 2, sec. C.3.</w:t>
      </w:r>
    </w:p>
  </w:footnote>
  <w:footnote w:id="3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C.4.</w:t>
      </w:r>
    </w:p>
  </w:footnote>
  <w:footnote w:id="3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sec. C.5.</w:t>
      </w:r>
    </w:p>
  </w:footnote>
  <w:footnote w:id="40">
    <w:p>
      <w:r>
        <w:rPr>
          <w:rStyle w:val="FootnoteReference"/>
        </w:rPr>
        <w:footnoteRef/>
      </w:r>
      <w:r>
        <w:rPr>
          <w:i/>
          <w:iCs/>
          <w:sz w:val="20"/>
          <w:szCs w:val="20"/>
        </w:rPr>
        <w:t xml:space="preserve">Ecclesia in Asia</w:t>
      </w:r>
      <w:r>
        <w:rPr>
          <w:sz w:val="20"/>
          <w:szCs w:val="20"/>
        </w:rPr>
        <w:t xml:space="preserve">, no. 34, cited in Pathil and Veliath, </w:t>
      </w:r>
      <w:r>
        <w:rPr>
          <w:i/>
          <w:iCs/>
          <w:sz w:val="20"/>
          <w:szCs w:val="20"/>
        </w:rPr>
        <w:t xml:space="preserve">An Introduction to Theology</w:t>
      </w:r>
      <w:r>
        <w:rPr>
          <w:sz w:val="20"/>
          <w:szCs w:val="20"/>
        </w:rPr>
        <w:t xml:space="preserve">, chap. 2, sec. C.5.</w:t>
      </w:r>
    </w:p>
  </w:footnote>
  <w:footnote w:id="4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2, end of chapter.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2026-07-15T19:18:07.469Z</dcterms:created>
  <dcterms:modified xsi:type="dcterms:W3CDTF">2026-07-15T19:18:07.472Z</dcterms:modified>
</cp:coreProperties>
</file>

<file path=docProps/custom.xml><?xml version="1.0" encoding="utf-8"?>
<Properties xmlns="http://schemas.openxmlformats.org/officeDocument/2006/custom-properties" xmlns:vt="http://schemas.openxmlformats.org/officeDocument/2006/docPropsVTypes"/>
</file>