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Chapter 3: Development and Pluralism in Theology: A Historical Outline</w:t>
      </w:r>
    </w:p>
    <w:p>
      <w:pPr>
        <w:spacing w:after="120"/>
      </w:pPr>
      <w:r>
        <w:t xml:space="preserve">Class Notes on Kuncheria Pathil, CMI, and Dominic Veliath, SDB, </w:t>
      </w:r>
      <w:r>
        <w:rPr>
          <w:i/>
          <w:iCs/>
        </w:rPr>
        <w:t xml:space="preserve">An Introduction to Theology</w:t>
      </w:r>
      <w:r>
        <w:t xml:space="preserve">, Indian Theological Series. Written for students, in plain English, with the book’s own quotes and page references so you can check them yourself.</w:t>
      </w:r>
      <w:r>
        <w:rPr>
          <w:rStyle w:val="FootnoteReference"/>
        </w:rPr>
        <w:footnoteReference w:id="1"/>
      </w:r>
    </w:p>
    <w:p>
      <w:pPr>
        <w:spacing w:after="120"/>
      </w:pPr>
      <w:r>
        <w:t xml:space="preserve">This chapter answers one simple question: why is there not just one Theology, but many theologies, across the Bible, the early Church, the Middle Ages, and today? It walks through five historical periods, Biblical, Patristic, Scholastic, Post-Scholastic and Contextual, to show how Christian theology has always come in more than one legitimate form, while staying one faith.</w:t>
      </w:r>
    </w:p>
    <w:p>
      <w:pPr>
        <w:pStyle w:val="Heading2"/>
        <w:spacing w:after="120" w:before="220"/>
      </w:pPr>
      <w:r>
        <w:t xml:space="preserve">A. Pluralism and Relativism</w:t>
      </w:r>
    </w:p>
    <w:p>
      <w:pPr>
        <w:spacing w:after="120"/>
      </w:pPr>
      <w:r>
        <w:t xml:space="preserve">Why can theology not simply give a tidy definition the way mathematics can? God is a Mystery we cannot fully grasp, yet God has also freely chosen to reveal himself to us. Because of these two facts together, religious language works more like a pointer, through analogy and metaphor, than a photograph of God exactly as he is.</w:t>
      </w:r>
      <w:r>
        <w:rPr>
          <w:rStyle w:val="FootnoteReference"/>
        </w:rPr>
        <w:footnoteReference w:id="2"/>
      </w:r>
    </w:p>
    <w:p>
      <w:pPr>
        <w:spacing w:after="120"/>
      </w:pPr>
      <w:r>
        <w:t xml:space="preserve">The book gives five reasons why different legitimate forms of theology can exist side by side:</w:t>
      </w:r>
    </w:p>
    <w:p>
      <w:pPr>
        <w:pStyle w:val="ListParagraph"/>
        <w:numPr>
          <w:ilvl w:val="0"/>
          <w:numId w:val="1"/>
        </w:numPr>
        <w:spacing w:after="80"/>
      </w:pPr>
      <w:r>
        <w:rPr>
          <w:b/>
          <w:bCs/>
        </w:rPr>
        <w:t xml:space="preserve">Fundamental Theologies</w:t>
      </w:r>
      <w:r>
        <w:t xml:space="preserve">: different ways of explaining what theology itself is and how it works.</w:t>
      </w:r>
    </w:p>
    <w:p>
      <w:pPr>
        <w:pStyle w:val="ListParagraph"/>
        <w:numPr>
          <w:ilvl w:val="0"/>
          <w:numId w:val="1"/>
        </w:numPr>
        <w:spacing w:after="80"/>
      </w:pPr>
      <w:r>
        <w:rPr>
          <w:b/>
          <w:bCs/>
        </w:rPr>
        <w:t xml:space="preserve">Speculative Theologies</w:t>
      </w:r>
      <w:r>
        <w:t xml:space="preserve">: different ways of using philosophy inside theology.</w:t>
      </w:r>
    </w:p>
    <w:p>
      <w:pPr>
        <w:pStyle w:val="ListParagraph"/>
        <w:numPr>
          <w:ilvl w:val="0"/>
          <w:numId w:val="1"/>
        </w:numPr>
        <w:spacing w:after="80"/>
      </w:pPr>
      <w:r>
        <w:rPr>
          <w:b/>
          <w:bCs/>
        </w:rPr>
        <w:t xml:space="preserve">Biblical Theologies</w:t>
      </w:r>
      <w:r>
        <w:t xml:space="preserve">: different degrees of emphasis given to Scripture.</w:t>
      </w:r>
    </w:p>
    <w:p>
      <w:pPr>
        <w:pStyle w:val="ListParagraph"/>
        <w:numPr>
          <w:ilvl w:val="0"/>
          <w:numId w:val="1"/>
        </w:numPr>
        <w:spacing w:after="80"/>
      </w:pPr>
      <w:r>
        <w:rPr>
          <w:b/>
          <w:bCs/>
        </w:rPr>
        <w:t xml:space="preserve">Magisterial Theologies</w:t>
      </w:r>
      <w:r>
        <w:t xml:space="preserve">: different degrees of emphasis given to Church Tradition and teaching.</w:t>
      </w:r>
    </w:p>
    <w:p>
      <w:pPr>
        <w:pStyle w:val="ListParagraph"/>
        <w:numPr>
          <w:ilvl w:val="0"/>
          <w:numId w:val="1"/>
        </w:numPr>
        <w:spacing w:after="80"/>
      </w:pPr>
      <w:r>
        <w:rPr>
          <w:b/>
          <w:bCs/>
        </w:rPr>
        <w:t xml:space="preserve">Contextual Theologies</w:t>
      </w:r>
      <w:r>
        <w:t xml:space="preserve">: different responses to different real-life situations such as poverty, culture, and gender.</w:t>
      </w:r>
      <w:r>
        <w:rPr>
          <w:rStyle w:val="FootnoteReference"/>
        </w:rPr>
        <w:footnoteReference w:id="3"/>
      </w:r>
    </w:p>
    <w:p>
      <w:pPr>
        <w:pBdr>
          <w:left w:val="single" w:color="1565C0" w:sz="24"/>
        </w:pBdr>
        <w:shd w:fill="E3F2FD" w:val="clear"/>
        <w:spacing w:after="160" w:before="160"/>
        <w:ind w:left="240"/>
      </w:pPr>
      <w:r>
        <w:rPr>
          <w:b/>
          <w:bCs/>
          <w:color w:val="1565C0"/>
        </w:rPr>
        <w:t xml:space="preserve">EXAMPLE: </w:t>
      </w:r>
      <w:r>
        <w:rPr>
          <w:b/>
          <w:bCs/>
        </w:rPr>
        <w:t xml:space="preserve">Pluralism is not the same as Relativism.</w:t>
      </w:r>
      <w:r>
        <w:t xml:space="preserve"> Pluralism means the same one truth can be approached from more than one legitimate angle. Relativism denies there is any single truth at all, only “what seems true to me” against “what seems true to you.” The book calls relativism, at its core, “a negation of realism,” since it denies that a real truth exists underneath the different viewpoints.</w:t>
      </w:r>
      <w:r>
        <w:rPr>
          <w:rStyle w:val="FootnoteReference"/>
        </w:rPr>
        <w:footnoteReference w:id="4"/>
      </w:r>
    </w:p>
    <w:p>
      <w:pPr>
        <w:pBdr>
          <w:left w:val="single" w:color="2E7D32" w:sz="24"/>
        </w:pBdr>
        <w:shd w:fill="E8F5E9" w:val="clear"/>
        <w:spacing w:after="160" w:before="160"/>
        <w:ind w:left="240"/>
      </w:pPr>
      <w:r>
        <w:rPr>
          <w:b/>
          <w:bCs/>
          <w:color w:val="2E7D32"/>
        </w:rPr>
        <w:t xml:space="preserve">INDIAN CONTEXT: </w:t>
      </w:r>
      <w:r>
        <w:t xml:space="preserve">One of the five Contextual Theologies this Chapter will study in Section F is </w:t>
      </w:r>
      <w:r>
        <w:rPr>
          <w:b/>
          <w:bCs/>
        </w:rPr>
        <w:t xml:space="preserve">Indian Theology</w:t>
      </w:r>
      <w:r>
        <w:t xml:space="preserve"> and, more specifically, </w:t>
      </w:r>
      <w:r>
        <w:rPr>
          <w:b/>
          <w:bCs/>
        </w:rPr>
        <w:t xml:space="preserve">Dalit Theology</w:t>
      </w:r>
      <w:r>
        <w:t xml:space="preserve">. Keep this in mind as you read: the whole architecture of this Chapter, five historical Periods leading up to today’s Pluralism, exists so that a genuinely Indian way of doing Theology can be shown to belong inside the Catholic Tradition, not outside it.</w:t>
      </w:r>
    </w:p>
    <w:p>
      <w:pPr>
        <w:spacing w:after="120"/>
      </w:pPr>
      <w:r>
        <w:t xml:space="preserve">With this groundwork laid, the Chapter studies five historical Periods in order: Biblical, Patristic, Scholastic, Post-Scholastic, and Contextual.</w:t>
      </w:r>
    </w:p>
    <w:p>
      <w:pPr>
        <w:pStyle w:val="Heading2"/>
        <w:spacing w:after="120" w:before="220"/>
      </w:pPr>
      <w:r>
        <w:t xml:space="preserve">B. Theologies in the Bible</w:t>
      </w:r>
    </w:p>
    <w:p>
      <w:pPr>
        <w:spacing w:after="120"/>
      </w:pPr>
      <w:r>
        <w:t xml:space="preserve">The Bible itself already contains more than one theology. Catholics believe the Bible has two authors working together, God and the human writers, not in the sense that God dictated words to passive scribes. As Vatican II puts it: “To compose the sacred books, God chose certain men who, all the while He employed them in this task, made full use of their own faculties and powers so that, though He acted in them and by them, it was as true authors that they consigned to writing whatever He wanted written, and no more.”</w:t>
      </w:r>
      <w:r>
        <w:rPr>
          <w:rStyle w:val="FootnoteReference"/>
        </w:rPr>
        <w:footnoteReference w:id="5"/>
      </w:r>
    </w:p>
    <w:p>
      <w:pPr>
        <w:spacing w:after="120"/>
      </w:pPr>
      <w:r>
        <w:rPr>
          <w:b/>
          <w:bCs/>
        </w:rPr>
        <w:t xml:space="preserve">In the Old Testament</w:t>
      </w:r>
      <w:r>
        <w:t xml:space="preserve">, 46 books, scholars identify several different theological voices: a Yahwist theology, an Elohist theology, a Priestly theology, a Deuteronomic theology, and various Wisdom theologies. These differ because Israel itself changed enormously over time, from a farming society, to a kingdom, to a small state controlled by larger empires such as Assyria, Greece and Rome.</w:t>
      </w:r>
      <w:r>
        <w:rPr>
          <w:rStyle w:val="FootnoteReference"/>
        </w:rPr>
        <w:footnoteReference w:id="6"/>
      </w:r>
    </w:p>
    <w:p>
      <w:pPr>
        <w:spacing w:after="120"/>
      </w:pPr>
      <w:r>
        <w:rPr>
          <w:b/>
          <w:bCs/>
        </w:rPr>
        <w:t xml:space="preserve">In the New Testament</w:t>
      </w:r>
      <w:r>
        <w:t xml:space="preserve">, 27 books, the same pattern appears. One very useful thing to notice: the Gospels were actually written backwards. The earliest Christian preaching was not a full biography of Jesus. It was the short, core announcement that Jesus died and rose (Acts 2:23, 32; 3:14-15; 4:10; 10:39-40; 1 Cor 15:3-4). From there grew the Passion Narrative, the oldest connected story about Jesus, covering his last days. Only later did the Gospel writers add material about his earlier ministry in front of that Passion Narrative.</w:t>
      </w:r>
    </w:p>
    <w:p>
      <w:pPr>
        <w:pBdr>
          <w:left w:val="single" w:color="1565C0" w:sz="24"/>
        </w:pBdr>
        <w:shd w:fill="E3F2FD" w:val="clear"/>
        <w:spacing w:after="160" w:before="160"/>
        <w:ind w:left="240"/>
      </w:pPr>
      <w:r>
        <w:rPr>
          <w:b/>
          <w:bCs/>
          <w:color w:val="1565C0"/>
        </w:rPr>
        <w:t xml:space="preserve">EXAMPLE: </w:t>
      </w:r>
      <w:r>
        <w:t xml:space="preserve">Mark’s Gospel, the oldest we have, begins directly with the adult Jesus meeting John the Baptist, “the beginning of the Gospel of Jesus Christ” (Mk 1:1), and ends with the empty tomb (Mk 16:1-8). Mark says nothing at all about Jesus’ birth or childhood, because Mark’s purpose was to preach salvation, not to write a biography.</w:t>
      </w:r>
      <w:r>
        <w:rPr>
          <w:rStyle w:val="FootnoteReference"/>
        </w:rPr>
        <w:footnoteReference w:id="7"/>
      </w:r>
    </w:p>
    <w:p>
      <w:pPr>
        <w:pBdr>
          <w:left w:val="single" w:color="2E7D32" w:sz="24"/>
        </w:pBdr>
        <w:shd w:fill="E8F5E9" w:val="clear"/>
        <w:spacing w:after="160" w:before="160"/>
        <w:ind w:left="240"/>
      </w:pPr>
      <w:r>
        <w:rPr>
          <w:b/>
          <w:bCs/>
          <w:color w:val="2E7D32"/>
        </w:rPr>
        <w:t xml:space="preserve">INDIAN CONTEXT: </w:t>
      </w:r>
      <w:r>
        <w:t xml:space="preserve">For a full study of how the New Testament came together in this way, the Chapter’s own Bibliography recommends </w:t>
      </w:r>
      <w:r>
        <w:rPr>
          <w:b/>
          <w:bCs/>
        </w:rPr>
        <w:t xml:space="preserve">Zacharias Mattam, SDB</w:t>
      </w:r>
      <w:r>
        <w:rPr/>
        <w:t xml:space="preserve">, </w:t>
      </w:r>
      <w:r>
        <w:rPr>
          <w:i/>
          <w:iCs/>
        </w:rPr>
        <w:t xml:space="preserve">Opening the Bible: Meeting Christ in the Scriptures</w:t>
      </w:r>
      <w:r>
        <w:rPr/>
        <w:t xml:space="preserve">, published in Bangalore. Indian biblical scholarship has its own established Tradition of engaging exactly this Question of Plurality within the one Scripture.</w:t>
      </w:r>
      <w:r>
        <w:rPr>
          <w:rStyle w:val="FootnoteReference"/>
        </w:rPr>
        <w:footnoteReference w:id="8"/>
      </w:r>
    </w:p>
    <w:p>
      <w:pPr>
        <w:spacing w:after="120"/>
      </w:pPr>
      <w:r>
        <w:t xml:space="preserve">Because each Gospel was written for a different community with different needs, we can rightly speak of a </w:t>
      </w:r>
      <w:r>
        <w:rPr>
          <w:b/>
          <w:bCs/>
        </w:rPr>
        <w:t xml:space="preserve">Matthean theology, a Marcan theology, a Lucan theology, and a Johannine theology</w:t>
      </w:r>
      <w:r>
        <w:t xml:space="preserve">, four different theological portraits of the same one Jesus Christ. Even within Paul alone, theologians distinguish an </w:t>
      </w:r>
      <w:r>
        <w:rPr>
          <w:b/>
          <w:bCs/>
        </w:rPr>
        <w:t xml:space="preserve">Ascending Christology</w:t>
      </w:r>
      <w:r>
        <w:t xml:space="preserve">, starting from Jesus’ humanity; a </w:t>
      </w:r>
      <w:r>
        <w:rPr>
          <w:b/>
          <w:bCs/>
        </w:rPr>
        <w:t xml:space="preserve">Descending Christology</w:t>
      </w:r>
      <w:r>
        <w:t xml:space="preserve">, starting from his divinity; and a </w:t>
      </w:r>
      <w:r>
        <w:rPr>
          <w:b/>
          <w:bCs/>
        </w:rPr>
        <w:t xml:space="preserve">Cosmic Christology</w:t>
      </w:r>
      <w:r>
        <w:t xml:space="preserve">, connecting Christ to the whole universe.</w:t>
      </w:r>
    </w:p>
    <w:p>
      <w:pPr>
        <w:spacing w:after="120" w:before="120"/>
        <w:ind w:left="720" w:right="720"/>
      </w:pPr>
      <w:r>
        <w:t xml:space="preserve">The key point to remember: the New Testament never loses its single focus, Jesus Christ, but expresses that one focus in a genuine variety of legitimate ways, depending on who was writing and for whom.</w:t>
      </w:r>
    </w:p>
    <w:p>
      <w:pPr>
        <w:pStyle w:val="Heading2"/>
        <w:spacing w:after="120" w:before="220"/>
      </w:pPr>
      <w:r>
        <w:t xml:space="preserve">C. The Era of the Fathers of the Church</w:t>
      </w:r>
    </w:p>
    <w:p>
      <w:pPr>
        <w:pStyle w:val="Heading3"/>
        <w:spacing w:after="100" w:before="180"/>
      </w:pPr>
      <w:r>
        <w:t xml:space="preserve">Who is a Father of the Church?</w:t>
      </w:r>
    </w:p>
    <w:p>
      <w:pPr>
        <w:spacing w:after="120"/>
      </w:pPr>
      <w:r>
        <w:t xml:space="preserve">The title is normally given to early Christian writers, mostly bishops, who died faithful to the Church. Strictly, four qualities are required: </w:t>
      </w:r>
      <w:r>
        <w:rPr>
          <w:b/>
          <w:bCs/>
        </w:rPr>
        <w:t xml:space="preserve">soundness of doctrine, holiness of life, official Church recognition, and antiquity</w:t>
      </w:r>
      <w:r>
        <w:t xml:space="preserve">. In practice the title is also given to a few writers, such as Origen and Tertullian, who do not fully meet all four conditions.</w:t>
      </w:r>
      <w:r>
        <w:rPr>
          <w:rStyle w:val="FootnoteReference"/>
        </w:rPr>
        <w:footnoteReference w:id="9"/>
      </w:r>
      <w:r>
        <w:t xml:space="preserve"> The Patristic Era runs from the end of the apostolic period to roughly the middle of the eighth century.</w:t>
      </w:r>
    </w:p>
    <w:p>
      <w:pPr>
        <w:pStyle w:val="Heading3"/>
        <w:spacing w:after="100" w:before="180"/>
      </w:pPr>
      <w:r>
        <w:t xml:space="preserve">Three phases of the period</w:t>
      </w:r>
    </w:p>
    <w:p>
      <w:pPr>
        <w:pStyle w:val="ListParagraph"/>
        <w:numPr>
          <w:ilvl w:val="0"/>
          <w:numId w:val="1"/>
        </w:numPr>
        <w:spacing w:after="80"/>
      </w:pPr>
      <w:r>
        <w:rPr>
          <w:b/>
          <w:bCs/>
        </w:rPr>
        <w:t xml:space="preserve">Apologetic phase</w:t>
      </w:r>
      <w:r>
        <w:t xml:space="preserve">: the Apologists defended Christianity’s right to exist and be practised openly, arguing before emperors and the public.</w:t>
      </w:r>
    </w:p>
    <w:p>
      <w:pPr>
        <w:pStyle w:val="ListParagraph"/>
        <w:numPr>
          <w:ilvl w:val="0"/>
          <w:numId w:val="1"/>
        </w:numPr>
        <w:spacing w:after="80"/>
      </w:pPr>
      <w:r>
        <w:rPr>
          <w:b/>
          <w:bCs/>
        </w:rPr>
        <w:t xml:space="preserve">Dogmatic phase</w:t>
      </w:r>
      <w:r>
        <w:t xml:space="preserve">: the concern shifted to understanding the Christian faith on its own inner logic.</w:t>
      </w:r>
    </w:p>
    <w:p>
      <w:pPr>
        <w:pStyle w:val="ListParagraph"/>
        <w:numPr>
          <w:ilvl w:val="0"/>
          <w:numId w:val="1"/>
        </w:numPr>
        <w:spacing w:after="80"/>
      </w:pPr>
      <w:r>
        <w:rPr>
          <w:b/>
          <w:bCs/>
        </w:rPr>
        <w:t xml:space="preserve">Theological phase</w:t>
      </w:r>
      <w:r>
        <w:t xml:space="preserve">: full Christian systems of theology began to emerge.</w:t>
      </w:r>
      <w:r>
        <w:rPr>
          <w:rStyle w:val="FootnoteReference"/>
        </w:rPr>
        <w:footnoteReference w:id="10"/>
      </w:r>
    </w:p>
    <w:p>
      <w:pPr>
        <w:pStyle w:val="Heading3"/>
        <w:spacing w:after="100" w:before="180"/>
      </w:pPr>
      <w:r>
        <w:t xml:space="preserve">How this era is divided</w:t>
      </w:r>
    </w:p>
    <w:p>
      <w:pPr>
        <w:spacing w:after="120"/>
      </w:pPr>
      <w:r>
        <w:rPr>
          <w:b/>
          <w:bCs/>
        </w:rPr>
        <w:t xml:space="preserve">Apostolic Fathers</w:t>
      </w:r>
      <w:r>
        <w:t xml:space="preserve"> (Clement of Rome, Ignatius, Polycarp), mostly pastoral and teaching writers. </w:t>
      </w:r>
      <w:r>
        <w:rPr>
          <w:b/>
          <w:bCs/>
        </w:rPr>
        <w:t xml:space="preserve">Apologists</w:t>
      </w:r>
      <w:r>
        <w:t xml:space="preserve"> (Justin, Irenaeus, Clement of Alexandria), who defended Christianity and opened dialogue with the wider culture, in three settings:</w:t>
      </w:r>
      <w:r>
        <w:rPr>
          <w:rStyle w:val="FootnoteReference"/>
        </w:rPr>
        <w:footnoteReference w:id="11"/>
      </w:r>
    </w:p>
    <w:p>
      <w:pPr>
        <w:pStyle w:val="ListParagraph"/>
        <w:numPr>
          <w:ilvl w:val="0"/>
          <w:numId w:val="1"/>
        </w:numPr>
        <w:spacing w:after="80"/>
      </w:pPr>
      <w:r>
        <w:rPr>
          <w:b/>
          <w:bCs/>
        </w:rPr>
        <w:t xml:space="preserve">The Semitic world</w:t>
      </w:r>
      <w:r>
        <w:t xml:space="preserve">, centred at Edessa, with </w:t>
      </w:r>
      <w:r>
        <w:rPr>
          <w:b/>
          <w:bCs/>
        </w:rPr>
        <w:t xml:space="preserve">Ephraem the Syrian</w:t>
      </w:r>
      <w:r>
        <w:t xml:space="preserve"> as its great symbolic theologian.</w:t>
      </w:r>
    </w:p>
    <w:p>
      <w:pPr>
        <w:pStyle w:val="ListParagraph"/>
        <w:numPr>
          <w:ilvl w:val="0"/>
          <w:numId w:val="1"/>
        </w:numPr>
        <w:spacing w:after="80"/>
      </w:pPr>
      <w:r>
        <w:rPr>
          <w:b/>
          <w:bCs/>
        </w:rPr>
        <w:t xml:space="preserve">The Greek world</w:t>
      </w:r>
      <w:r>
        <w:t xml:space="preserve">, centred at Alexandria (Clement of Alexandria, Origen), reaching its high point in the </w:t>
      </w:r>
      <w:r>
        <w:rPr>
          <w:b/>
          <w:bCs/>
        </w:rPr>
        <w:t xml:space="preserve">Cappadocian Fathers</w:t>
      </w:r>
      <w:r>
        <w:t xml:space="preserve">, Gregory Nazianzen, Basil of Caesarea, and Gregory of Nyssa.</w:t>
      </w:r>
    </w:p>
    <w:p>
      <w:pPr>
        <w:pStyle w:val="ListParagraph"/>
        <w:numPr>
          <w:ilvl w:val="0"/>
          <w:numId w:val="1"/>
        </w:numPr>
        <w:spacing w:after="80"/>
      </w:pPr>
      <w:r>
        <w:rPr>
          <w:b/>
          <w:bCs/>
        </w:rPr>
        <w:t xml:space="preserve">The Latin world</w:t>
      </w:r>
      <w:r>
        <w:t xml:space="preserve">, at Rome and Carthage (Hippolytus, Tertullian), brought to its fullest form by </w:t>
      </w:r>
      <w:r>
        <w:rPr>
          <w:b/>
          <w:bCs/>
        </w:rPr>
        <w:t xml:space="preserve">Ambrose of Milan</w:t>
      </w:r>
      <w:r>
        <w:t xml:space="preserve"> and </w:t>
      </w:r>
      <w:r>
        <w:rPr>
          <w:b/>
          <w:bCs/>
        </w:rPr>
        <w:t xml:space="preserve">Augustine of Hippo</w:t>
      </w:r>
      <w:r>
        <w:t xml:space="preserve">.</w:t>
      </w:r>
    </w:p>
    <w:p>
      <w:pPr>
        <w:pBdr>
          <w:left w:val="single" w:color="2E7D32" w:sz="24"/>
        </w:pBdr>
        <w:shd w:fill="E8F5E9" w:val="clear"/>
        <w:spacing w:after="160" w:before="160"/>
        <w:ind w:left="240"/>
      </w:pPr>
      <w:r>
        <w:rPr>
          <w:b/>
          <w:bCs/>
          <w:color w:val="2E7D32"/>
        </w:rPr>
        <w:t xml:space="preserve">INDIAN CONTEXT: </w:t>
      </w:r>
      <w:r>
        <w:t xml:space="preserve">The </w:t>
      </w:r>
      <w:r>
        <w:rPr>
          <w:b/>
          <w:bCs/>
        </w:rPr>
        <w:t xml:space="preserve">Syriac model</w:t>
      </w:r>
      <w:r>
        <w:t xml:space="preserve"> of theology pioneered by Ephraem the Syrian, with its symbolic, poetic style rather than the Greek philosophical style, is not a distant memory for Indian students. The two Oriental Catholic Churches of India, the </w:t>
      </w:r>
      <w:r>
        <w:rPr>
          <w:b/>
          <w:bCs/>
        </w:rPr>
        <w:t xml:space="preserve">Syro-Malabar</w:t>
      </w:r>
      <w:r>
        <w:t xml:space="preserve"> and the </w:t>
      </w:r>
      <w:r>
        <w:rPr>
          <w:b/>
          <w:bCs/>
        </w:rPr>
        <w:t xml:space="preserve">Syro-Malankara</w:t>
      </w:r>
      <w:r>
        <w:t xml:space="preserve">, inherit their liturgical and theological ancestry directly from this Syriac and Antiochene stream. When an Indian Seminarian from either of these Churches studies this Section, he is studying the root of his own living Tradition, not an unfamiliar foreign History.</w:t>
      </w:r>
    </w:p>
    <w:p>
      <w:pPr>
        <w:pStyle w:val="Heading3"/>
        <w:spacing w:after="100" w:before="180"/>
      </w:pPr>
      <w:r>
        <w:t xml:space="preserve">The Twelve Key Developments of this Period</w:t>
      </w:r>
    </w:p>
    <w:p>
      <w:pPr>
        <w:pStyle w:val="ListParagraph"/>
        <w:numPr>
          <w:ilvl w:val="0"/>
          <w:numId w:val="1"/>
        </w:numPr>
        <w:spacing w:after="80"/>
      </w:pPr>
      <w:r>
        <w:rPr>
          <w:b/>
          <w:bCs/>
        </w:rPr>
        <w:t xml:space="preserve">a) Fixing the New Testament Canon.</w:t>
      </w:r>
      <w:r>
        <w:t xml:space="preserve"> The Church did not create which books were apostolic; it recognised and received the books that were already apostolic, settling the final list, the Canon.</w:t>
      </w:r>
      <w:r>
        <w:rPr>
          <w:rStyle w:val="FootnoteReference"/>
        </w:rPr>
        <w:footnoteReference w:id="12"/>
      </w:r>
    </w:p>
    <w:p>
      <w:pPr>
        <w:pBdr>
          <w:left w:val="single" w:color="1565C0" w:sz="24"/>
        </w:pBdr>
        <w:shd w:fill="E3F2FD" w:val="clear"/>
        <w:spacing w:after="160" w:before="160"/>
        <w:ind w:left="240"/>
      </w:pPr>
      <w:r>
        <w:rPr>
          <w:b/>
          <w:bCs/>
          <w:color w:val="1565C0"/>
        </w:rPr>
        <w:t xml:space="preserve">EXAMPLE: </w:t>
      </w:r>
      <w:r>
        <w:rPr>
          <w:b/>
          <w:bCs/>
        </w:rPr>
        <w:t xml:space="preserve">b) The role of Tradition.</w:t>
      </w:r>
      <w:r>
        <w:t xml:space="preserve"> Tradition came to mean the trustworthy, apostolic way of interpreting Scripture correctly, seen in the Church’s creeds, liturgy and teaching. Fighting the heresy of Gnosticism, Irenaeus insisted: “The true Gnosis is the teaching of the Twelve Apostles.”</w:t>
      </w:r>
      <w:r>
        <w:rPr>
          <w:rStyle w:val="FootnoteReference"/>
        </w:rPr>
        <w:footnoteReference w:id="13"/>
      </w:r>
    </w:p>
    <w:p>
      <w:pPr>
        <w:pStyle w:val="ListParagraph"/>
        <w:numPr>
          <w:ilvl w:val="0"/>
          <w:numId w:val="1"/>
        </w:numPr>
        <w:spacing w:after="80"/>
      </w:pPr>
      <w:r>
        <w:rPr>
          <w:b/>
          <w:bCs/>
        </w:rPr>
        <w:t xml:space="preserve">c) Fixing the Ecumenical Creeds.</w:t>
      </w:r>
      <w:r>
        <w:t xml:space="preserve"> From baptismal professions of faith and the Apostles’ Creed, to the formal creeds written by Church Councils, such as the Nicene Creed and the Constantinopolitan Creed, the Church worked toward one shared, agreed statement of faith.</w:t>
      </w:r>
      <w:r>
        <w:rPr>
          <w:rStyle w:val="FootnoteReference"/>
        </w:rPr>
        <w:footnoteReference w:id="14"/>
      </w:r>
    </w:p>
    <w:p>
      <w:pPr>
        <w:pBdr>
          <w:left w:val="single" w:color="1565C0" w:sz="24"/>
        </w:pBdr>
        <w:shd w:fill="E3F2FD" w:val="clear"/>
        <w:spacing w:after="160" w:before="160"/>
        <w:ind w:left="240"/>
      </w:pPr>
      <w:r>
        <w:rPr>
          <w:b/>
          <w:bCs/>
          <w:color w:val="1565C0"/>
        </w:rPr>
        <w:t xml:space="preserve">EXAMPLE: </w:t>
      </w:r>
      <w:r>
        <w:rPr>
          <w:b/>
          <w:bCs/>
        </w:rPr>
        <w:t xml:space="preserve">d) A deeper understanding of Jesus Christ.</w:t>
      </w:r>
      <w:r>
        <w:t xml:space="preserve"> The great milestone here is the </w:t>
      </w:r>
      <w:r>
        <w:rPr>
          <w:b/>
          <w:bCs/>
        </w:rPr>
        <w:t xml:space="preserve">Council of Chalcedon (451)</w:t>
      </w:r>
      <w:r>
        <w:t xml:space="preserve">. Two rival schools pushed this development forward: the </w:t>
      </w:r>
      <w:r>
        <w:rPr>
          <w:b/>
          <w:bCs/>
        </w:rPr>
        <w:t xml:space="preserve">Alexandrian school</w:t>
      </w:r>
      <w:r>
        <w:t xml:space="preserve"> (Cyril of Alexandria), which stressed Christ’s divinity and sometimes underplayed his humanity, and the </w:t>
      </w:r>
      <w:r>
        <w:rPr>
          <w:b/>
          <w:bCs/>
        </w:rPr>
        <w:t xml:space="preserve">Antiochene school</w:t>
      </w:r>
      <w:r>
        <w:t xml:space="preserve"> (Theodore of Mopsuestia), which stressed his full humanity but risked loosening the union with his divinity.</w:t>
      </w:r>
      <w:r>
        <w:rPr>
          <w:rStyle w:val="FootnoteReference"/>
        </w:rPr>
        <w:footnoteReference w:id="15"/>
      </w:r>
    </w:p>
    <w:p>
      <w:pPr>
        <w:pStyle w:val="ListParagraph"/>
        <w:numPr>
          <w:ilvl w:val="0"/>
          <w:numId w:val="1"/>
        </w:numPr>
        <w:spacing w:after="80"/>
      </w:pPr>
      <w:r>
        <w:rPr>
          <w:b/>
          <w:bCs/>
        </w:rPr>
        <w:t xml:space="preserve">e) Different approaches to the Trinity.</w:t>
      </w:r>
      <w:r>
        <w:t xml:space="preserve"> East and West believed exactly the same thing about the Trinity but explained it differently. The </w:t>
      </w:r>
      <w:r>
        <w:rPr>
          <w:b/>
          <w:bCs/>
        </w:rPr>
        <w:t xml:space="preserve">Latin Fathers</w:t>
      </w:r>
      <w:r>
        <w:t xml:space="preserve">, especially Augustine, started from the One God and then explained the three Persons. The </w:t>
      </w:r>
      <w:r>
        <w:rPr>
          <w:b/>
          <w:bCs/>
        </w:rPr>
        <w:t xml:space="preserve">Greek Fathers</w:t>
      </w:r>
      <w:r>
        <w:t xml:space="preserve"> (the Cappadocians) started from the three Persons and then explained how they are one God.</w:t>
      </w:r>
      <w:r>
        <w:rPr>
          <w:rStyle w:val="FootnoteReference"/>
        </w:rPr>
        <w:footnoteReference w:id="16"/>
      </w:r>
    </w:p>
    <w:p>
      <w:pPr>
        <w:pStyle w:val="ListParagraph"/>
        <w:numPr>
          <w:ilvl w:val="0"/>
          <w:numId w:val="1"/>
        </w:numPr>
        <w:spacing w:after="80"/>
      </w:pPr>
      <w:r>
        <w:rPr>
          <w:b/>
          <w:bCs/>
        </w:rPr>
        <w:t xml:space="preserve">f) A fuller understanding of the Church.</w:t>
      </w:r>
      <w:r>
        <w:t xml:space="preserve"> Two early traditions, the </w:t>
      </w:r>
      <w:r>
        <w:rPr>
          <w:b/>
          <w:bCs/>
        </w:rPr>
        <w:t xml:space="preserve">Pauline</w:t>
      </w:r>
      <w:r>
        <w:t xml:space="preserve"> (unity of all local Churches together) and the </w:t>
      </w:r>
      <w:r>
        <w:rPr>
          <w:b/>
          <w:bCs/>
        </w:rPr>
        <w:t xml:space="preserve">Johannine</w:t>
      </w:r>
      <w:r>
        <w:t xml:space="preserve"> (the reality of each local Church), came together in Irenaeus. This period also saw the rise of the </w:t>
      </w:r>
      <w:r>
        <w:rPr>
          <w:b/>
          <w:bCs/>
        </w:rPr>
        <w:t xml:space="preserve">five Patriarchates</w:t>
      </w:r>
      <w:r>
        <w:t xml:space="preserve">: Rome, Alexandria, Antioch, Constantinople and Jerusalem.</w:t>
      </w:r>
      <w:r>
        <w:rPr>
          <w:rStyle w:val="FootnoteReference"/>
        </w:rPr>
        <w:footnoteReference w:id="17"/>
      </w:r>
    </w:p>
    <w:p>
      <w:pPr>
        <w:pBdr>
          <w:left w:val="single" w:color="1565C0" w:sz="24"/>
        </w:pBdr>
        <w:shd w:fill="E3F2FD" w:val="clear"/>
        <w:spacing w:after="160" w:before="160"/>
        <w:ind w:left="240"/>
      </w:pPr>
      <w:r>
        <w:rPr>
          <w:b/>
          <w:bCs/>
          <w:color w:val="1565C0"/>
        </w:rPr>
        <w:t xml:space="preserve">EXAMPLE: </w:t>
      </w:r>
      <w:r>
        <w:rPr>
          <w:b/>
          <w:bCs/>
        </w:rPr>
        <w:t xml:space="preserve">g) The meaning of Sacramentality.</w:t>
      </w:r>
      <w:r>
        <w:t xml:space="preserve"> The Church realised a Sacrament works because of Christ, not because of the personal holiness of the minister. Against the Donatists, who demanded a holy minister, Augustine wrote: “They do not distinguish the ‘sacrament’ from the ‘use of the sacrament.’ ‘Not receiving a sacrament’ is different from ‘not receiving a sacrament well.’”</w:t>
      </w:r>
      <w:r>
        <w:rPr>
          <w:rStyle w:val="FootnoteReference"/>
        </w:rPr>
        <w:footnoteReference w:id="18"/>
      </w:r>
    </w:p>
    <w:p>
      <w:pPr>
        <w:pStyle w:val="ListParagraph"/>
        <w:numPr>
          <w:ilvl w:val="0"/>
          <w:numId w:val="1"/>
        </w:numPr>
        <w:spacing w:after="80"/>
      </w:pPr>
      <w:r>
        <w:rPr>
          <w:b/>
          <w:bCs/>
        </w:rPr>
        <w:t xml:space="preserve">h) The doctrine of Grace.</w:t>
      </w:r>
      <w:r>
        <w:t xml:space="preserve"> Augustine, arguing against Pelagius, insisted that God’s grace is needed at every stage of human life, not only as an extra help for especially serious sinners.</w:t>
      </w:r>
      <w:r>
        <w:rPr>
          <w:rStyle w:val="FootnoteReference"/>
        </w:rPr>
        <w:footnoteReference w:id="19"/>
      </w:r>
    </w:p>
    <w:p>
      <w:pPr>
        <w:pStyle w:val="ListParagraph"/>
        <w:numPr>
          <w:ilvl w:val="0"/>
          <w:numId w:val="1"/>
        </w:numPr>
        <w:spacing w:after="80"/>
      </w:pPr>
      <w:r>
        <w:rPr>
          <w:b/>
          <w:bCs/>
        </w:rPr>
        <w:t xml:space="preserve">i) The beginnings of Biblical interpretation as a science.</w:t>
      </w:r>
      <w:r>
        <w:t xml:space="preserve"> Origen distinguished two levels of meaning in Scripture: the </w:t>
      </w:r>
      <w:r>
        <w:rPr>
          <w:b/>
          <w:bCs/>
        </w:rPr>
        <w:t xml:space="preserve">corporeal (literal, grammatical) sense</w:t>
      </w:r>
      <w:r>
        <w:t xml:space="preserve"> and the </w:t>
      </w:r>
      <w:r>
        <w:rPr>
          <w:b/>
          <w:bCs/>
        </w:rPr>
        <w:t xml:space="preserve">allegorical sense</w:t>
      </w:r>
      <w:r>
        <w:t xml:space="preserve">. When the literal sense seemed impossible, absurd, or unworthy of God, the allegorical sense was to be used instead.</w:t>
      </w:r>
      <w:r>
        <w:rPr>
          <w:rStyle w:val="FootnoteReference"/>
        </w:rPr>
        <w:footnoteReference w:id="20"/>
      </w:r>
    </w:p>
    <w:p>
      <w:pPr>
        <w:pBdr>
          <w:left w:val="single" w:color="1565C0" w:sz="24"/>
        </w:pBdr>
        <w:shd w:fill="E3F2FD" w:val="clear"/>
        <w:spacing w:after="160" w:before="160"/>
        <w:ind w:left="240"/>
      </w:pPr>
      <w:r>
        <w:rPr>
          <w:b/>
          <w:bCs/>
          <w:color w:val="1565C0"/>
        </w:rPr>
        <w:t xml:space="preserve">EXAMPLE: </w:t>
      </w:r>
      <w:r>
        <w:rPr>
          <w:b/>
          <w:bCs/>
        </w:rPr>
        <w:t xml:space="preserve">j) Theology meets secular culture.</w:t>
      </w:r>
      <w:r>
        <w:t xml:space="preserve"> Justin used the Greek philosophical idea of </w:t>
      </w:r>
      <w:r>
        <w:rPr>
          <w:b/>
          <w:bCs/>
        </w:rPr>
        <w:t xml:space="preserve">logos</w:t>
      </w:r>
      <w:r>
        <w:t xml:space="preserve">, used by Stoic philosophers for the divine reason in the world and by John’s Gospel for the Son of God, to build a bridge between Christian faith and Greek philosophy.</w:t>
      </w:r>
      <w:r>
        <w:rPr>
          <w:rStyle w:val="FootnoteReference"/>
        </w:rPr>
        <w:footnoteReference w:id="21"/>
      </w:r>
    </w:p>
    <w:p>
      <w:pPr>
        <w:pStyle w:val="ListParagraph"/>
        <w:numPr>
          <w:ilvl w:val="0"/>
          <w:numId w:val="1"/>
        </w:numPr>
        <w:spacing w:after="80"/>
      </w:pPr>
      <w:r>
        <w:rPr>
          <w:b/>
          <w:bCs/>
        </w:rPr>
        <w:t xml:space="preserve">k) First attempts to relate Reason and Faith.</w:t>
      </w:r>
      <w:r>
        <w:t xml:space="preserve"> At the school of Caesarea, the Cappadocians began applying philosophical reasoning to theology. Gregory Nazianzen stressed that Faith must always come first; reason may serve faith but must never replace it. Basil went further, saying that treating a mystery of faith as a mere logical problem was self-contradictory, yet Basil himself still used careful logical reasoning to define doctrine precisely.</w:t>
      </w:r>
      <w:r>
        <w:rPr>
          <w:rStyle w:val="FootnoteReference"/>
        </w:rPr>
        <w:footnoteReference w:id="22"/>
      </w:r>
    </w:p>
    <w:p>
      <w:pPr>
        <w:pStyle w:val="ListParagraph"/>
        <w:numPr>
          <w:ilvl w:val="0"/>
          <w:numId w:val="1"/>
        </w:numPr>
        <w:spacing w:after="80"/>
      </w:pPr>
      <w:r>
        <w:rPr>
          <w:b/>
          <w:bCs/>
        </w:rPr>
        <w:t xml:space="preserve">l) The rise of Schools of Theology.</w:t>
      </w:r>
      <w:r>
        <w:t xml:space="preserve"> The Alexandrian and Antiochene schools are the clearest early examples of organised schools of theology, each with its own typical approach.</w:t>
      </w:r>
      <w:r>
        <w:rPr>
          <w:rStyle w:val="FootnoteReference"/>
        </w:rPr>
        <w:footnoteReference w:id="23"/>
      </w:r>
    </w:p>
    <w:p>
      <w:pPr>
        <w:pStyle w:val="Heading2"/>
        <w:spacing w:after="120" w:before="220"/>
      </w:pPr>
      <w:r>
        <w:t xml:space="preserve">D. Scholastic Theologies</w:t>
      </w:r>
    </w:p>
    <w:p>
      <w:pPr>
        <w:pStyle w:val="Heading3"/>
        <w:spacing w:after="100" w:before="180"/>
      </w:pPr>
      <w:r>
        <w:t xml:space="preserve">What Scholastic means</w:t>
      </w:r>
    </w:p>
    <w:p>
      <w:pPr>
        <w:spacing w:after="120"/>
      </w:pPr>
      <w:r>
        <w:t xml:space="preserve">Scholastic describes the way theology and philosophy were organised in the medieval European universities, taught mainly through lectures and formal disputations, structured academic debates.</w:t>
      </w:r>
      <w:r>
        <w:rPr>
          <w:rStyle w:val="FootnoteReference"/>
        </w:rPr>
        <w:footnoteReference w:id="24"/>
      </w:r>
    </w:p>
    <w:p>
      <w:pPr>
        <w:pStyle w:val="Heading3"/>
        <w:spacing w:after="100" w:before="180"/>
      </w:pPr>
      <w:r>
        <w:t xml:space="preserve">How this approach developed</w:t>
      </w:r>
    </w:p>
    <w:p>
      <w:pPr>
        <w:spacing w:after="120"/>
      </w:pPr>
      <w:r>
        <w:t xml:space="preserve">Early Christian theology used mostly Semitic categories, describing things in terms of God’s actions. When Christianity met Greek culture, thinkers began using the categories of that culture too. Augustine summed up the underlying attitude in one famous phrase: “Believe that you may understand.”</w:t>
      </w:r>
    </w:p>
    <w:p>
      <w:pPr>
        <w:spacing w:after="120"/>
      </w:pPr>
      <w:r>
        <w:t xml:space="preserve">The turning point came when the works of </w:t>
      </w:r>
      <w:r>
        <w:rPr>
          <w:b/>
          <w:bCs/>
        </w:rPr>
        <w:t xml:space="preserve">Aristotle</w:t>
      </w:r>
      <w:r>
        <w:t xml:space="preserve"> reached Western Europe. Aristotle described reality in terms of being rather than simply God’s actions. This was a genuine gain, forcing Christian thinkers to be far more precise, but it also had a cost: theology became more abstract and technical, further from the vivid, concrete language of Scripture.</w:t>
      </w:r>
      <w:r>
        <w:rPr>
          <w:rStyle w:val="FootnoteReference"/>
        </w:rPr>
        <w:footnoteReference w:id="25"/>
      </w:r>
    </w:p>
    <w:p>
      <w:pPr>
        <w:pStyle w:val="Heading3"/>
        <w:spacing w:after="100" w:before="180"/>
      </w:pPr>
      <w:r>
        <w:t xml:space="preserve">The four periods of Scholasticism</w:t>
      </w:r>
    </w:p>
    <w:p>
      <w:pPr>
        <w:pStyle w:val="ListParagraph"/>
        <w:numPr>
          <w:ilvl w:val="0"/>
          <w:numId w:val="1"/>
        </w:numPr>
        <w:spacing w:after="80"/>
      </w:pPr>
      <w:r>
        <w:t xml:space="preserve">Pre-Scholasticism, 800–1050 AD</w:t>
      </w:r>
    </w:p>
    <w:p>
      <w:pPr>
        <w:pStyle w:val="ListParagraph"/>
        <w:numPr>
          <w:ilvl w:val="0"/>
          <w:numId w:val="1"/>
        </w:numPr>
        <w:spacing w:after="80"/>
      </w:pPr>
      <w:r>
        <w:t xml:space="preserve">Early Scholasticism, 1050–1200 AD</w:t>
      </w:r>
    </w:p>
    <w:p>
      <w:pPr>
        <w:pStyle w:val="ListParagraph"/>
        <w:numPr>
          <w:ilvl w:val="0"/>
          <w:numId w:val="1"/>
        </w:numPr>
        <w:spacing w:after="80"/>
      </w:pPr>
      <w:r>
        <w:t xml:space="preserve">High Scholasticism, 1200–1350 AD</w:t>
      </w:r>
    </w:p>
    <w:p>
      <w:pPr>
        <w:pStyle w:val="ListParagraph"/>
        <w:numPr>
          <w:ilvl w:val="0"/>
          <w:numId w:val="1"/>
        </w:numPr>
        <w:spacing w:after="80"/>
      </w:pPr>
      <w:r>
        <w:t xml:space="preserve">Late Scholasticism, 1350–1500 AD</w:t>
      </w:r>
      <w:r>
        <w:rPr>
          <w:rStyle w:val="FootnoteReference"/>
        </w:rPr>
        <w:footnoteReference w:id="26"/>
      </w:r>
    </w:p>
    <w:p>
      <w:pPr>
        <w:spacing w:after="120"/>
      </w:pPr>
      <w:r>
        <w:t xml:space="preserve">Two questions dominated the whole period: what is the proper role of Reason in Theology, and how should Christian teaching be organised into a complete system? Étienne Gilson called the great theological systems built in this period “cathedrals of the mind.” These systems split into two camps: those giving </w:t>
      </w:r>
      <w:r>
        <w:rPr>
          <w:b/>
          <w:bCs/>
        </w:rPr>
        <w:t xml:space="preserve">primacy to the intellect</w:t>
      </w:r>
      <w:r>
        <w:t xml:space="preserve"> (like Thomas Aquinas) and those giving </w:t>
      </w:r>
      <w:r>
        <w:rPr>
          <w:b/>
          <w:bCs/>
        </w:rPr>
        <w:t xml:space="preserve">primacy to the will</w:t>
      </w:r>
      <w:r>
        <w:t xml:space="preserve"> (like Bonaventure), from which grew the great Schools: Thomism, Scotism, Ockhamism.</w:t>
      </w:r>
      <w:r>
        <w:rPr>
          <w:rStyle w:val="FootnoteReference"/>
        </w:rPr>
        <w:footnoteReference w:id="27"/>
      </w:r>
    </w:p>
    <w:p>
      <w:pPr>
        <w:pStyle w:val="Heading3"/>
        <w:spacing w:after="100" w:before="180"/>
      </w:pPr>
      <w:r>
        <w:t xml:space="preserve">Six figures who show the spirit of this age</w:t>
      </w:r>
    </w:p>
    <w:p>
      <w:pPr>
        <w:spacing w:after="120"/>
      </w:pPr>
      <w:r>
        <w:rPr>
          <w:b/>
          <w:bCs/>
        </w:rPr>
        <w:t xml:space="preserve">1. Anselm of Canterbury (1033-1109): Faith and Reason.</w:t>
      </w:r>
      <w:r>
        <w:t xml:space="preserve"> Anselm always started from faith, and then used reason to understand what he already believed, “faith seeking understanding” (fides quaerens intellectum). If Scripture and a rational argument ever seemed to clash, Anselm always sided with Scripture; his use of pure reason was only a method, never a rejection of faith. He is often called the father of Scholasticism.</w:t>
      </w:r>
      <w:r>
        <w:rPr>
          <w:rStyle w:val="FootnoteReference"/>
        </w:rPr>
        <w:footnoteReference w:id="28"/>
      </w:r>
    </w:p>
    <w:p>
      <w:pPr>
        <w:spacing w:after="120"/>
      </w:pPr>
      <w:r>
        <w:rPr>
          <w:b/>
          <w:bCs/>
        </w:rPr>
        <w:t xml:space="preserve">2. Bernard of Clairvaux (1091-1153): Mystical Theology.</w:t>
      </w:r>
      <w:r>
        <w:t xml:space="preserve"> Bernard’s theology grew out of his own deep mystical experience. His whole spiritual project can be summed up in one phrase: “to know Jesus and Him crucified.” For Bernard, sin means loving yourself, or loving other creatures, for your own sake instead of loving them, and yourself, for God’s sake. He is a founding figure of Western Mystical Theology.</w:t>
      </w:r>
      <w:r>
        <w:rPr>
          <w:rStyle w:val="FootnoteReference"/>
        </w:rPr>
        <w:footnoteReference w:id="29"/>
      </w:r>
    </w:p>
    <w:p>
      <w:pPr>
        <w:spacing w:after="120"/>
      </w:pPr>
      <w:r>
        <w:rPr>
          <w:b/>
          <w:bCs/>
        </w:rPr>
        <w:t xml:space="preserve">3. Thomas Aquinas (1225-1274): Synthesis emphasising the Intellect.</w:t>
      </w:r>
      <w:r>
        <w:t xml:space="preserve"> Aquinas built the most influential theological synthesis in the whole Catholic Tradition, still shaping theology today. See Chapter 4 for a fuller treatment of his thought.</w:t>
      </w:r>
      <w:r>
        <w:rPr>
          <w:rStyle w:val="FootnoteReference"/>
        </w:rPr>
        <w:footnoteReference w:id="30"/>
      </w:r>
    </w:p>
    <w:p>
      <w:pPr>
        <w:pBdr>
          <w:left w:val="single" w:color="1565C0" w:sz="24"/>
        </w:pBdr>
        <w:shd w:fill="E3F2FD" w:val="clear"/>
        <w:spacing w:after="160" w:before="160"/>
        <w:ind w:left="240"/>
      </w:pPr>
      <w:r>
        <w:rPr>
          <w:b/>
          <w:bCs/>
          <w:color w:val="1565C0"/>
        </w:rPr>
        <w:t xml:space="preserve">EXAMPLE: </w:t>
      </w:r>
      <w:r>
        <w:rPr>
          <w:b/>
          <w:bCs/>
        </w:rPr>
        <w:t xml:space="preserve">4. Bonaventure (1221-1274): Synthesis emphasising the Will.</w:t>
      </w:r>
      <w:r>
        <w:t xml:space="preserve"> Bonaventure regarded Christ as his only true teacher and philosophy simply as a help to understanding the faith. In his own words: “As the children of Israel carried away the treasures of Egypt (Ex 3:22; 12:35), so theologians make their own the teachings of philosophy.”</w:t>
      </w:r>
      <w:r>
        <w:rPr>
          <w:rStyle w:val="FootnoteReference"/>
        </w:rPr>
        <w:footnoteReference w:id="31"/>
      </w:r>
      <w:r>
        <w:t xml:space="preserve"> His theology describes the soul’s journey toward God in three stages: finding traces of God in the visible world, finding God’s image within our own soul, and finally passing beyond all created things into the mystical joy of knowing and adoring God. Pope Leo XIII called him “the prince who leads us by the hand to God.”</w:t>
      </w:r>
    </w:p>
    <w:p>
      <w:pPr>
        <w:spacing w:after="120"/>
      </w:pPr>
      <w:r>
        <w:rPr>
          <w:b/>
          <w:bCs/>
        </w:rPr>
        <w:t xml:space="preserve">5. John Duns Scotus (1266-1308): A Christ-Centred Synthesis.</w:t>
      </w:r>
      <w:r>
        <w:t xml:space="preserve"> For Scotus, everything begins with love: God, who is Love, created out of love, and above every other created thing stands </w:t>
      </w:r>
      <w:r>
        <w:rPr>
          <w:b/>
          <w:bCs/>
        </w:rPr>
        <w:t xml:space="preserve">Jesus Christ</w:t>
      </w:r>
      <w:r>
        <w:t xml:space="preserve">, the God-Man, whose Incarnation was willed by God from all eternity, independently of human sin, purely as the supreme expression of divine love. All others who are saved are united to Christ as “co-lovers” of the Trinity. Scholars have called him “the last of the great personalities of Scholasticism.”</w:t>
      </w:r>
      <w:r>
        <w:rPr>
          <w:rStyle w:val="FootnoteReference"/>
        </w:rPr>
        <w:footnoteReference w:id="32"/>
      </w:r>
    </w:p>
    <w:p>
      <w:pPr>
        <w:spacing w:after="120"/>
      </w:pPr>
      <w:r>
        <w:rPr>
          <w:b/>
          <w:bCs/>
        </w:rPr>
        <w:t xml:space="preserve">6. William of Ockham (1285-1347): The Breakdown of the Scholastic Synthesis.</w:t>
      </w:r>
      <w:r>
        <w:t xml:space="preserve"> Ockham is famous for a rule of method known as </w:t>
      </w:r>
      <w:r>
        <w:rPr>
          <w:b/>
          <w:bCs/>
        </w:rPr>
        <w:t xml:space="preserve">Ockham’s Razor</w:t>
      </w:r>
      <w:r>
        <w:t xml:space="preserve">: “Entities must not be multiplied without necessity” (entia non sunt multiplicanda sine necessitate), meaning explanations should stay as simple as possible. He was a </w:t>
      </w:r>
      <w:r>
        <w:rPr>
          <w:b/>
          <w:bCs/>
        </w:rPr>
        <w:t xml:space="preserve">nominalist</w:t>
      </w:r>
      <w:r>
        <w:t xml:space="preserve">: only individual, concrete things are fully real for him; general categories exist only in the mind. As a result, Ockham held that theology cannot be a strict science the way philosophy can, since its starting principles come from revelation, not self-evident reason. His sharp questioning weakened the confidence of the earlier Scholastic systems.</w:t>
      </w:r>
      <w:r>
        <w:rPr>
          <w:rStyle w:val="FootnoteReference"/>
        </w:rPr>
        <w:footnoteReference w:id="33"/>
      </w:r>
    </w:p>
    <w:p>
      <w:pPr>
        <w:pStyle w:val="Heading2"/>
        <w:spacing w:after="120" w:before="220"/>
      </w:pPr>
      <w:r>
        <w:t xml:space="preserve">E. The Post-Scholastic Era</w:t>
      </w:r>
    </w:p>
    <w:p>
      <w:pPr>
        <w:spacing w:after="120"/>
      </w:pPr>
      <w:r>
        <w:t xml:space="preserve">The Protestant Reformation split the Western Church. The Catholic Church responded at the </w:t>
      </w:r>
      <w:r>
        <w:rPr>
          <w:b/>
          <w:bCs/>
        </w:rPr>
        <w:t xml:space="preserve">Council of Trent</w:t>
      </w:r>
      <w:r>
        <w:t xml:space="preserve">, and for several centuries afterward, right up to Vatican II, Catholic theology was mostly in a defensive posture, though with notable exceptions of real renewal.</w:t>
      </w:r>
      <w:r>
        <w:rPr>
          <w:rStyle w:val="FootnoteReference"/>
        </w:rPr>
        <w:footnoteReference w:id="34"/>
      </w:r>
    </w:p>
    <w:p>
      <w:pPr>
        <w:pStyle w:val="Heading3"/>
        <w:spacing w:after="100" w:before="180"/>
      </w:pPr>
      <w:r>
        <w:t xml:space="preserve">1. The Neo-Scholastic Renewal</w:t>
      </w:r>
    </w:p>
    <w:p>
      <w:pPr>
        <w:spacing w:after="120"/>
      </w:pPr>
      <w:r>
        <w:t xml:space="preserve">In 1879, </w:t>
      </w:r>
      <w:r>
        <w:rPr>
          <w:b/>
          <w:bCs/>
        </w:rPr>
        <w:t xml:space="preserve">Pope Leo XIII</w:t>
      </w:r>
      <w:r>
        <w:rPr/>
        <w:t xml:space="preserve">, in the encyclical </w:t>
      </w:r>
      <w:r>
        <w:rPr>
          <w:i/>
          <w:iCs/>
        </w:rPr>
        <w:t xml:space="preserve">Aeterni Patris</w:t>
      </w:r>
      <w:r>
        <w:rPr/>
        <w:t xml:space="preserve">, called the Church back to the study of philosophy, especially that of Thomas Aquinas. This Neo-Scholastic movement kept the core Scholastic tools, the doctrine of the four causes, the doctrine of analogy, the proofs for God’s existence, while insisting philosophy and theology are distinct but never in real contradiction. Key figures: Désiré-Joseph Mercier, who tried to reconcile modern science with Catholic faith; Maurice de Wulf, who balanced respect for tradition with openness to modern needs; and </w:t>
      </w:r>
      <w:r>
        <w:rPr>
          <w:b/>
          <w:bCs/>
        </w:rPr>
        <w:t xml:space="preserve">Jacques Maritain</w:t>
      </w:r>
      <w:r>
        <w:t xml:space="preserve">, who distinguished three levels of knowledge, scientific, metaphysical and suprarational, each with its own legitimate place.</w:t>
      </w:r>
      <w:r>
        <w:rPr>
          <w:rStyle w:val="FootnoteReference"/>
        </w:rPr>
        <w:footnoteReference w:id="35"/>
      </w:r>
    </w:p>
    <w:p>
      <w:pPr>
        <w:pStyle w:val="Heading3"/>
        <w:spacing w:after="100" w:before="180"/>
      </w:pPr>
      <w:r>
        <w:t xml:space="preserve">2. The Existentialist Thrust</w:t>
      </w:r>
    </w:p>
    <w:p>
      <w:pPr>
        <w:spacing w:after="120"/>
      </w:pPr>
      <w:r>
        <w:t xml:space="preserve">Existentialism is less a set of doctrines than an approach that starts from lived human existence, how a person actually lives, acts and decides, rather than from a fixed, abstract essence. The Catholic thinker </w:t>
      </w:r>
      <w:r>
        <w:rPr>
          <w:b/>
          <w:bCs/>
        </w:rPr>
        <w:t xml:space="preserve">Gabriel Marcel</w:t>
      </w:r>
      <w:r>
        <w:t xml:space="preserve"> distinguished a </w:t>
      </w:r>
      <w:r>
        <w:rPr>
          <w:b/>
          <w:bCs/>
        </w:rPr>
        <w:t xml:space="preserve">problem</w:t>
      </w:r>
      <w:r>
        <w:t xml:space="preserve">, which can be studied objectively from outside, from a </w:t>
      </w:r>
      <w:r>
        <w:rPr>
          <w:b/>
          <w:bCs/>
        </w:rPr>
        <w:t xml:space="preserve">mystery</w:t>
      </w:r>
      <w:r>
        <w:t xml:space="preserve">, which cannot; and </w:t>
      </w:r>
      <w:r>
        <w:rPr>
          <w:b/>
          <w:bCs/>
        </w:rPr>
        <w:t xml:space="preserve">having</w:t>
      </w:r>
      <w:r>
        <w:t xml:space="preserve">, an attitude of control, from </w:t>
      </w:r>
      <w:r>
        <w:rPr>
          <w:b/>
          <w:bCs/>
        </w:rPr>
        <w:t xml:space="preserve">being</w:t>
      </w:r>
      <w:r>
        <w:t xml:space="preserve">, which is always relational. For Marcel, human existence is found not in an isolated “I” but in the community “we.”</w:t>
      </w:r>
      <w:r>
        <w:rPr>
          <w:rStyle w:val="FootnoteReference"/>
        </w:rPr>
        <w:footnoteReference w:id="36"/>
      </w:r>
    </w:p>
    <w:p>
      <w:pPr>
        <w:pStyle w:val="Heading3"/>
        <w:spacing w:after="100" w:before="180"/>
      </w:pPr>
      <w:r>
        <w:t xml:space="preserve">3. The Kairos of Vatican II</w:t>
      </w:r>
    </w:p>
    <w:p>
      <w:pPr>
        <w:pBdr>
          <w:left w:val="single" w:color="2E7D32" w:sz="24"/>
        </w:pBdr>
        <w:shd w:fill="E8F5E9" w:val="clear"/>
        <w:spacing w:after="160" w:before="160"/>
        <w:ind w:left="240"/>
      </w:pPr>
      <w:r>
        <w:rPr>
          <w:b/>
          <w:bCs/>
          <w:color w:val="2E7D32"/>
        </w:rPr>
        <w:t xml:space="preserve">INDIAN CONTEXT: </w:t>
      </w:r>
      <w:r>
        <w:rPr>
          <w:b/>
          <w:bCs/>
        </w:rPr>
        <w:t xml:space="preserve">Vatican II (1962-1965)</w:t>
      </w:r>
      <w:r>
        <w:t xml:space="preserve"> was a genuine turning point. Bishops came from very different situations: Europeans, close to other Christian traditions; Latin Americans, sensitive to injustice; and </w:t>
      </w:r>
      <w:r>
        <w:rPr>
          <w:b/>
          <w:bCs/>
        </w:rPr>
        <w:t xml:space="preserve">Asians and Africans, living daily among people of other religions</w:t>
      </w:r>
      <w:r>
        <w:t xml:space="preserve">.</w:t>
      </w:r>
      <w:r>
        <w:rPr>
          <w:rStyle w:val="FootnoteReference"/>
        </w:rPr>
        <w:footnoteReference w:id="37"/>
      </w:r>
      <w:r>
        <w:t xml:space="preserve"> Because of this, the old Neo-Scholastic framework, once treated as the only proper tool for Catholic theology, lost its position as the sole option. Indian and other Asian Bishops at the Council brought exactly the multi-religious daily Experience that Section F of this Chapter will later name as the Seedbed of Contextual Theology. Notably, several of the Council’s most important theological experts, Yves Congar, Jean Daniélou, Henri de Lubac, Karl Rahner and others, had themselves begun their careers strictly within the Neo-Scholastic mould, but opened it up during the Council.</w:t>
      </w:r>
    </w:p>
    <w:p>
      <w:pPr>
        <w:pStyle w:val="Heading2"/>
        <w:spacing w:after="120" w:before="220"/>
      </w:pPr>
      <w:r>
        <w:t xml:space="preserve">F. Contextual Theologies</w:t>
      </w:r>
    </w:p>
    <w:p>
      <w:pPr>
        <w:pStyle w:val="Heading3"/>
        <w:spacing w:after="100" w:before="180"/>
      </w:pPr>
      <w:r>
        <w:t xml:space="preserve">Why Contextual Theology appeared</w:t>
      </w:r>
    </w:p>
    <w:p>
      <w:pPr>
        <w:spacing w:after="120"/>
      </w:pPr>
      <w:r>
        <w:t xml:space="preserve">Before Vatican II, Catholic theology largely assumed one </w:t>
      </w:r>
      <w:r>
        <w:rPr>
          <w:b/>
          <w:bCs/>
        </w:rPr>
        <w:t xml:space="preserve">Universal Theology</w:t>
      </w:r>
      <w:r>
        <w:t xml:space="preserve"> (theologia universalis) that applied everywhere in the same way. But as the Church grew rapidly in Asia, Latin America and Africa, once called the “periphery,” theology had to reckon seriously with how a believer’s actual circumstances shape their response to faith. This gave rise to words like “Contextualisation” and “Indigenisation.”</w:t>
      </w:r>
      <w:r>
        <w:rPr>
          <w:rStyle w:val="FootnoteReference"/>
        </w:rPr>
        <w:footnoteReference w:id="38"/>
      </w:r>
    </w:p>
    <w:p>
      <w:pPr>
        <w:pStyle w:val="Heading3"/>
        <w:spacing w:after="100" w:before="180"/>
      </w:pPr>
      <w:r>
        <w:t xml:space="preserve">Three areas of special sensitivity</w:t>
      </w:r>
    </w:p>
    <w:p>
      <w:pPr>
        <w:pStyle w:val="ListParagraph"/>
        <w:numPr>
          <w:ilvl w:val="0"/>
          <w:numId w:val="1"/>
        </w:numPr>
        <w:spacing w:after="80"/>
      </w:pPr>
      <w:r>
        <w:rPr>
          <w:b/>
          <w:bCs/>
        </w:rPr>
        <w:t xml:space="preserve">Context</w:t>
      </w:r>
      <w:r>
        <w:t xml:space="preserve">: theology now starts from the concrete situation itself, such as poverty, oppression, or culture, instead of applying a ready-made theology from outside.</w:t>
      </w:r>
    </w:p>
    <w:p>
      <w:pPr>
        <w:pStyle w:val="ListParagraph"/>
        <w:numPr>
          <w:ilvl w:val="0"/>
          <w:numId w:val="1"/>
        </w:numPr>
        <w:spacing w:after="80"/>
      </w:pPr>
      <w:r>
        <w:rPr>
          <w:b/>
          <w:bCs/>
        </w:rPr>
        <w:t xml:space="preserve">Procedure</w:t>
      </w:r>
      <w:r>
        <w:t xml:space="preserve">: rather than theology being built mainly around famous individual scholars, communities themselves, such as Basic Christian Communities, take real responsibility for shaping theological reflection.</w:t>
      </w:r>
    </w:p>
    <w:p>
      <w:pPr>
        <w:pStyle w:val="ListParagraph"/>
        <w:numPr>
          <w:ilvl w:val="0"/>
          <w:numId w:val="1"/>
        </w:numPr>
        <w:spacing w:after="80"/>
      </w:pPr>
      <w:r>
        <w:rPr>
          <w:b/>
          <w:bCs/>
        </w:rPr>
        <w:t xml:space="preserve">History</w:t>
      </w:r>
      <w:r>
        <w:t xml:space="preserve">: special attention is paid to the historical situation of the people concerned, alongside the truths that endure across all times.</w:t>
      </w:r>
      <w:r>
        <w:rPr>
          <w:rStyle w:val="FootnoteReference"/>
        </w:rPr>
        <w:footnoteReference w:id="39"/>
      </w:r>
    </w:p>
    <w:p>
      <w:pPr>
        <w:spacing w:after="120"/>
      </w:pPr>
      <w:r>
        <w:t xml:space="preserve">Three deeper roots underlie all Contextual Theology: </w:t>
      </w:r>
      <w:r>
        <w:rPr>
          <w:b/>
          <w:bCs/>
        </w:rPr>
        <w:t xml:space="preserve">Gospel</w:t>
      </w:r>
      <w:r>
        <w:t xml:space="preserve"> (the Good News of Jesus Christ, Scripture, worship), </w:t>
      </w:r>
      <w:r>
        <w:rPr>
          <w:b/>
          <w:bCs/>
        </w:rPr>
        <w:t xml:space="preserve">Church</w:t>
      </w:r>
      <w:r>
        <w:t xml:space="preserve"> (the Gospel lived out in the believing community, that is, Tradition), and </w:t>
      </w:r>
      <w:r>
        <w:rPr>
          <w:b/>
          <w:bCs/>
        </w:rPr>
        <w:t xml:space="preserve">Culture</w:t>
      </w:r>
      <w:r>
        <w:t xml:space="preserve"> (the concrete way of life, with its own values, symbols and meanings).</w:t>
      </w:r>
    </w:p>
    <w:p>
      <w:pPr>
        <w:pStyle w:val="Heading3"/>
        <w:spacing w:after="100" w:before="180"/>
      </w:pPr>
      <w:r>
        <w:t xml:space="preserve">Examples of Contextual Theologies</w:t>
      </w:r>
    </w:p>
    <w:p>
      <w:pPr>
        <w:pStyle w:val="ListParagraph"/>
        <w:numPr>
          <w:ilvl w:val="0"/>
          <w:numId w:val="1"/>
        </w:numPr>
        <w:spacing w:after="80"/>
      </w:pPr>
      <w:r>
        <w:rPr>
          <w:b/>
          <w:bCs/>
        </w:rPr>
        <w:t xml:space="preserve">a) Continental and National Theologies.</w:t>
      </w:r>
      <w:r>
        <w:t xml:space="preserve"> Asian Theology, Latin American Theology, African Theology; or, more narrowly, Indian Theology, Filipino Theology, wherever a shared regional culture or shared problems shape how people do theology.</w:t>
      </w:r>
      <w:r>
        <w:rPr>
          <w:rStyle w:val="FootnoteReference"/>
        </w:rPr>
        <w:footnoteReference w:id="40"/>
      </w:r>
    </w:p>
    <w:p>
      <w:pPr>
        <w:spacing w:after="120"/>
      </w:pPr>
      <w:r>
        <w:rPr>
          <w:b/>
          <w:bCs/>
        </w:rPr>
        <w:t xml:space="preserve">b) The Theology of Secularisation.</w:t>
      </w:r>
      <w:r>
        <w:t xml:space="preserve"> Secularisation means areas of life gradually ceasing to be governed directly by religion. </w:t>
      </w:r>
      <w:r>
        <w:rPr>
          <w:b/>
          <w:bCs/>
        </w:rPr>
        <w:t xml:space="preserve">Dietrich Bonhoeffer</w:t>
      </w:r>
      <w:r>
        <w:t xml:space="preserve"> asked the sharp question: how can we speak of God in “worldly” terms, without turning God into a Deus ex machina, a “God of the gaps” called on only when human effort fails? This approach argues that to genuinely make the world Christian is, paradoxically, to let it be properly secular.</w:t>
      </w:r>
      <w:r>
        <w:rPr>
          <w:rStyle w:val="FootnoteReference"/>
        </w:rPr>
        <w:footnoteReference w:id="41"/>
      </w:r>
    </w:p>
    <w:p>
      <w:pPr>
        <w:spacing w:after="120"/>
      </w:pPr>
      <w:r>
        <w:rPr>
          <w:b/>
          <w:bCs/>
        </w:rPr>
        <w:t xml:space="preserve">c) Death of God Theology.</w:t>
      </w:r>
      <w:r>
        <w:t xml:space="preserve"> This approach faces the fact that, for many people living in a fully secular, urban, industrial society, “God” has stopped being a meaningful question at all. Its task is to find a way of speaking about God’s self-communication, Revelation, that is genuinely understandable within a thoroughly secular way of thinking.</w:t>
      </w:r>
      <w:r>
        <w:rPr>
          <w:rStyle w:val="FootnoteReference"/>
        </w:rPr>
        <w:footnoteReference w:id="42"/>
      </w:r>
    </w:p>
    <w:p>
      <w:pPr>
        <w:spacing w:after="120"/>
      </w:pPr>
      <w:r>
        <w:rPr>
          <w:b/>
          <w:bCs/>
        </w:rPr>
        <w:t xml:space="preserve">d) Black Theology.</w:t>
      </w:r>
      <w:r>
        <w:t xml:space="preserve"> This theology works to understand, interpret and communicate God’s Word in a way that speaks directly to the historical, cultural and social experience of the Black community, especially in the United States.</w:t>
      </w:r>
      <w:r>
        <w:rPr>
          <w:rStyle w:val="FootnoteReference"/>
        </w:rPr>
        <w:footnoteReference w:id="43"/>
      </w:r>
    </w:p>
    <w:p>
      <w:pPr>
        <w:spacing w:after="120"/>
      </w:pPr>
      <w:r>
        <w:rPr>
          <w:b/>
          <w:bCs/>
        </w:rPr>
        <w:t xml:space="preserve">e) Feminist Theologies.</w:t>
      </w:r>
      <w:r>
        <w:t xml:space="preserve"> These theologies give voice to the struggle of women against gender-based discrimination and reframe Christian language about God around a God who works for and with all persons. Three elements mark Feminist Theology: women’s own lived history as the ones doing the theologising; a serious examination of gender itself as a source of discrimination; and the effort to draw out Christianity’s own liberating potential and put it into practice.</w:t>
      </w:r>
      <w:r>
        <w:rPr>
          <w:rStyle w:val="FootnoteReference"/>
        </w:rPr>
        <w:footnoteReference w:id="44"/>
      </w:r>
    </w:p>
    <w:p>
      <w:pPr>
        <w:spacing w:after="120"/>
      </w:pPr>
      <w:r>
        <w:rPr>
          <w:b/>
          <w:bCs/>
        </w:rPr>
        <w:t xml:space="preserve">f) Ecofeminism.</w:t>
      </w:r>
      <w:r>
        <w:t xml:space="preserve"> Ecofeminism links two oppressions together, the oppression of women and the oppression of the rest of nature, which it calls “naturism,” arguing the two are deeply connected, and asking how Christian faith can help end both.</w:t>
      </w:r>
      <w:r>
        <w:rPr>
          <w:rStyle w:val="FootnoteReference"/>
        </w:rPr>
        <w:footnoteReference w:id="45"/>
      </w:r>
    </w:p>
    <w:p>
      <w:pPr>
        <w:pBdr>
          <w:left w:val="single" w:color="2E7D32" w:sz="24"/>
        </w:pBdr>
        <w:shd w:fill="E8F5E9" w:val="clear"/>
        <w:spacing w:after="160" w:before="160"/>
        <w:ind w:left="240"/>
      </w:pPr>
      <w:r>
        <w:rPr>
          <w:b/>
          <w:bCs/>
          <w:color w:val="2E7D32"/>
        </w:rPr>
        <w:t xml:space="preserve">INDIAN CONTEXT: </w:t>
      </w:r>
      <w:r>
        <w:rPr>
          <w:b/>
          <w:bCs/>
        </w:rPr>
        <w:t xml:space="preserve">g) Dalit Theology.</w:t>
      </w:r>
      <w:r>
        <w:t xml:space="preserve"> This theology grows from the experience of the </w:t>
      </w:r>
      <w:r>
        <w:rPr>
          <w:b/>
          <w:bCs/>
        </w:rPr>
        <w:t xml:space="preserve">Dalits</w:t>
      </w:r>
      <w:r>
        <w:t xml:space="preserve">, India’s socially and structurally oppressed communities, from whom a large number of Indian Christians themselves come. In traditional Hindu society, the “outcaste” was treated as ritually polluted and polluting. Dalit Theology works for liberation from this false idea of “pollution” and challenges the social system that created and still supports it. Its focus is less on economic poverty by itself and more on the basic human dignity and equality owed to every human being.</w:t>
      </w:r>
      <w:r>
        <w:rPr>
          <w:rStyle w:val="FootnoteReference"/>
        </w:rPr>
        <w:footnoteReference w:id="46"/>
      </w:r>
    </w:p>
    <w:p>
      <w:pPr>
        <w:pBdr>
          <w:left w:val="single" w:color="1565C0" w:sz="24"/>
        </w:pBdr>
        <w:shd w:fill="E3F2FD" w:val="clear"/>
        <w:spacing w:after="160" w:before="160"/>
        <w:ind w:left="240"/>
      </w:pPr>
      <w:r>
        <w:rPr>
          <w:b/>
          <w:bCs/>
          <w:color w:val="1565C0"/>
        </w:rPr>
        <w:t xml:space="preserve">EXAMPLE: </w:t>
      </w:r>
      <w:r>
        <w:rPr>
          <w:b/>
          <w:bCs/>
        </w:rPr>
        <w:t xml:space="preserve">h) Minjung Theology.</w:t>
      </w:r>
      <w:r>
        <w:t xml:space="preserve"> A theology from Korea. Korea’s long experience of colonial domination by its powerful neighbours produced what Koreans call </w:t>
      </w:r>
      <w:r>
        <w:rPr>
          <w:b/>
          <w:bCs/>
        </w:rPr>
        <w:t xml:space="preserve">han</w:t>
      </w:r>
      <w:r>
        <w:t xml:space="preserve">, a deep, pent-up, repressed anger. Minjung Theology gives voice to the minjung, “the powerless people,” those pushed to the margins, politically oppressed and economically deprived. In this theology, Jesus himself was a victim of oppression, and the Cross becomes the irony of God’s wisdom overturning worldly power, allowing people to laugh both at their own suffering and at those who exploit them, just as Jesus did.</w:t>
      </w:r>
      <w:r>
        <w:rPr>
          <w:rStyle w:val="FootnoteReference"/>
        </w:rPr>
        <w:footnoteReference w:id="47"/>
      </w:r>
    </w:p>
    <w:p>
      <w:pPr>
        <w:pStyle w:val="Heading3"/>
        <w:spacing w:after="100" w:before="180"/>
      </w:pPr>
      <w:r>
        <w:t xml:space="preserve">A necessary caution</w:t>
      </w:r>
    </w:p>
    <w:p>
      <w:pPr>
        <w:spacing w:after="120"/>
      </w:pPr>
      <w:r>
        <w:t xml:space="preserve">Contextual Theologies genuinely enrich the Church, but they also have real limits, and can sometimes become one-sided. Not every theology that calls itself Contextual automatically counts as authentically Catholic. Every Contextual Theology, like every theology, still needs to be tested and authenticated against the wider Catholic understanding of faith. For the criteria used to make that judgment, the book points ahead to Chapter 5, “The Criteria of Christian Theological Reflection.”</w:t>
      </w:r>
      <w:r>
        <w:rPr>
          <w:rStyle w:val="FootnoteReference"/>
        </w:rPr>
        <w:footnoteReference w:id="48"/>
      </w:r>
    </w:p>
    <w:p>
      <w:pPr>
        <w:pStyle w:val="Heading2"/>
        <w:spacing w:after="120" w:before="220"/>
      </w:pPr>
      <w:r>
        <w:t xml:space="preserve">Questions for Review</w:t>
      </w:r>
    </w:p>
    <w:p>
      <w:pPr>
        <w:pStyle w:val="ListParagraph"/>
        <w:spacing w:after="80"/>
        <w:ind w:left="720" w:hanging="360"/>
      </w:pPr>
      <w:r>
        <w:t xml:space="preserve">1. How can we understand and explain the fact that, although the Bible is one, there is a plurality of theologies to be found in it?</w:t>
      </w:r>
    </w:p>
    <w:p>
      <w:pPr>
        <w:pStyle w:val="ListParagraph"/>
        <w:spacing w:after="80"/>
        <w:ind w:left="720" w:hanging="360"/>
      </w:pPr>
      <w:r>
        <w:t xml:space="preserve">2. Highlight the basic issues which faced Christian communities in the post-apostolic period. What were the main trends of the theologies of the Patristic period?</w:t>
      </w:r>
    </w:p>
    <w:p>
      <w:pPr>
        <w:pStyle w:val="ListParagraph"/>
        <w:spacing w:after="80"/>
        <w:ind w:left="720" w:hanging="360"/>
      </w:pPr>
      <w:r>
        <w:t xml:space="preserve">3. What were the significant contributions made to the understanding of theology in the course of the Scholastic reflection and debate on the respective roles of faith and reason?</w:t>
      </w:r>
    </w:p>
    <w:p>
      <w:pPr>
        <w:pStyle w:val="ListParagraph"/>
        <w:spacing w:after="80"/>
        <w:ind w:left="720" w:hanging="360"/>
      </w:pPr>
      <w:r>
        <w:t xml:space="preserve">4. List some of the factors that led to the disintegration of the Scholastic synthesis.</w:t>
      </w:r>
    </w:p>
    <w:p>
      <w:pPr>
        <w:pStyle w:val="ListParagraph"/>
        <w:spacing w:after="80"/>
        <w:ind w:left="720" w:hanging="360"/>
      </w:pPr>
      <w:r>
        <w:t xml:space="preserve">5. In what sense can Vatican II be considered a turning point as far as Catholic theology is concerned?</w:t>
      </w:r>
    </w:p>
    <w:p>
      <w:pPr>
        <w:pStyle w:val="ListParagraph"/>
        <w:spacing w:after="80"/>
        <w:ind w:left="720" w:hanging="360"/>
      </w:pPr>
      <w:r>
        <w:t xml:space="preserve">6. In what does the novelty of Contextual Theologies primarily consist?</w:t>
      </w:r>
      <w:r>
        <w:rPr>
          <w:rStyle w:val="FootnoteReference"/>
        </w:rPr>
        <w:footnoteReference w:id="49"/>
      </w:r>
    </w:p>
    <w:p>
      <w:pPr>
        <w:pStyle w:val="Heading2"/>
        <w:spacing w:after="120" w:before="220"/>
      </w:pPr>
      <w:r>
        <w:t xml:space="preserve">Select Bibliography</w:t>
      </w:r>
    </w:p>
    <w:p>
      <w:pPr>
        <w:spacing w:after="120"/>
      </w:pPr>
      <w:r>
        <w:t xml:space="preserve">As listed at the close of Chapter 3, arranged alphabetically.</w:t>
      </w:r>
    </w:p>
    <w:p>
      <w:pPr>
        <w:pStyle w:val="Heading3"/>
        <w:spacing w:after="100" w:before="180"/>
      </w:pPr>
      <w:r>
        <w:t xml:space="preserve">Theologies in the Bible</w:t>
      </w:r>
    </w:p>
    <w:p>
      <w:pPr>
        <w:spacing w:after="120"/>
        <w:ind w:left="720" w:hanging="720"/>
      </w:pPr>
      <w:r>
        <w:rPr/>
        <w:t xml:space="preserve">Brown, Raymond E., S.S. </w:t>
      </w:r>
      <w:r>
        <w:rPr>
          <w:i/>
          <w:iCs/>
        </w:rPr>
        <w:t xml:space="preserve">An Introduction to the New Testament</w:t>
      </w:r>
      <w:r>
        <w:rPr/>
        <w:t xml:space="preserve">. New York: Doubleday, 1996. Part I, pp. 1-96.</w:t>
      </w:r>
    </w:p>
    <w:p>
      <w:pPr>
        <w:spacing w:after="120"/>
        <w:ind w:left="720" w:hanging="720"/>
      </w:pPr>
      <w:r>
        <w:rPr/>
        <w:t xml:space="preserve">Brown, Raymond E., S.S. </w:t>
      </w:r>
      <w:r>
        <w:rPr>
          <w:i/>
          <w:iCs/>
        </w:rPr>
        <w:t xml:space="preserve">The Birth of the Messiah</w:t>
      </w:r>
      <w:r>
        <w:rPr/>
        <w:t xml:space="preserve">. London: Geoffrey Chapman, 1978. Introduction, pp. 25-41.</w:t>
      </w:r>
    </w:p>
    <w:p>
      <w:pPr>
        <w:spacing w:after="120"/>
        <w:ind w:left="720" w:hanging="720"/>
      </w:pPr>
      <w:r>
        <w:rPr/>
        <w:t xml:space="preserve">Di Berardino, Angelo, and Basil Studer, eds. </w:t>
      </w:r>
      <w:r>
        <w:rPr>
          <w:i/>
          <w:iCs/>
        </w:rPr>
        <w:t xml:space="preserve">History of Theology I: The Patristic Period</w:t>
      </w:r>
      <w:r>
        <w:rPr/>
        <w:t xml:space="preserve">. Translated by Matthew O’Connell. Collegeville, MN: The Liturgical Press, 1996. Part I, pp. 17-81.</w:t>
      </w:r>
    </w:p>
    <w:p>
      <w:pPr>
        <w:spacing w:after="120"/>
        <w:ind w:left="720" w:hanging="720"/>
      </w:pPr>
      <w:r>
        <w:rPr/>
        <w:t xml:space="preserve">Mattam, Zacharias, S.D.B. </w:t>
      </w:r>
      <w:r>
        <w:rPr>
          <w:i/>
          <w:iCs/>
        </w:rPr>
        <w:t xml:space="preserve">Opening the Bible: Meeting Christ in the Scriptures</w:t>
      </w:r>
      <w:r>
        <w:rPr/>
        <w:t xml:space="preserve">. Bangalore: KJC Publications, 1988.</w:t>
      </w:r>
    </w:p>
    <w:p>
      <w:pPr>
        <w:pStyle w:val="Heading3"/>
        <w:spacing w:after="100" w:before="180"/>
      </w:pPr>
      <w:r>
        <w:t xml:space="preserve">The Patristic Period</w:t>
      </w:r>
    </w:p>
    <w:p>
      <w:pPr>
        <w:spacing w:after="120"/>
        <w:ind w:left="720" w:hanging="720"/>
      </w:pPr>
      <w:r>
        <w:rPr/>
        <w:t xml:space="preserve">Di Berardino, Angelo, and Basil Studer, eds. </w:t>
      </w:r>
      <w:r>
        <w:rPr>
          <w:i/>
          <w:iCs/>
        </w:rPr>
        <w:t xml:space="preserve">History of Theology I: The Patristic Period</w:t>
      </w:r>
      <w:r>
        <w:rPr/>
        <w:t xml:space="preserve">. Translated by Matthew O’Connell. Collegeville, MN: The Liturgical Press, 1996. pp. 82-632.</w:t>
      </w:r>
    </w:p>
    <w:p>
      <w:pPr>
        <w:spacing w:after="120"/>
        <w:ind w:left="720" w:hanging="720"/>
      </w:pPr>
      <w:r>
        <w:rPr/>
        <w:t xml:space="preserve">Gilson, Étienne. </w:t>
      </w:r>
      <w:r>
        <w:rPr>
          <w:i/>
          <w:iCs/>
        </w:rPr>
        <w:t xml:space="preserve">History of Christian Philosophy in the Middle Ages</w:t>
      </w:r>
      <w:r>
        <w:rPr/>
        <w:t xml:space="preserve">. London: Sheed and Ward, 1955. pp. 9-109.</w:t>
      </w:r>
    </w:p>
    <w:p>
      <w:pPr>
        <w:spacing w:after="120"/>
        <w:ind w:left="720" w:hanging="720"/>
      </w:pPr>
      <w:r>
        <w:rPr/>
        <w:t xml:space="preserve">McGrath, Alister E. </w:t>
      </w:r>
      <w:r>
        <w:rPr>
          <w:i/>
          <w:iCs/>
        </w:rPr>
        <w:t xml:space="preserve">Christian Theology: An Introduction</w:t>
      </w:r>
      <w:r>
        <w:rPr/>
        <w:t xml:space="preserve">. Surrey: Blackwell Publishers, 2001. pp. 5-29.</w:t>
      </w:r>
    </w:p>
    <w:p>
      <w:pPr>
        <w:spacing w:after="120"/>
        <w:ind w:left="720" w:hanging="720"/>
      </w:pPr>
      <w:r>
        <w:rPr>
          <w:i/>
          <w:iCs/>
        </w:rPr>
        <w:t xml:space="preserve">New Catholic Encyclopedia</w:t>
      </w:r>
      <w:r>
        <w:rPr/>
        <w:t xml:space="preserve">. Entries on each Father of the Church.</w:t>
      </w:r>
    </w:p>
    <w:p>
      <w:pPr>
        <w:spacing w:after="120"/>
        <w:ind w:left="720" w:hanging="720"/>
      </w:pPr>
      <w:r>
        <w:rPr/>
        <w:t xml:space="preserve">Tixeront, J. </w:t>
      </w:r>
      <w:r>
        <w:rPr>
          <w:i/>
          <w:iCs/>
        </w:rPr>
        <w:t xml:space="preserve">A Handbook of Patrology</w:t>
      </w:r>
      <w:r>
        <w:rPr/>
        <w:t xml:space="preserve">. Translated by S. A. Raemers. London: B. Herder Book Co., 1951.</w:t>
      </w:r>
    </w:p>
    <w:p>
      <w:pPr>
        <w:pStyle w:val="Heading3"/>
        <w:spacing w:after="100" w:before="180"/>
      </w:pPr>
      <w:r>
        <w:t xml:space="preserve">The Scholastic Period</w:t>
      </w:r>
    </w:p>
    <w:p>
      <w:pPr>
        <w:spacing w:after="120"/>
        <w:ind w:left="720" w:hanging="720"/>
      </w:pPr>
      <w:r>
        <w:rPr/>
        <w:t xml:space="preserve">Congar, Yves M., O.P. </w:t>
      </w:r>
      <w:r>
        <w:rPr>
          <w:i/>
          <w:iCs/>
        </w:rPr>
        <w:t xml:space="preserve">A History of Theology</w:t>
      </w:r>
      <w:r>
        <w:rPr/>
        <w:t xml:space="preserve">. Translated by Hunter Guthrie. New York: Doubleday and Co., 1968.</w:t>
      </w:r>
    </w:p>
    <w:p>
      <w:pPr>
        <w:spacing w:after="120"/>
        <w:ind w:left="720" w:hanging="720"/>
      </w:pPr>
      <w:r>
        <w:rPr/>
        <w:t xml:space="preserve">D’Onofrio, Giulio, ed. </w:t>
      </w:r>
      <w:r>
        <w:rPr>
          <w:i/>
          <w:iCs/>
        </w:rPr>
        <w:t xml:space="preserve">History of Theology III: The Renaissance</w:t>
      </w:r>
      <w:r>
        <w:rPr/>
        <w:t xml:space="preserve">. Translated by Matthew J. O’Connell. Collegeville, MN: The Liturgical Press, 1995.</w:t>
      </w:r>
    </w:p>
    <w:p>
      <w:pPr>
        <w:spacing w:after="120"/>
        <w:ind w:left="720" w:hanging="720"/>
      </w:pPr>
      <w:r>
        <w:rPr/>
        <w:t xml:space="preserve">Gilson, Étienne. </w:t>
      </w:r>
      <w:r>
        <w:rPr>
          <w:i/>
          <w:iCs/>
        </w:rPr>
        <w:t xml:space="preserve">The Spirit of Mediaeval Philosophy</w:t>
      </w:r>
      <w:r>
        <w:rPr/>
        <w:t xml:space="preserve"> (Gifford Lectures 1931-1932). Translated by A. H. C. Downes. London: Sheed and Ward, 1936.</w:t>
      </w:r>
    </w:p>
    <w:p>
      <w:pPr>
        <w:spacing w:after="120"/>
        <w:ind w:left="720" w:hanging="720"/>
      </w:pPr>
      <w:r>
        <w:rPr/>
        <w:t xml:space="preserve">McGrath, Alister E. </w:t>
      </w:r>
      <w:r>
        <w:rPr>
          <w:i/>
          <w:iCs/>
        </w:rPr>
        <w:t xml:space="preserve">Christian Theology: An Introduction</w:t>
      </w:r>
      <w:r>
        <w:rPr/>
        <w:t xml:space="preserve">. Surrey: Blackwell Publishers, 2001. pp. 30-58.</w:t>
      </w:r>
    </w:p>
    <w:p>
      <w:pPr>
        <w:spacing w:after="120"/>
        <w:ind w:left="720" w:hanging="720"/>
      </w:pPr>
      <w:r>
        <w:rPr>
          <w:i/>
          <w:iCs/>
        </w:rPr>
        <w:t xml:space="preserve">New Catholic Encyclopedia</w:t>
      </w:r>
      <w:r>
        <w:rPr/>
        <w:t xml:space="preserve">. Entries on each theologian mentioned.</w:t>
      </w:r>
    </w:p>
    <w:p>
      <w:pPr>
        <w:pStyle w:val="Heading3"/>
        <w:spacing w:after="100" w:before="180"/>
      </w:pPr>
      <w:r>
        <w:t xml:space="preserve">Contextual Theologies</w:t>
      </w:r>
    </w:p>
    <w:p>
      <w:pPr>
        <w:spacing w:after="120"/>
        <w:ind w:left="720" w:hanging="720"/>
      </w:pPr>
      <w:r>
        <w:rPr/>
        <w:t xml:space="preserve">Ford, David, ed. </w:t>
      </w:r>
      <w:r>
        <w:rPr>
          <w:i/>
          <w:iCs/>
        </w:rPr>
        <w:t xml:space="preserve">The Modern Theologians: An Introduction to Christian Theology in the Twentieth Century</w:t>
      </w:r>
      <w:r>
        <w:rPr/>
        <w:t xml:space="preserve">. Malden: Blackwell Publishers, 1997.</w:t>
      </w:r>
    </w:p>
    <w:p>
      <w:pPr>
        <w:spacing w:after="120"/>
        <w:ind w:left="720" w:hanging="720"/>
      </w:pPr>
      <w:r>
        <w:rPr/>
        <w:t xml:space="preserve">Macquarrie, John. </w:t>
      </w:r>
      <w:r>
        <w:rPr>
          <w:i/>
          <w:iCs/>
        </w:rPr>
        <w:t xml:space="preserve">Twentieth Century Religious Thought</w:t>
      </w:r>
      <w:r>
        <w:rPr/>
        <w:t xml:space="preserve">. Norwich: SCM Press, 1963.</w:t>
      </w:r>
    </w:p>
    <w:p>
      <w:pPr>
        <w:spacing w:after="120"/>
        <w:ind w:left="720" w:hanging="720"/>
      </w:pPr>
      <w:r>
        <w:rPr/>
        <w:t xml:space="preserve">Pathil, Kuncheria, and Dominic Veliath. </w:t>
      </w:r>
      <w:r>
        <w:rPr>
          <w:i/>
          <w:iCs/>
        </w:rPr>
        <w:t xml:space="preserve">An Introduction to Theology</w:t>
      </w:r>
      <w:r>
        <w:rPr/>
        <w:t xml:space="preserve">. Indian Theological Series. Publisher and year not verified in the source scan; confirm against the printed edition.</w:t>
      </w:r>
    </w:p>
    <w:p>
      <w:pPr>
        <w:spacing w:after="120"/>
        <w:ind w:left="720" w:hanging="720"/>
      </w:pPr>
      <w:r>
        <w:rPr/>
        <w:t xml:space="preserve">Schreiter, Robert J., C.PP.S. </w:t>
      </w:r>
      <w:r>
        <w:rPr>
          <w:i/>
          <w:iCs/>
        </w:rPr>
        <w:t xml:space="preserve">Constructing Local Theologies</w:t>
      </w:r>
      <w:r>
        <w:rPr/>
        <w:t xml:space="preserve">. London: SCM Press, 1985.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Kuncheria Pathil and Dominic Veliath, </w:t>
      </w:r>
      <w:r>
        <w:rPr>
          <w:i/>
          <w:iCs/>
          <w:sz w:val="20"/>
          <w:szCs w:val="20"/>
        </w:rPr>
        <w:t xml:space="preserve">An Introduction to Theology</w:t>
      </w:r>
      <w:r>
        <w:rPr>
          <w:sz w:val="20"/>
          <w:szCs w:val="20"/>
        </w:rPr>
        <w:t xml:space="preserve">, Indian Theological Series, chap. 3.</w:t>
      </w:r>
    </w:p>
  </w:footnote>
  <w:footnote w:id="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A.</w:t>
      </w:r>
    </w:p>
  </w:footnote>
  <w:footnote w:id="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A.</w:t>
      </w:r>
    </w:p>
  </w:footnote>
  <w:footnote w:id="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A.</w:t>
      </w:r>
    </w:p>
  </w:footnote>
  <w:footnote w:id="5">
    <w:p>
      <w:r>
        <w:rPr>
          <w:rStyle w:val="FootnoteReference"/>
        </w:rPr>
        <w:footnoteRef/>
      </w:r>
      <w:r>
        <w:rPr>
          <w:sz w:val="20"/>
          <w:szCs w:val="20"/>
        </w:rPr>
        <w:t xml:space="preserve">Vatican Council II, </w:t>
      </w:r>
      <w:r>
        <w:rPr>
          <w:i/>
          <w:iCs/>
          <w:sz w:val="20"/>
          <w:szCs w:val="20"/>
        </w:rPr>
        <w:t xml:space="preserve">Dei Verbum</w:t>
      </w:r>
      <w:r>
        <w:rPr>
          <w:sz w:val="20"/>
          <w:szCs w:val="20"/>
        </w:rPr>
        <w:t xml:space="preserve">, no. 11, cited in Pathil and Veliath, </w:t>
      </w:r>
      <w:r>
        <w:rPr>
          <w:i/>
          <w:iCs/>
          <w:sz w:val="20"/>
          <w:szCs w:val="20"/>
        </w:rPr>
        <w:t xml:space="preserve">An Introduction to Theology</w:t>
      </w:r>
      <w:r>
        <w:rPr>
          <w:sz w:val="20"/>
          <w:szCs w:val="20"/>
        </w:rPr>
        <w:t xml:space="preserve">, chap. 3, sec. B.</w:t>
      </w:r>
    </w:p>
  </w:footnote>
  <w:footnote w:id="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B.</w:t>
      </w:r>
    </w:p>
  </w:footnote>
  <w:footnote w:id="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B.</w:t>
      </w:r>
    </w:p>
  </w:footnote>
  <w:footnote w:id="8">
    <w:p>
      <w:r>
        <w:rPr>
          <w:rStyle w:val="FootnoteReference"/>
        </w:rPr>
        <w:footnoteRef/>
      </w:r>
      <w:r>
        <w:rPr>
          <w:sz w:val="20"/>
          <w:szCs w:val="20"/>
        </w:rPr>
        <w:t xml:space="preserve">Zacharias Mattam, </w:t>
      </w:r>
      <w:r>
        <w:rPr>
          <w:i/>
          <w:iCs/>
          <w:sz w:val="20"/>
          <w:szCs w:val="20"/>
        </w:rPr>
        <w:t xml:space="preserve">Opening the Bible: Meeting Christ in the Scriptures</w:t>
      </w:r>
      <w:r>
        <w:rPr>
          <w:sz w:val="20"/>
          <w:szCs w:val="20"/>
        </w:rPr>
        <w:t xml:space="preserve"> (Bangalore: KJC Publications, 1988), cited in Pathil and Veliath, </w:t>
      </w:r>
      <w:r>
        <w:rPr>
          <w:i/>
          <w:iCs/>
          <w:sz w:val="20"/>
          <w:szCs w:val="20"/>
        </w:rPr>
        <w:t xml:space="preserve">An Introduction to Theology</w:t>
      </w:r>
      <w:r>
        <w:rPr>
          <w:sz w:val="20"/>
          <w:szCs w:val="20"/>
        </w:rPr>
        <w:t xml:space="preserve">, chap. 3, Select Books.</w:t>
      </w:r>
    </w:p>
  </w:footnote>
  <w:footnote w:id="9">
    <w:p>
      <w:r>
        <w:rPr>
          <w:rStyle w:val="FootnoteReference"/>
        </w:rPr>
        <w:footnoteRef/>
      </w:r>
      <w:r>
        <w:rPr>
          <w:sz w:val="20"/>
          <w:szCs w:val="20"/>
        </w:rPr>
        <w:t xml:space="preserve">Tixeront and Raemers, </w:t>
      </w:r>
      <w:r>
        <w:rPr>
          <w:i/>
          <w:iCs/>
          <w:sz w:val="20"/>
          <w:szCs w:val="20"/>
        </w:rPr>
        <w:t xml:space="preserve">A Handbook of Patrology</w:t>
      </w:r>
      <w:r>
        <w:rPr>
          <w:sz w:val="20"/>
          <w:szCs w:val="20"/>
        </w:rPr>
        <w:t xml:space="preserve"> (New York, 1943), 2, cited in Pathil and Veliath, </w:t>
      </w:r>
      <w:r>
        <w:rPr>
          <w:i/>
          <w:iCs/>
          <w:sz w:val="20"/>
          <w:szCs w:val="20"/>
        </w:rPr>
        <w:t xml:space="preserve">An Introduction to Theology</w:t>
      </w:r>
      <w:r>
        <w:rPr>
          <w:sz w:val="20"/>
          <w:szCs w:val="20"/>
        </w:rPr>
        <w:t xml:space="preserve">, chap. 3, sec. C.1.</w:t>
      </w:r>
    </w:p>
  </w:footnote>
  <w:footnote w:id="1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C.2.</w:t>
      </w:r>
    </w:p>
  </w:footnote>
  <w:footnote w:id="1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C.3.</w:t>
      </w:r>
    </w:p>
  </w:footnote>
  <w:footnote w:id="1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C.4.a.</w:t>
      </w:r>
    </w:p>
  </w:footnote>
  <w:footnote w:id="13">
    <w:p>
      <w:r>
        <w:rPr>
          <w:rStyle w:val="FootnoteReference"/>
        </w:rPr>
        <w:footnoteRef/>
      </w:r>
      <w:r>
        <w:rPr>
          <w:sz w:val="20"/>
          <w:szCs w:val="20"/>
        </w:rPr>
        <w:t xml:space="preserve">Irenaeus, </w:t>
      </w:r>
      <w:r>
        <w:rPr>
          <w:i/>
          <w:iCs/>
          <w:sz w:val="20"/>
          <w:szCs w:val="20"/>
        </w:rPr>
        <w:t xml:space="preserve">Contra Haereses</w:t>
      </w:r>
      <w:r>
        <w:rPr>
          <w:sz w:val="20"/>
          <w:szCs w:val="20"/>
        </w:rPr>
        <w:t xml:space="preserve">, II, 25, cited in Pathil and Veliath, </w:t>
      </w:r>
      <w:r>
        <w:rPr>
          <w:i/>
          <w:iCs/>
          <w:sz w:val="20"/>
          <w:szCs w:val="20"/>
        </w:rPr>
        <w:t xml:space="preserve">An Introduction to Theology</w:t>
      </w:r>
      <w:r>
        <w:rPr>
          <w:sz w:val="20"/>
          <w:szCs w:val="20"/>
        </w:rPr>
        <w:t xml:space="preserve">, chap. 3, sec. C.4.b.</w:t>
      </w:r>
    </w:p>
  </w:footnote>
  <w:footnote w:id="1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C.4.c.</w:t>
      </w:r>
    </w:p>
  </w:footnote>
  <w:footnote w:id="1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C.4.d.</w:t>
      </w:r>
    </w:p>
  </w:footnote>
  <w:footnote w:id="1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C.4.e.</w:t>
      </w:r>
    </w:p>
  </w:footnote>
  <w:footnote w:id="1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C.4.f.</w:t>
      </w:r>
    </w:p>
  </w:footnote>
  <w:footnote w:id="18">
    <w:p>
      <w:r>
        <w:rPr>
          <w:rStyle w:val="FootnoteReference"/>
        </w:rPr>
        <w:footnoteRef/>
      </w:r>
      <w:r>
        <w:rPr>
          <w:sz w:val="20"/>
          <w:szCs w:val="20"/>
        </w:rPr>
        <w:t xml:space="preserve">Augustine, cited in Pathil and Veliath, </w:t>
      </w:r>
      <w:r>
        <w:rPr>
          <w:i/>
          <w:iCs/>
          <w:sz w:val="20"/>
          <w:szCs w:val="20"/>
        </w:rPr>
        <w:t xml:space="preserve">An Introduction to Theology</w:t>
      </w:r>
      <w:r>
        <w:rPr>
          <w:sz w:val="20"/>
          <w:szCs w:val="20"/>
        </w:rPr>
        <w:t xml:space="preserve">, chap. 3, sec. C.4.g.</w:t>
      </w:r>
    </w:p>
  </w:footnote>
  <w:footnote w:id="1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C.4.h.</w:t>
      </w:r>
    </w:p>
  </w:footnote>
  <w:footnote w:id="2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C.4.i.</w:t>
      </w:r>
    </w:p>
  </w:footnote>
  <w:footnote w:id="2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C.4.j.</w:t>
      </w:r>
    </w:p>
  </w:footnote>
  <w:footnote w:id="2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C.4.k.</w:t>
      </w:r>
    </w:p>
  </w:footnote>
  <w:footnote w:id="2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C.4.l.</w:t>
      </w:r>
    </w:p>
  </w:footnote>
  <w:footnote w:id="2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D.1.</w:t>
      </w:r>
    </w:p>
  </w:footnote>
  <w:footnote w:id="2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D.2.</w:t>
      </w:r>
    </w:p>
  </w:footnote>
  <w:footnote w:id="2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D.2.</w:t>
      </w:r>
    </w:p>
  </w:footnote>
  <w:footnote w:id="2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D.2.</w:t>
      </w:r>
    </w:p>
  </w:footnote>
  <w:footnote w:id="2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D.3.</w:t>
      </w:r>
    </w:p>
  </w:footnote>
  <w:footnote w:id="2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D.4.</w:t>
      </w:r>
    </w:p>
  </w:footnote>
  <w:footnote w:id="3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D.5.</w:t>
      </w:r>
    </w:p>
  </w:footnote>
  <w:footnote w:id="31">
    <w:p>
      <w:r>
        <w:rPr>
          <w:rStyle w:val="FootnoteReference"/>
        </w:rPr>
        <w:footnoteRef/>
      </w:r>
      <w:r>
        <w:rPr>
          <w:sz w:val="20"/>
          <w:szCs w:val="20"/>
        </w:rPr>
        <w:t xml:space="preserve">Bonaventure, </w:t>
      </w:r>
      <w:r>
        <w:rPr>
          <w:i/>
          <w:iCs/>
          <w:sz w:val="20"/>
          <w:szCs w:val="20"/>
        </w:rPr>
        <w:t xml:space="preserve">Opera Omnia</w:t>
      </w:r>
      <w:r>
        <w:rPr>
          <w:sz w:val="20"/>
          <w:szCs w:val="20"/>
        </w:rPr>
        <w:t xml:space="preserve">, 8:33b, cited in Pathil and Veliath, </w:t>
      </w:r>
      <w:r>
        <w:rPr>
          <w:i/>
          <w:iCs/>
          <w:sz w:val="20"/>
          <w:szCs w:val="20"/>
        </w:rPr>
        <w:t xml:space="preserve">An Introduction to Theology</w:t>
      </w:r>
      <w:r>
        <w:rPr>
          <w:sz w:val="20"/>
          <w:szCs w:val="20"/>
        </w:rPr>
        <w:t xml:space="preserve">, chap. 3, sec. D.6.</w:t>
      </w:r>
    </w:p>
  </w:footnote>
  <w:footnote w:id="32">
    <w:p>
      <w:r>
        <w:rPr>
          <w:rStyle w:val="FootnoteReference"/>
        </w:rPr>
        <w:footnoteRef/>
      </w:r>
      <w:r>
        <w:rPr>
          <w:sz w:val="20"/>
          <w:szCs w:val="20"/>
        </w:rPr>
        <w:t xml:space="preserve">M. Grabmann, cited in Pathil and Veliath, </w:t>
      </w:r>
      <w:r>
        <w:rPr>
          <w:i/>
          <w:iCs/>
          <w:sz w:val="20"/>
          <w:szCs w:val="20"/>
        </w:rPr>
        <w:t xml:space="preserve">An Introduction to Theology</w:t>
      </w:r>
      <w:r>
        <w:rPr>
          <w:sz w:val="20"/>
          <w:szCs w:val="20"/>
        </w:rPr>
        <w:t xml:space="preserve">, chap. 3, sec. D.7.</w:t>
      </w:r>
    </w:p>
  </w:footnote>
  <w:footnote w:id="3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D.8.</w:t>
      </w:r>
    </w:p>
  </w:footnote>
  <w:footnote w:id="3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E.1.</w:t>
      </w:r>
    </w:p>
  </w:footnote>
  <w:footnote w:id="3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E.2.</w:t>
      </w:r>
    </w:p>
  </w:footnote>
  <w:footnote w:id="3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E.3.</w:t>
      </w:r>
    </w:p>
  </w:footnote>
  <w:footnote w:id="3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E.4.</w:t>
      </w:r>
    </w:p>
  </w:footnote>
  <w:footnote w:id="3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F.1.</w:t>
      </w:r>
    </w:p>
  </w:footnote>
  <w:footnote w:id="3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F.2.</w:t>
      </w:r>
    </w:p>
  </w:footnote>
  <w:footnote w:id="4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F.3.a.</w:t>
      </w:r>
    </w:p>
  </w:footnote>
  <w:footnote w:id="4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F.3.b.</w:t>
      </w:r>
    </w:p>
  </w:footnote>
  <w:footnote w:id="4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F.3.c.</w:t>
      </w:r>
    </w:p>
  </w:footnote>
  <w:footnote w:id="4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F.3.d.</w:t>
      </w:r>
    </w:p>
  </w:footnote>
  <w:footnote w:id="4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F.3.e.</w:t>
      </w:r>
    </w:p>
  </w:footnote>
  <w:footnote w:id="4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F.3.f.</w:t>
      </w:r>
    </w:p>
  </w:footnote>
  <w:footnote w:id="4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F.3.g.</w:t>
      </w:r>
    </w:p>
  </w:footnote>
  <w:footnote w:id="4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F.3.h.</w:t>
      </w:r>
    </w:p>
  </w:footnote>
  <w:footnote w:id="4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sec. F.3, closing paragraph.</w:t>
      </w:r>
    </w:p>
  </w:footnote>
  <w:footnote w:id="4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3, end of chapter.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2026-07-15T19:18:08.203Z</dcterms:created>
  <dcterms:modified xsi:type="dcterms:W3CDTF">2026-07-15T19:18:08.205Z</dcterms:modified>
</cp:coreProperties>
</file>

<file path=docProps/custom.xml><?xml version="1.0" encoding="utf-8"?>
<Properties xmlns="http://schemas.openxmlformats.org/officeDocument/2006/custom-properties" xmlns:vt="http://schemas.openxmlformats.org/officeDocument/2006/docPropsVTypes"/>
</file>