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80"/>
      </w:pPr>
      <w:r>
        <w:t xml:space="preserve">Chapter 4: Selected Models of Theology</w:t>
      </w:r>
    </w:p>
    <w:p>
      <w:pPr>
        <w:spacing w:after="120"/>
      </w:pPr>
      <w:r>
        <w:t xml:space="preserve">Class Notes on Kuncheria Pathil, CMI, and Dominic Veliath, SDB, </w:t>
      </w:r>
      <w:r>
        <w:rPr>
          <w:i/>
          <w:iCs/>
        </w:rPr>
        <w:t xml:space="preserve">An Introduction to Theology</w:t>
      </w:r>
      <w:r>
        <w:t xml:space="preserve">, Indian Theological Series. Written for students, in plain English, with the book’s own quotes and page references so you can check them yourself.</w:t>
      </w:r>
      <w:r>
        <w:rPr>
          <w:rStyle w:val="FootnoteReference"/>
        </w:rPr>
        <w:footnoteReference w:id="1"/>
      </w:r>
    </w:p>
    <w:p>
      <w:pPr>
        <w:spacing w:after="120"/>
      </w:pPr>
      <w:r>
        <w:t xml:space="preserve">Chapter 3 showed that theology has always taken different forms across history. This Chapter goes deeper: it studies seven concrete Models, actual worked out ways of doing theology, each shown through one representative theologian, so that you can see, close up, how these different approaches actually work in practice.</w:t>
      </w:r>
    </w:p>
    <w:p>
      <w:pPr>
        <w:pStyle w:val="Heading2"/>
        <w:spacing w:after="120" w:before="220"/>
      </w:pPr>
      <w:r>
        <w:t xml:space="preserve">A. Situating the Exposition</w:t>
      </w:r>
    </w:p>
    <w:p>
      <w:pPr>
        <w:spacing w:after="120"/>
      </w:pPr>
      <w:r>
        <w:t xml:space="preserve">Christian theology is universal, since it expresses a revelation meant for everyone. But it is also always contextual, since it is expressed using the concepts of a particular philosophy, addressed to particular issues, inside a particular culture. Every theology is always an embodiment of both faith and culture together.</w:t>
      </w:r>
      <w:r>
        <w:rPr>
          <w:rStyle w:val="FootnoteReference"/>
        </w:rPr>
        <w:footnoteReference w:id="2"/>
      </w:r>
    </w:p>
    <w:p>
      <w:pPr>
        <w:spacing w:after="120"/>
      </w:pPr>
      <w:r>
        <w:t xml:space="preserve">Four ways this balance of faith and culture can be struck:</w:t>
      </w:r>
    </w:p>
    <w:p>
      <w:pPr>
        <w:pStyle w:val="ListParagraph"/>
        <w:numPr>
          <w:ilvl w:val="0"/>
          <w:numId w:val="1"/>
        </w:numPr>
        <w:spacing w:after="80"/>
      </w:pPr>
      <w:r>
        <w:rPr>
          <w:b/>
          <w:bCs/>
        </w:rPr>
        <w:t xml:space="preserve">Translation Model</w:t>
      </w:r>
      <w:r>
        <w:t xml:space="preserve">: focuses mainly on handing on the inherited faith tradition, sometimes at the cost of paying enough attention to the local culture.</w:t>
      </w:r>
    </w:p>
    <w:p>
      <w:pPr>
        <w:pStyle w:val="ListParagraph"/>
        <w:numPr>
          <w:ilvl w:val="0"/>
          <w:numId w:val="1"/>
        </w:numPr>
        <w:spacing w:after="80"/>
      </w:pPr>
      <w:r>
        <w:rPr>
          <w:b/>
          <w:bCs/>
        </w:rPr>
        <w:t xml:space="preserve">Anthropological Model</w:t>
      </w:r>
      <w:r>
        <w:t xml:space="preserve">: focuses mainly on the local cultural context that shapes how faith gets expressed.</w:t>
      </w:r>
    </w:p>
    <w:p>
      <w:pPr>
        <w:pStyle w:val="ListParagraph"/>
        <w:numPr>
          <w:ilvl w:val="0"/>
          <w:numId w:val="1"/>
        </w:numPr>
        <w:spacing w:after="80"/>
      </w:pPr>
      <w:r>
        <w:rPr>
          <w:b/>
          <w:bCs/>
        </w:rPr>
        <w:t xml:space="preserve">Synthetic Model</w:t>
      </w:r>
      <w:r>
        <w:t xml:space="preserve">: tries to give faith tradition and cultural context roughly equal weight.</w:t>
      </w:r>
    </w:p>
    <w:p>
      <w:pPr>
        <w:pStyle w:val="ListParagraph"/>
        <w:numPr>
          <w:ilvl w:val="0"/>
          <w:numId w:val="1"/>
        </w:numPr>
        <w:spacing w:after="80"/>
      </w:pPr>
      <w:r>
        <w:rPr>
          <w:b/>
          <w:bCs/>
        </w:rPr>
        <w:t xml:space="preserve">Transcendental Model</w:t>
      </w:r>
      <w:r>
        <w:t xml:space="preserve">: focuses not on what is being studied, but on who is doing the studying, the theologising subject and how they think.</w:t>
      </w:r>
      <w:r>
        <w:rPr>
          <w:rStyle w:val="FootnoteReference"/>
        </w:rPr>
        <w:footnoteReference w:id="3"/>
      </w:r>
    </w:p>
    <w:p>
      <w:pPr>
        <w:pBdr>
          <w:left w:val="single" w:color="2E7D32" w:sz="24"/>
        </w:pBdr>
        <w:shd w:fill="E8F5E9" w:val="clear"/>
        <w:spacing w:after="160" w:before="160"/>
        <w:ind w:left="240"/>
      </w:pPr>
      <w:r>
        <w:rPr>
          <w:b/>
          <w:bCs/>
          <w:color w:val="2E7D32"/>
        </w:rPr>
        <w:t xml:space="preserve">INDIAN CONTEXT: </w:t>
      </w:r>
      <w:r>
        <w:t xml:space="preserve">The Catholic Church in India is a communion of </w:t>
      </w:r>
      <w:r>
        <w:rPr>
          <w:b/>
          <w:bCs/>
        </w:rPr>
        <w:t xml:space="preserve">three Individual Churches</w:t>
      </w:r>
      <w:r>
        <w:t xml:space="preserve">: Latin, Syro-Malabar, and Syro-Malankara. This is precisely why the book chooses these seven Models: two are rooted in Indian ecclesial reality, the East Syrian Model of Ephraem, root of the Syro-Malabar and Syro-Malankara traditions, and the Celebrative Liturgical Model of Schmemann, shared by all Oriental traditions. Two more arise directly from the Indian context itself: Critical Reflection on Christian Praxis and the Contemplative Approach of Abhishiktananda.</w:t>
      </w:r>
      <w:r>
        <w:rPr>
          <w:rStyle w:val="FootnoteReference"/>
        </w:rPr>
        <w:footnoteReference w:id="4"/>
      </w:r>
    </w:p>
    <w:p>
      <w:pPr>
        <w:spacing w:after="120"/>
      </w:pPr>
      <w:r>
        <w:t xml:space="preserve">These seven Models are presented in the order they appear in history.</w:t>
      </w:r>
    </w:p>
    <w:p>
      <w:pPr>
        <w:pStyle w:val="Heading2"/>
        <w:spacing w:after="120" w:before="220"/>
      </w:pPr>
      <w:r>
        <w:t xml:space="preserve">B. A Syriac-Semitic Theological Approach: St. Ephraem</w:t>
      </w:r>
    </w:p>
    <w:p>
      <w:pPr>
        <w:pStyle w:val="Heading3"/>
        <w:spacing w:after="100" w:before="180"/>
      </w:pPr>
      <w:r>
        <w:t xml:space="preserve">Why this Model matters for India</w:t>
      </w:r>
    </w:p>
    <w:p>
      <w:pPr>
        <w:pBdr>
          <w:left w:val="single" w:color="2E7D32" w:sz="24"/>
        </w:pBdr>
        <w:shd w:fill="E8F5E9" w:val="clear"/>
        <w:spacing w:after="160" w:before="160"/>
        <w:ind w:left="240"/>
      </w:pPr>
      <w:r>
        <w:rPr>
          <w:b/>
          <w:bCs/>
          <w:color w:val="2E7D32"/>
        </w:rPr>
        <w:t xml:space="preserve">INDIAN CONTEXT: </w:t>
      </w:r>
      <w:r>
        <w:t xml:space="preserve">Early Christianity was shaped by three cultures: Semitic, Greek, and Latin. The Semitic-Syriac Tradition is often overlooked, but it is Asian in origin and was, in fact, </w:t>
      </w:r>
      <w:r>
        <w:rPr>
          <w:b/>
          <w:bCs/>
        </w:rPr>
        <w:t xml:space="preserve">the only significant Christian presence in India</w:t>
      </w:r>
      <w:r>
        <w:t xml:space="preserve"> before European missionaries arrived in the sixteenth century, surviving to this day in the </w:t>
      </w:r>
      <w:r>
        <w:rPr>
          <w:b/>
          <w:bCs/>
        </w:rPr>
        <w:t xml:space="preserve">St. Thomas Christian communities of the Malabar coast</w:t>
      </w:r>
      <w:r>
        <w:t xml:space="preserve">, many of whom have historic links to the East Syrian Tradition.</w:t>
      </w:r>
      <w:r>
        <w:rPr>
          <w:rStyle w:val="FootnoteReference"/>
        </w:rPr>
        <w:footnoteReference w:id="5"/>
      </w:r>
    </w:p>
    <w:p>
      <w:pPr>
        <w:pStyle w:val="Heading3"/>
        <w:spacing w:after="100" w:before="180"/>
      </w:pPr>
      <w:r>
        <w:t xml:space="preserve">Who was Ephraem?</w:t>
      </w:r>
    </w:p>
    <w:p>
      <w:pPr>
        <w:spacing w:after="120"/>
      </w:pPr>
      <w:r>
        <w:t xml:space="preserve">Born around 306, probably to Christian parents, Ephraem served as a deacon and teacher in Nisibis, on today’s Turkey-Syria border, later moving to Edessa after political upheaval. He died around 373. He inherited Mesopotamian, Jewish and, to some extent, Greek culture, and represents a form of Christianity that is truly Semitic, not yet reshaped by Greek or European categories.</w:t>
      </w:r>
      <w:r>
        <w:rPr>
          <w:rStyle w:val="FootnoteReference"/>
        </w:rPr>
        <w:footnoteReference w:id="6"/>
      </w:r>
    </w:p>
    <w:p>
      <w:pPr>
        <w:pStyle w:val="Heading3"/>
        <w:spacing w:after="100" w:before="180"/>
      </w:pPr>
      <w:r>
        <w:t xml:space="preserve">a) Theology as Poetry</w:t>
      </w:r>
    </w:p>
    <w:p>
      <w:pPr>
        <w:spacing w:after="120"/>
      </w:pPr>
      <w:r>
        <w:t xml:space="preserve">Ephraem deliberately avoided giving definitions. He believed definitions were dangerous, because by drawing sharp boundaries around a truth, they freeze theological inquiry, and worse, trying to define God is almost an attempt to tie down the Limitless One, which he considered close to blasphemous. Instead, Ephraem worked through paradox and symbol, and chose poetry as his medium, because poetry naturally resists being pinned down into a single fixed meaning.</w:t>
      </w:r>
      <w:r>
        <w:rPr>
          <w:rStyle w:val="FootnoteReference"/>
        </w:rPr>
        <w:footnoteReference w:id="7"/>
      </w:r>
    </w:p>
    <w:p>
      <w:pPr>
        <w:pStyle w:val="Heading3"/>
        <w:spacing w:after="100" w:before="180"/>
      </w:pPr>
      <w:r>
        <w:t xml:space="preserve">b) Different Attitudes to the Theological Enterprise</w:t>
      </w:r>
    </w:p>
    <w:p>
      <w:pPr>
        <w:spacing w:after="120"/>
      </w:pPr>
      <w:r>
        <w:t xml:space="preserve">Ephraem identified three possible attitudes a theologian can take toward God:</w:t>
      </w:r>
    </w:p>
    <w:p>
      <w:pPr>
        <w:pStyle w:val="ListParagraph"/>
        <w:numPr>
          <w:ilvl w:val="0"/>
          <w:numId w:val="1"/>
        </w:numPr>
        <w:spacing w:after="80"/>
      </w:pPr>
      <w:r>
        <w:rPr>
          <w:b/>
          <w:bCs/>
        </w:rPr>
        <w:t xml:space="preserve">Domination</w:t>
      </w:r>
      <w:r>
        <w:t xml:space="preserve">: trying to control and master God as an object of study. Ephraem rejects this outright.</w:t>
      </w:r>
    </w:p>
    <w:p>
      <w:pPr>
        <w:pStyle w:val="ListParagraph"/>
        <w:numPr>
          <w:ilvl w:val="0"/>
          <w:numId w:val="1"/>
        </w:numPr>
        <w:spacing w:after="80"/>
      </w:pPr>
      <w:r>
        <w:rPr>
          <w:b/>
          <w:bCs/>
        </w:rPr>
        <w:t xml:space="preserve">Detached study</w:t>
      </w:r>
      <w:r>
        <w:t xml:space="preserve">: studying God from a distance, without personal involvement. Ephraem rejects this too, since it reduces God to a mere object.</w:t>
      </w:r>
    </w:p>
    <w:p>
      <w:pPr>
        <w:pStyle w:val="ListParagraph"/>
        <w:numPr>
          <w:ilvl w:val="0"/>
          <w:numId w:val="1"/>
        </w:numPr>
        <w:spacing w:after="80"/>
      </w:pPr>
      <w:r>
        <w:rPr>
          <w:b/>
          <w:bCs/>
        </w:rPr>
        <w:t xml:space="preserve">Love and wonder</w:t>
      </w:r>
      <w:r>
        <w:t xml:space="preserve">: Ephraem’s own approach, a real two-way relationship between God and the theologian, growing only through mutual love.</w:t>
      </w:r>
      <w:r>
        <w:rPr>
          <w:rStyle w:val="FootnoteReference"/>
        </w:rPr>
        <w:footnoteReference w:id="8"/>
      </w:r>
    </w:p>
    <w:p>
      <w:pPr>
        <w:spacing w:after="120"/>
      </w:pPr>
      <w:r>
        <w:t xml:space="preserve">This is possible because God himself has crossed the gap to reveal himself, in three ways: through types and symbols in nature and Scripture; through names and metaphors in Scripture; and, above all, through the Incarnation of Jesus Christ.</w:t>
      </w:r>
    </w:p>
    <w:p>
      <w:pPr>
        <w:pStyle w:val="Heading3"/>
        <w:spacing w:after="100" w:before="180"/>
      </w:pPr>
      <w:r>
        <w:t xml:space="preserve">c) A Broad Understanding of Revelation</w:t>
      </w:r>
    </w:p>
    <w:p>
      <w:pPr>
        <w:spacing w:after="120"/>
      </w:pPr>
      <w:r>
        <w:t xml:space="preserve">For Ephraem, Revelation is not confined to the Bible, it is woven into the whole universe. Scripture and nature are two complementary realms of revelation: nature is harder to interpret but Scripture is clearer and can take us further. In both cases the initiative always belongs to God alone; God remains hidden except insofar as he chooses to reveal himself.</w:t>
      </w:r>
      <w:r>
        <w:rPr>
          <w:rStyle w:val="FootnoteReference"/>
        </w:rPr>
        <w:footnoteReference w:id="9"/>
      </w:r>
    </w:p>
    <w:p>
      <w:pPr>
        <w:pStyle w:val="Heading3"/>
        <w:spacing w:after="100" w:before="180"/>
      </w:pPr>
      <w:r>
        <w:t xml:space="preserve">d) The Place of Sacred Scripture</w:t>
      </w:r>
    </w:p>
    <w:p>
      <w:pPr>
        <w:spacing w:after="120"/>
      </w:pPr>
      <w:r>
        <w:t xml:space="preserve">Scripture has both an exterior meaning, the historical, literal sense, and an interior meaning, the sense of the spirit. Both are equally real, but the interior meaning needs the inner eye of faith to be perceived.</w:t>
      </w:r>
      <w:r>
        <w:rPr>
          <w:rStyle w:val="FootnoteReference"/>
        </w:rPr>
        <w:footnoteReference w:id="10"/>
      </w:r>
    </w:p>
    <w:p>
      <w:pPr>
        <w:pStyle w:val="Heading3"/>
        <w:spacing w:after="100" w:before="180"/>
      </w:pPr>
      <w:r>
        <w:t xml:space="preserve">e) The Interpretation of Sacred Scripture</w:t>
      </w:r>
    </w:p>
    <w:p>
      <w:pPr>
        <w:spacing w:after="120"/>
      </w:pPr>
      <w:r>
        <w:t xml:space="preserve">All interpretation must happen within faith. The outer, historical meaning is fixed and can be settled; the inner, spiritual meaning is more fluid, and can even be valid for one particular person at one particular moment without being universally binding. Both kinds of interpretation are legitimate, the error is only in claiming that one’s own interpretation is the only possible one.</w:t>
      </w:r>
      <w:r>
        <w:rPr>
          <w:rStyle w:val="FootnoteReference"/>
        </w:rPr>
        <w:footnoteReference w:id="11"/>
      </w:r>
      <w:r>
        <w:t xml:space="preserve"> Ultimately, for Ephraem, Christ himself is the key to understanding Scripture correctly.</w:t>
      </w:r>
    </w:p>
    <w:p>
      <w:pPr>
        <w:pStyle w:val="Heading3"/>
        <w:spacing w:after="100" w:before="180"/>
      </w:pPr>
      <w:r>
        <w:t xml:space="preserve">f) Faith, the Luminous Eye</w:t>
      </w:r>
    </w:p>
    <w:p>
      <w:pPr>
        <w:pBdr>
          <w:left w:val="single" w:color="1565C0" w:sz="24"/>
        </w:pBdr>
        <w:shd w:fill="E3F2FD" w:val="clear"/>
        <w:spacing w:after="160" w:before="160"/>
        <w:ind w:left="240"/>
      </w:pPr>
      <w:r>
        <w:rPr>
          <w:b/>
          <w:bCs/>
          <w:color w:val="1565C0"/>
        </w:rPr>
        <w:t xml:space="preserve">EXAMPLE: </w:t>
      </w:r>
      <w:r>
        <w:t xml:space="preserve">Faith is described as “the eye which can see hidden things.” It is holistic, it must come together with love, prayer, wonder and awe. Free will matters too: sin clouds this inner eye of faith. Remarkably, Ephraem, writing many centuries before modern ecology, connects the abuse of free will to damage across the whole created cosmos, since the physical and spiritual ecospheres are intimately linked.</w:t>
      </w:r>
      <w:r>
        <w:rPr>
          <w:rStyle w:val="FootnoteReference"/>
        </w:rPr>
        <w:footnoteReference w:id="12"/>
      </w:r>
    </w:p>
    <w:p>
      <w:pPr>
        <w:pStyle w:val="Heading3"/>
        <w:spacing w:after="100" w:before="180"/>
      </w:pPr>
      <w:r>
        <w:t xml:space="preserve">Some Evaluative Comments</w:t>
      </w:r>
    </w:p>
    <w:p>
      <w:pPr>
        <w:spacing w:after="120" w:before="120"/>
        <w:ind w:left="720" w:right="720"/>
      </w:pPr>
      <w:r>
        <w:t xml:space="preserve">Ephraem belongs to the shared heritage of all Christian traditions, Catholic, Orthodox and Protestant, since he predates the later divisions of the Church. He is valued in the West today as a model of a symbolic, non-abstract, deeply biblical way of doing theology, accessible to both ordinary believers and scholars alike.</w:t>
      </w:r>
    </w:p>
    <w:p>
      <w:pPr>
        <w:pStyle w:val="Heading2"/>
        <w:spacing w:after="120" w:before="220"/>
      </w:pPr>
      <w:r>
        <w:t xml:space="preserve">C. Theology as the Articulation of the Liturgical Experience: Alexander Schmemann</w:t>
      </w:r>
    </w:p>
    <w:p>
      <w:pPr>
        <w:pStyle w:val="Heading3"/>
        <w:spacing w:after="100" w:before="180"/>
      </w:pPr>
      <w:r>
        <w:t xml:space="preserve">Who are the Orthodox Eastern Churches?</w:t>
      </w:r>
    </w:p>
    <w:p>
      <w:pPr>
        <w:spacing w:after="120"/>
      </w:pPr>
      <w:r>
        <w:t xml:space="preserve">The Churches of Constantinople, Alexandria, Antioch and Jerusalem, which separated from communion with Rome in 1054 and again after 1453. Their main theological difference from Catholicism is their refusal to accept the jurisdictional primacy of the Bishop of Rome.</w:t>
      </w:r>
      <w:r>
        <w:rPr>
          <w:rStyle w:val="FootnoteReference"/>
        </w:rPr>
        <w:footnoteReference w:id="13"/>
      </w:r>
    </w:p>
    <w:p>
      <w:pPr>
        <w:pStyle w:val="Heading3"/>
        <w:spacing w:after="100" w:before="180"/>
      </w:pPr>
      <w:r>
        <w:t xml:space="preserve">The Orthodox Theological Perspective</w:t>
      </w:r>
    </w:p>
    <w:p>
      <w:pPr>
        <w:spacing w:after="120"/>
      </w:pPr>
      <w:r>
        <w:t xml:space="preserve">Orthodox Christian existence is understood as a lived experience of wholeness, which is why it resists being neatly pigeonholed into Western categories. This Chapter presents the approach of the Russian Orthodox theologian </w:t>
      </w:r>
      <w:r>
        <w:rPr>
          <w:b/>
          <w:bCs/>
        </w:rPr>
        <w:t xml:space="preserve">Alexander Schmemann (1921-1983)</w:t>
      </w:r>
      <w:r>
        <w:t xml:space="preserve">.</w:t>
      </w:r>
      <w:r>
        <w:rPr>
          <w:rStyle w:val="FootnoteReference"/>
        </w:rPr>
        <w:footnoteReference w:id="14"/>
      </w:r>
    </w:p>
    <w:p>
      <w:pPr>
        <w:pStyle w:val="Heading3"/>
        <w:spacing w:after="100" w:before="180"/>
      </w:pPr>
      <w:r>
        <w:t xml:space="preserve">The Ecclesial Emphasis</w:t>
      </w:r>
    </w:p>
    <w:p>
      <w:pPr>
        <w:spacing w:after="120"/>
      </w:pPr>
      <w:r>
        <w:t xml:space="preserve">This approach is rooted, above all, in the worshipping Church. The Church is experienced as a living icon of life in Christ, with two dimensions held together:</w:t>
      </w:r>
    </w:p>
    <w:p>
      <w:pPr>
        <w:pStyle w:val="ListParagraph"/>
        <w:numPr>
          <w:ilvl w:val="0"/>
          <w:numId w:val="1"/>
        </w:numPr>
        <w:spacing w:after="80"/>
      </w:pPr>
      <w:r>
        <w:rPr>
          <w:b/>
          <w:bCs/>
        </w:rPr>
        <w:t xml:space="preserve">Preparation</w:t>
      </w:r>
      <w:r>
        <w:t xml:space="preserve">: the Church prepares us for a life with God that is “not yet,” still to come.</w:t>
      </w:r>
    </w:p>
    <w:p>
      <w:pPr>
        <w:pStyle w:val="ListParagraph"/>
        <w:numPr>
          <w:ilvl w:val="0"/>
          <w:numId w:val="1"/>
        </w:numPr>
        <w:spacing w:after="80"/>
      </w:pPr>
      <w:r>
        <w:rPr>
          <w:b/>
          <w:bCs/>
        </w:rPr>
        <w:t xml:space="preserve">Fulfilment</w:t>
      </w:r>
      <w:r>
        <w:t xml:space="preserve">: the Church’s very source, the Christ event, “has already taken place.” The Church is already, in some sense, the sacrament of the Kingdom.</w:t>
      </w:r>
      <w:r>
        <w:rPr>
          <w:rStyle w:val="FootnoteReference"/>
        </w:rPr>
        <w:footnoteReference w:id="15"/>
      </w:r>
    </w:p>
    <w:p>
      <w:pPr>
        <w:pStyle w:val="Heading3"/>
        <w:spacing w:after="100" w:before="180"/>
      </w:pPr>
      <w:r>
        <w:t xml:space="preserve">The Centrality of the Liturgy</w:t>
      </w:r>
    </w:p>
    <w:p>
      <w:pPr>
        <w:spacing w:after="120"/>
      </w:pPr>
      <w:r>
        <w:t xml:space="preserve">For Schmemann, it is primarily through the liturgy that we participate in the Church’s life. “Theology is best expressed and communicated in the form of praise, doxology.”</w:t>
      </w:r>
      <w:r>
        <w:rPr>
          <w:rStyle w:val="FootnoteReference"/>
        </w:rPr>
        <w:footnoteReference w:id="16"/>
      </w:r>
      <w:r>
        <w:t xml:space="preserve"> The liturgy has both a cosmic dimension, it draws all creation into Christ, and a historical dimension, it draws all time into Christ. This is where the ancient adage belongs: Lex orandi, lex credendi, the norm of prayer is the norm of belief, meaning genuine understanding comes from belonging to the Church, as its fruit, not as its precondition.</w:t>
      </w:r>
    </w:p>
    <w:p>
      <w:pPr>
        <w:pBdr>
          <w:left w:val="single" w:color="1565C0" w:sz="24"/>
        </w:pBdr>
        <w:shd w:fill="E3F2FD" w:val="clear"/>
        <w:spacing w:after="160" w:before="160"/>
        <w:ind w:left="240"/>
      </w:pPr>
      <w:r>
        <w:rPr>
          <w:b/>
          <w:bCs/>
          <w:color w:val="1565C0"/>
        </w:rPr>
        <w:t xml:space="preserve">EXAMPLE: </w:t>
      </w:r>
      <w:r>
        <w:t xml:space="preserve">Schmemann uses the biblical images of food and blessing: everything that exists is God’s gift, given so that it can be a sign of communion with him. To “bless” God is not a separate religious act but a whole way of life, and human beings are unique in the universe precisely because they alone can bless God in return for what they have received, making the human person, in effect, “the priest who stands at the centre of the cosmos.”</w:t>
      </w:r>
      <w:r>
        <w:rPr>
          <w:rStyle w:val="FootnoteReference"/>
        </w:rPr>
        <w:footnoteReference w:id="17"/>
      </w:r>
    </w:p>
    <w:p>
      <w:pPr>
        <w:pStyle w:val="Heading3"/>
        <w:spacing w:after="100" w:before="180"/>
      </w:pPr>
      <w:r>
        <w:t xml:space="preserve">A Holistic Understanding of Tradition</w:t>
      </w:r>
    </w:p>
    <w:p>
      <w:pPr>
        <w:spacing w:after="120"/>
      </w:pPr>
      <w:r>
        <w:t xml:space="preserve">For the Orthodox, Tradition, with a capital T, distinguished from smaller traditions, is “the life of the Holy Spirit in the Church,” not a static memory of the past but a living force that continually integrates the past into the present.</w:t>
      </w:r>
      <w:r>
        <w:rPr>
          <w:rStyle w:val="FootnoteReference"/>
        </w:rPr>
        <w:footnoteReference w:id="18"/>
      </w:r>
      <w:r>
        <w:t xml:space="preserve"> Tradition is embodied in many layers: Holy Scripture, Dogmatic Tradition, Liturgical Tradition, the Fathers, Christian Art, Icons. Scripture is not separate from Tradition, Scripture is itself part of Tradition, and Tradition is the Church’s ongoing living reading of Scripture. As Schmemann puts it, it is the liturgy which makes the Bible relevant, and the relevance of the Bible presupposes immersion in the liturgy: “neither can the liturgy be understood... without Scripture, nor can Scripture be fully appropriated without the liturgy.”</w:t>
      </w:r>
    </w:p>
    <w:p>
      <w:pPr>
        <w:pStyle w:val="Heading3"/>
        <w:spacing w:after="100" w:before="180"/>
      </w:pPr>
      <w:r>
        <w:t xml:space="preserve">Understanding of Sacred Scripture</w:t>
      </w:r>
    </w:p>
    <w:p>
      <w:pPr>
        <w:spacing w:after="120"/>
      </w:pPr>
      <w:r>
        <w:t xml:space="preserve">Scripture, in this view, is not primarily a proof text authority to be quoted for doctrinal arguments. It is, first of all, a way of life, the Church and Scripture are one and the same source of life and communion, the same living Word of God.</w:t>
      </w:r>
      <w:r>
        <w:rPr>
          <w:rStyle w:val="FootnoteReference"/>
        </w:rPr>
        <w:footnoteReference w:id="19"/>
      </w:r>
    </w:p>
    <w:p>
      <w:pPr>
        <w:pStyle w:val="Heading3"/>
        <w:spacing w:after="100" w:before="180"/>
      </w:pPr>
      <w:r>
        <w:t xml:space="preserve">Some Evaluative Comments</w:t>
      </w:r>
    </w:p>
    <w:p>
      <w:pPr>
        <w:spacing w:after="120" w:before="120"/>
        <w:ind w:left="720" w:right="720"/>
      </w:pPr>
      <w:r>
        <w:t xml:space="preserve">This Model tries to heal the split that has often opened up between theology, liturgy and daily Christian piety, a split that has weakened all three. It also strongly emphasises the cosmic scope of Christian worship, connecting it to the hopes and struggles of the whole world.</w:t>
      </w:r>
    </w:p>
    <w:p>
      <w:pPr>
        <w:pStyle w:val="Heading2"/>
        <w:spacing w:after="120" w:before="220"/>
      </w:pPr>
      <w:r>
        <w:t xml:space="preserve">D. A Scholastic Model: Thomas Aquinas</w:t>
      </w:r>
    </w:p>
    <w:p>
      <w:pPr>
        <w:pStyle w:val="Heading3"/>
        <w:spacing w:after="100" w:before="180"/>
      </w:pPr>
      <w:r>
        <w:t xml:space="preserve">The Golden Age of Scholasticism</w:t>
      </w:r>
    </w:p>
    <w:p>
      <w:pPr>
        <w:spacing w:after="120"/>
      </w:pPr>
      <w:r>
        <w:t xml:space="preserve">The second half of the thirteenth century was the high point of medieval Scholasticism, when thinkers like Bonaventure and Thomas Aquinas built confident, masterful theological syntheses, confident because they believed philosophy and theology, reason and revelation, were fundamentally in harmony.</w:t>
      </w:r>
      <w:r>
        <w:rPr>
          <w:rStyle w:val="FootnoteReference"/>
        </w:rPr>
        <w:footnoteReference w:id="20"/>
      </w:r>
    </w:p>
    <w:p>
      <w:pPr>
        <w:pStyle w:val="Heading3"/>
        <w:spacing w:after="100" w:before="180"/>
      </w:pPr>
      <w:r>
        <w:t xml:space="preserve">About Thomas Aquinas</w:t>
      </w:r>
    </w:p>
    <w:p>
      <w:pPr>
        <w:spacing w:after="120"/>
      </w:pPr>
      <w:r>
        <w:t xml:space="preserve">Born near Aquino, Italy, in </w:t>
      </w:r>
      <w:r>
        <w:rPr>
          <w:b/>
          <w:bCs/>
        </w:rPr>
        <w:t xml:space="preserve">1225</w:t>
      </w:r>
      <w:r>
        <w:t xml:space="preserve">. Joined the Dominicans in 1244, studied under Albert the Great in Paris (1245-1248), earned his Master’s Degree in Theology in 1256, and taught in Paris, Anagni, Orvieto, Rome and Viterbo. He died in </w:t>
      </w:r>
      <w:r>
        <w:rPr>
          <w:b/>
          <w:bCs/>
        </w:rPr>
        <w:t xml:space="preserve">1274</w:t>
      </w:r>
      <w:r>
        <w:t xml:space="preserve"> on his way to the Council of Lyons.</w:t>
      </w:r>
      <w:r>
        <w:rPr>
          <w:rStyle w:val="FootnoteReference"/>
        </w:rPr>
        <w:footnoteReference w:id="21"/>
      </w:r>
    </w:p>
    <w:p>
      <w:pPr>
        <w:pStyle w:val="Heading3"/>
        <w:spacing w:after="100" w:before="180"/>
      </w:pPr>
      <w:r>
        <w:t xml:space="preserve">The Goal of Theological Reflection</w:t>
      </w:r>
    </w:p>
    <w:p>
      <w:pPr>
        <w:spacing w:after="120"/>
      </w:pPr>
      <w:r>
        <w:t xml:space="preserve">Aquinas always considered himself a theologian, not a philosopher, in his time, “philosopher” could even mean non-believer. His goal was theological wisdom: faith seeking understanding (Fides quaerens intellectum). For Aquinas, theology is an organic whole, including both what God has directly revealed and whatever the theologian can properly deduce from revealed truth, drawing in material from logic, natural science and metaphysics wherever it genuinely helps.</w:t>
      </w:r>
      <w:r>
        <w:rPr>
          <w:rStyle w:val="FootnoteReference"/>
        </w:rPr>
        <w:footnoteReference w:id="22"/>
      </w:r>
    </w:p>
    <w:p>
      <w:pPr>
        <w:pStyle w:val="Heading3"/>
        <w:spacing w:after="100" w:before="180"/>
      </w:pPr>
      <w:r>
        <w:t xml:space="preserve">Theology and Philosophy</w:t>
      </w:r>
    </w:p>
    <w:p>
      <w:pPr>
        <w:pBdr>
          <w:left w:val="single" w:color="1565C0" w:sz="24"/>
        </w:pBdr>
        <w:shd w:fill="E3F2FD" w:val="clear"/>
        <w:spacing w:after="160" w:before="160"/>
        <w:ind w:left="240"/>
      </w:pPr>
      <w:r>
        <w:rPr>
          <w:b/>
          <w:bCs/>
          <w:color w:val="1565C0"/>
        </w:rPr>
        <w:t xml:space="preserve">EXAMPLE: </w:t>
      </w:r>
      <w:r>
        <w:t xml:space="preserve">Theology does not borrow its principles from philosophy, it borrows only philosophy’s method of exposition. Philosophy serves theology “as its inferior... its handmaid,” not the reverse.</w:t>
      </w:r>
      <w:r>
        <w:rPr>
          <w:rStyle w:val="FootnoteReference"/>
        </w:rPr>
        <w:footnoteReference w:id="23"/>
      </w:r>
      <w:r>
        <w:t xml:space="preserve"> Aquinas felt free to replace even a previous theologian’s philosophical framework, such as Augustine’s, if he judged a better philosophy was available, because philosophy is not itself necessary for salvation, but if theology uses a philosophy, it should use the best one available. Faith and reason cannot ultimately conflict, since a true philosophical conclusion can never truly contradict a truth of faith.</w:t>
      </w:r>
    </w:p>
    <w:p>
      <w:pPr>
        <w:pStyle w:val="Heading3"/>
        <w:spacing w:after="100" w:before="180"/>
      </w:pPr>
      <w:r>
        <w:t xml:space="preserve">Theology as Thomas Understood It</w:t>
      </w:r>
    </w:p>
    <w:p>
      <w:pPr>
        <w:spacing w:after="120"/>
      </w:pPr>
      <w:r>
        <w:t xml:space="preserve">For Aquinas, theology treats of God primarily, and of creatures only insofar as they relate to God as their beginning or end. Revelation reaches us through the prophets, Jesus Christ and the Apostles, concentrated above all in the Apostles’ Creed. Because the truth of faith is scattered throughout Scripture in many different forms, the Church’s own confession of faith is needed to state it clearly.</w:t>
      </w:r>
      <w:r>
        <w:rPr>
          <w:rStyle w:val="FootnoteReference"/>
        </w:rPr>
        <w:footnoteReference w:id="24"/>
      </w:r>
    </w:p>
    <w:p>
      <w:pPr>
        <w:pStyle w:val="Heading3"/>
        <w:spacing w:after="100" w:before="180"/>
      </w:pPr>
      <w:r>
        <w:t xml:space="preserve">Theology as Sacred Science</w:t>
      </w:r>
    </w:p>
    <w:p>
      <w:pPr>
        <w:spacing w:after="120"/>
      </w:pPr>
      <w:r>
        <w:t xml:space="preserve">In Aquinas’ time, science, scientia, meant certain, true knowledge, and Aquinas added Aristotle’s sense of the word too: a body of conclusions deduced from principles. Some sciences, like geometry, get their principles directly from the natural light of reason; theology, Aquinas argued, is a sacred science that borrows its principles from the science of God himself, made known through revelation.</w:t>
      </w:r>
      <w:r>
        <w:rPr>
          <w:rStyle w:val="FootnoteReference"/>
        </w:rPr>
        <w:footnoteReference w:id="25"/>
      </w:r>
      <w:r>
        <w:t xml:space="preserve"> Theology thereby became teachable in the same way as all the other arts and sciences, a real shift from theologians like Augustine, for whom theology had been rooted more directly in personal experience. Theology retains the top place in the hierarchy of the sciences; philosophy, though subordinate to theology in that sense, still operates fully by its own proper rational method.</w:t>
      </w:r>
    </w:p>
    <w:p>
      <w:pPr>
        <w:pStyle w:val="Heading3"/>
        <w:spacing w:after="100" w:before="180"/>
      </w:pPr>
      <w:r>
        <w:t xml:space="preserve">Some Evaluative Comments</w:t>
      </w:r>
    </w:p>
    <w:p>
      <w:pPr>
        <w:spacing w:after="120"/>
      </w:pPr>
      <w:r>
        <w:t xml:space="preserve">Aquinas’ synthesis decisively shaped Western Christian thought by combining Aristotelian and biblical ways of thinking, but it came at a cost: a clearer division between what can be known by unaided reason and what can be known only by faith. He also replaced the older method of discovery (via inventionis, working things out) with the method of exposition (via doctrinae, presenting settled conclusions), a method meant to build on discovery, not replace it, though later generations sometimes used it that way.</w:t>
      </w:r>
      <w:r>
        <w:rPr>
          <w:rStyle w:val="FootnoteReference"/>
        </w:rPr>
        <w:footnoteReference w:id="26"/>
      </w:r>
    </w:p>
    <w:p>
      <w:pPr>
        <w:spacing w:after="120" w:before="120"/>
        <w:ind w:left="720" w:right="720"/>
      </w:pPr>
      <w:r>
        <w:t xml:space="preserve">The Canadian theologian Bernard Lonergan judged these developments helpful for two reasons: practically, they gave medieval thinkers rational tools, the quaestio method, to reconcile the many different patristic interpretations of Scripture into coherent theological Summae; and epistemologically, they let theology finally address, through metaphysics, questions the earlier patristic use of Aristotelian logic had raised but could not yet answer.</w:t>
      </w:r>
    </w:p>
    <w:p>
      <w:pPr>
        <w:pStyle w:val="Heading2"/>
        <w:spacing w:after="120" w:before="220"/>
      </w:pPr>
      <w:r>
        <w:t xml:space="preserve">E. The Kerygmatic Approach: Karl Barth</w:t>
      </w:r>
    </w:p>
    <w:p>
      <w:pPr>
        <w:pStyle w:val="Heading3"/>
        <w:spacing w:after="100" w:before="180"/>
      </w:pPr>
      <w:r>
        <w:t xml:space="preserve">The Protestant Reformation</w:t>
      </w:r>
    </w:p>
    <w:p>
      <w:pPr>
        <w:spacing w:after="120"/>
      </w:pPr>
      <w:r>
        <w:t xml:space="preserve">From a Catholic viewpoint the Reformation looks like a rebellion; from a Protestant viewpoint, it was a genuine reform. Luther and the other Reformers had come to believe the existing Church of their day was not truly the Church of Christ. They reacted against real corruption, secularisation and administrative abuse, the final spark being the ambiguous, exaggerated preaching around Indulgences.</w:t>
      </w:r>
      <w:r>
        <w:rPr>
          <w:rStyle w:val="FootnoteReference"/>
        </w:rPr>
        <w:footnoteReference w:id="27"/>
      </w:r>
    </w:p>
    <w:p>
      <w:pPr>
        <w:spacing w:after="120"/>
      </w:pPr>
      <w:r>
        <w:t xml:space="preserve">At the same time, the great Thomistic philosophical-theological synthesis was breaking down: some theologians felt it relied too heavily on Aristotelian philosophy, driving a wedge between faith and reason that Aquinas himself had held together. The desire for genuine understanding (fides quaerens intellectum) was replaced by a desire for mere certainty, and theology grew increasingly abstract, reaching its extreme in </w:t>
      </w:r>
      <w:r>
        <w:rPr>
          <w:b/>
          <w:bCs/>
        </w:rPr>
        <w:t xml:space="preserve">Nominalism</w:t>
      </w:r>
      <w:r>
        <w:t xml:space="preserve">.</w:t>
      </w:r>
      <w:r>
        <w:rPr>
          <w:rStyle w:val="FootnoteReference"/>
        </w:rPr>
        <w:footnoteReference w:id="28"/>
      </w:r>
    </w:p>
    <w:p>
      <w:pPr>
        <w:spacing w:after="120"/>
      </w:pPr>
      <w:r>
        <w:rPr>
          <w:b/>
          <w:bCs/>
        </w:rPr>
        <w:t xml:space="preserve">Luther</w:t>
      </w:r>
      <w:r>
        <w:t xml:space="preserve"> reacted against this excessive reliance on reason, replacing theological system-building with a genuine quest for piety grounded in the Bible, hence his rejection of any authority other than Scripture (</w:t>
      </w:r>
      <w:r>
        <w:rPr>
          <w:b/>
          <w:bCs/>
        </w:rPr>
        <w:t xml:space="preserve">Sola Scriptura</w:t>
      </w:r>
      <w:r>
        <w:t xml:space="preserve">). One prominent later Protestant theologian who continued this Lutheran line is </w:t>
      </w:r>
      <w:r>
        <w:rPr>
          <w:b/>
          <w:bCs/>
        </w:rPr>
        <w:t xml:space="preserve">Karl Barth (1886-1968)</w:t>
      </w:r>
      <w:r>
        <w:t xml:space="preserve">.</w:t>
      </w:r>
      <w:r>
        <w:rPr>
          <w:rStyle w:val="FootnoteReference"/>
        </w:rPr>
        <w:footnoteReference w:id="29"/>
      </w:r>
    </w:p>
    <w:p>
      <w:pPr>
        <w:pStyle w:val="Heading3"/>
        <w:spacing w:after="100" w:before="180"/>
      </w:pPr>
      <w:r>
        <w:t xml:space="preserve">The Role of Theology</w:t>
      </w:r>
    </w:p>
    <w:p>
      <w:pPr>
        <w:spacing w:after="120"/>
      </w:pPr>
      <w:r>
        <w:t xml:space="preserve">For Barth, theology is the specific science whose task is to understand and speak about God, but always as a response, never as an independent human inquiry. Three presuppositions frame this: human existence as confronted by the self-proclaiming God of the Gospel; the human response of faith; and human reason’s basic capacity for perception, judgment and language.</w:t>
      </w:r>
      <w:r>
        <w:rPr>
          <w:rStyle w:val="FootnoteReference"/>
        </w:rPr>
        <w:footnoteReference w:id="30"/>
      </w:r>
    </w:p>
    <w:p>
      <w:pPr>
        <w:pBdr>
          <w:left w:val="single" w:color="1565C0" w:sz="24"/>
        </w:pBdr>
        <w:shd w:fill="E3F2FD" w:val="clear"/>
        <w:spacing w:after="160" w:before="160"/>
        <w:ind w:left="240"/>
      </w:pPr>
      <w:r>
        <w:rPr>
          <w:b/>
          <w:bCs/>
          <w:color w:val="1565C0"/>
        </w:rPr>
        <w:t xml:space="preserve">EXAMPLE: </w:t>
      </w:r>
      <w:r>
        <w:t xml:space="preserve">This theology is deliberately humble, “without pretensions,” because it is entirely determined by its subject, “the God of the Gospel,” who is unique, merciful, free, and present “with humans, by humans, and, most important of all, for humans.”</w:t>
      </w:r>
      <w:r>
        <w:rPr>
          <w:rStyle w:val="FootnoteReference"/>
        </w:rPr>
        <w:footnoteReference w:id="31"/>
      </w:r>
    </w:p>
    <w:p>
      <w:pPr>
        <w:pStyle w:val="Heading3"/>
        <w:spacing w:after="100" w:before="180"/>
      </w:pPr>
      <w:r>
        <w:t xml:space="preserve">The Place of Sacred Scripture</w:t>
      </w:r>
    </w:p>
    <w:p>
      <w:pPr>
        <w:spacing w:after="120"/>
      </w:pPr>
      <w:r>
        <w:t xml:space="preserve">Sola Scriptura, for Barth, means that God speaks through Scripture without omitting anything necessary for salvation, not simply that Scripture “contains” some revealed truths among others. This does not reject all Tradition, only a particular idea of Tradition, specifically extra biblical oral tradition alongside the exegetical tradition of interpreting Scripture.</w:t>
      </w:r>
      <w:r>
        <w:rPr>
          <w:rStyle w:val="FootnoteReference"/>
        </w:rPr>
        <w:footnoteReference w:id="32"/>
      </w:r>
    </w:p>
    <w:p>
      <w:pPr>
        <w:pStyle w:val="Heading3"/>
        <w:spacing w:after="100" w:before="180"/>
      </w:pPr>
      <w:r>
        <w:t xml:space="preserve">The Church, the Locus of the Word of God</w:t>
      </w:r>
    </w:p>
    <w:p>
      <w:pPr>
        <w:spacing w:after="120"/>
      </w:pPr>
      <w:r>
        <w:t xml:space="preserve">Theology happens concretely within the community, the Church, whose members are secondary witnesses to God’s Word, called both to believe and to testify, “a faith that seeks understanding” (Credo ut intelligam). No member of the community stands above another or closer to Christ, the Head.</w:t>
      </w:r>
      <w:r>
        <w:rPr>
          <w:rStyle w:val="FootnoteReference"/>
        </w:rPr>
        <w:footnoteReference w:id="33"/>
      </w:r>
    </w:p>
    <w:p>
      <w:pPr>
        <w:pStyle w:val="Heading3"/>
        <w:spacing w:after="100" w:before="180"/>
      </w:pPr>
      <w:r>
        <w:t xml:space="preserve">Theology as a Response</w:t>
      </w:r>
    </w:p>
    <w:p>
      <w:pPr>
        <w:spacing w:after="120"/>
      </w:pPr>
      <w:r>
        <w:t xml:space="preserve">Theology exists only as a response to the Word of God, which always precedes it. Theology has no independent authority of its own, its whole purpose is simply to be measured against, and to conduct itself according to, that Word.</w:t>
      </w:r>
      <w:r>
        <w:rPr>
          <w:rStyle w:val="FootnoteReference"/>
        </w:rPr>
        <w:footnoteReference w:id="34"/>
      </w:r>
    </w:p>
    <w:p>
      <w:pPr>
        <w:pStyle w:val="Heading3"/>
        <w:spacing w:after="100" w:before="180"/>
      </w:pPr>
      <w:r>
        <w:t xml:space="preserve">Attitudes Required for Theologising</w:t>
      </w:r>
    </w:p>
    <w:p>
      <w:pPr>
        <w:pStyle w:val="ListParagraph"/>
        <w:numPr>
          <w:ilvl w:val="0"/>
          <w:numId w:val="1"/>
        </w:numPr>
        <w:spacing w:after="80"/>
      </w:pPr>
      <w:r>
        <w:rPr>
          <w:b/>
          <w:bCs/>
        </w:rPr>
        <w:t xml:space="preserve">Astonishment</w:t>
      </w:r>
      <w:r>
        <w:t xml:space="preserve">: wonder, essential at the very origin of theological inquiry.</w:t>
      </w:r>
    </w:p>
    <w:p>
      <w:pPr>
        <w:pStyle w:val="ListParagraph"/>
        <w:numPr>
          <w:ilvl w:val="0"/>
          <w:numId w:val="1"/>
        </w:numPr>
        <w:spacing w:after="80"/>
      </w:pPr>
      <w:r>
        <w:rPr>
          <w:b/>
          <w:bCs/>
        </w:rPr>
        <w:t xml:space="preserve">Concern</w:t>
      </w:r>
      <w:r>
        <w:t xml:space="preserve">: which follows naturally from that wonder.</w:t>
      </w:r>
    </w:p>
    <w:p>
      <w:pPr>
        <w:pStyle w:val="ListParagraph"/>
        <w:numPr>
          <w:ilvl w:val="0"/>
          <w:numId w:val="1"/>
        </w:numPr>
        <w:spacing w:after="80"/>
      </w:pPr>
      <w:r>
        <w:rPr>
          <w:b/>
          <w:bCs/>
        </w:rPr>
        <w:t xml:space="preserve">Commitment</w:t>
      </w:r>
      <w:r>
        <w:t xml:space="preserve">: since God’s Word asks something not only for the theologian but from the theologian, including ethical commitment, not just intellectual study.</w:t>
      </w:r>
      <w:r>
        <w:rPr>
          <w:rStyle w:val="FootnoteReference"/>
        </w:rPr>
        <w:footnoteReference w:id="35"/>
      </w:r>
    </w:p>
    <w:p>
      <w:pPr>
        <w:pStyle w:val="Heading3"/>
        <w:spacing w:after="100" w:before="180"/>
      </w:pPr>
      <w:r>
        <w:t xml:space="preserve">Faith</w:t>
      </w:r>
    </w:p>
    <w:p>
      <w:pPr>
        <w:spacing w:after="120"/>
      </w:pPr>
      <w:r>
        <w:t xml:space="preserve">For Barth, Faith is not merely “believing that” (credere quod, assenting to propositions) but “believing in” (credere in, a living relationship). “Faith is a history, new every morning.” One must have faith in order to genuinely be a theologian at all.</w:t>
      </w:r>
      <w:r>
        <w:rPr>
          <w:rStyle w:val="FootnoteReference"/>
        </w:rPr>
        <w:footnoteReference w:id="36"/>
      </w:r>
    </w:p>
    <w:p>
      <w:pPr>
        <w:pStyle w:val="Heading3"/>
        <w:spacing w:after="100" w:before="180"/>
      </w:pPr>
      <w:r>
        <w:t xml:space="preserve">Some Evaluative Comments</w:t>
      </w:r>
    </w:p>
    <w:p>
      <w:pPr>
        <w:spacing w:after="120"/>
      </w:pPr>
      <w:r>
        <w:t xml:space="preserve">Barth’s theology strongly emphasises God’s transcendence, sometimes at the expense of the human side of the equation. One significant weakness this creates: Barth’s approach struggles to account theologically for the existence of other religions, generally treating them only in negative terms.</w:t>
      </w:r>
      <w:r>
        <w:rPr>
          <w:rStyle w:val="FootnoteReference"/>
        </w:rPr>
        <w:footnoteReference w:id="37"/>
      </w:r>
    </w:p>
    <w:p>
      <w:pPr>
        <w:pStyle w:val="Heading2"/>
        <w:spacing w:after="120" w:before="220"/>
      </w:pPr>
      <w:r>
        <w:t xml:space="preserve">F. Theology as Theological Anthropology: Karl Rahner</w:t>
      </w:r>
    </w:p>
    <w:p>
      <w:pPr>
        <w:pStyle w:val="Heading3"/>
        <w:spacing w:after="100" w:before="180"/>
      </w:pPr>
      <w:r>
        <w:t xml:space="preserve">About Karl Rahner</w:t>
      </w:r>
    </w:p>
    <w:p>
      <w:pPr>
        <w:spacing w:after="120"/>
      </w:pPr>
      <w:r>
        <w:rPr>
          <w:b/>
          <w:bCs/>
        </w:rPr>
        <w:t xml:space="preserve">Karl Rahner (1904-1984)</w:t>
      </w:r>
      <w:r>
        <w:t xml:space="preserve"> is widely seen as the leading figure behind the renewal of Catholic theology in the mid-twentieth century. He insisted that Catholic theologians must situate themselves inside the faith of the Church, truly making that faith their own rather than passively repeating it, what he called a genuinely “personal theology.” For Rahner, theology cannot be done without philosophy: “non-philosophical theology is bad theology.”</w:t>
      </w:r>
      <w:r>
        <w:rPr>
          <w:rStyle w:val="FootnoteReference"/>
        </w:rPr>
        <w:footnoteReference w:id="38"/>
      </w:r>
    </w:p>
    <w:p>
      <w:pPr>
        <w:pStyle w:val="Heading3"/>
        <w:spacing w:after="100" w:before="180"/>
      </w:pPr>
      <w:r>
        <w:t xml:space="preserve">The Anthropological Presuppositions</w:t>
      </w:r>
    </w:p>
    <w:p>
      <w:pPr>
        <w:spacing w:after="120"/>
      </w:pPr>
      <w:r>
        <w:t xml:space="preserve">Rahner’s central idea is the transcendence of the human spirit: human beings, though bound to this world, can reach toward “absolute being.” We can only grasp that finite things are finite because we implicitly sense an unlimited horizon behind them. The human being, for Rahner, is a restless, questioning being, always reaching beyond what it currently grasps, open to transcendence in a way that is always implicit, unthematic, never fully spelled out as an object.</w:t>
      </w:r>
      <w:r>
        <w:rPr>
          <w:rStyle w:val="FootnoteReference"/>
        </w:rPr>
        <w:footnoteReference w:id="39"/>
      </w:r>
    </w:p>
    <w:p>
      <w:pPr>
        <w:spacing w:after="120"/>
      </w:pPr>
      <w:r>
        <w:t xml:space="preserve">Humans are also, at the same time, embodied spirits, intellectual knowledge always works through the senses, and historical spirits, our bodily, material existence places us inside the unfolding stream of history. Rahner also draws on Aristotle’s and Aquinas’ theory of matter and form (hylemorphism) to explain how spirit and matter can be radically distinct and yet intimately one, just as a person’s spirit is not their body, yet a person truly is their body.</w:t>
      </w:r>
      <w:r>
        <w:rPr>
          <w:rStyle w:val="FootnoteReference"/>
        </w:rPr>
        <w:footnoteReference w:id="40"/>
      </w:r>
    </w:p>
    <w:p>
      <w:pPr>
        <w:pBdr>
          <w:left w:val="single" w:color="1565C0" w:sz="24"/>
        </w:pBdr>
        <w:shd w:fill="E3F2FD" w:val="clear"/>
        <w:spacing w:after="160" w:before="160"/>
        <w:ind w:left="240"/>
      </w:pPr>
      <w:r>
        <w:rPr>
          <w:b/>
          <w:bCs/>
          <w:color w:val="1565C0"/>
        </w:rPr>
        <w:t xml:space="preserve">EXAMPLE: </w:t>
      </w:r>
      <w:r>
        <w:t xml:space="preserve">Because of all this, Rahner insists all theological questions must be examined transcendentally: what are the underlying conditions in the human person that make it even possible to receive a theological answer at all? This does not mean theology is reduced to human self-projection, Modernism, Rahner explicitly rejects that.</w:t>
      </w:r>
      <w:r>
        <w:rPr>
          <w:rStyle w:val="FootnoteReference"/>
        </w:rPr>
        <w:footnoteReference w:id="41"/>
      </w:r>
    </w:p>
    <w:p>
      <w:pPr>
        <w:pStyle w:val="Heading3"/>
        <w:spacing w:after="100" w:before="180"/>
      </w:pPr>
      <w:r>
        <w:t xml:space="preserve">The Place and Figure of Jesus Christ</w:t>
      </w:r>
    </w:p>
    <w:p>
      <w:pPr>
        <w:spacing w:after="120"/>
      </w:pPr>
      <w:r>
        <w:t xml:space="preserve">Rahner situates Christ within an evolutionary view of the world: since God is present to every created being, matter carries within it the possibility of transcending itself, eventually developing into the human. Since humans are, in their very constitution, searching for God and existing historically, if God is to respond to this longing meaningfully, he must do so in history. This is exactly what happens in the </w:t>
      </w:r>
      <w:r>
        <w:rPr>
          <w:b/>
          <w:bCs/>
        </w:rPr>
        <w:t xml:space="preserve">Incarnation</w:t>
      </w:r>
      <w:r>
        <w:t xml:space="preserve">, not a strange, unexpected event, but, in a real sense, what human beings were always structured to hope for.</w:t>
      </w:r>
      <w:r>
        <w:rPr>
          <w:rStyle w:val="FootnoteReference"/>
        </w:rPr>
        <w:footnoteReference w:id="42"/>
      </w:r>
    </w:p>
    <w:p>
      <w:pPr>
        <w:pStyle w:val="Heading3"/>
        <w:spacing w:after="100" w:before="180"/>
      </w:pPr>
      <w:r>
        <w:t xml:space="preserve">Nature and Grace, the Supernatural Existential</w:t>
      </w:r>
    </w:p>
    <w:p>
      <w:pPr>
        <w:spacing w:after="120"/>
      </w:pPr>
      <w:r>
        <w:t xml:space="preserve">Older Scholastic theology drew a sharp line between nature, what belongs to being human as such, and the supernatural, our calling to be children of God, which is above nature and known only through revelation. But if the supernatural is imagined as arriving purely from outside, it risks looking alien and irrelevant to real human life.</w:t>
      </w:r>
      <w:r>
        <w:rPr>
          <w:rStyle w:val="FootnoteReference"/>
        </w:rPr>
        <w:footnoteReference w:id="43"/>
      </w:r>
    </w:p>
    <w:p>
      <w:pPr>
        <w:pBdr>
          <w:left w:val="single" w:color="1565C0" w:sz="24"/>
        </w:pBdr>
        <w:shd w:fill="E3F2FD" w:val="clear"/>
        <w:spacing w:after="160" w:before="160"/>
        <w:ind w:left="240"/>
      </w:pPr>
      <w:r>
        <w:rPr>
          <w:b/>
          <w:bCs/>
          <w:color w:val="1565C0"/>
        </w:rPr>
        <w:t xml:space="preserve">EXAMPLE: </w:t>
      </w:r>
      <w:r>
        <w:t xml:space="preserve">Rahner’s famous solution is the </w:t>
      </w:r>
      <w:r>
        <w:rPr>
          <w:b/>
          <w:bCs/>
        </w:rPr>
        <w:t xml:space="preserve">Supernatural Existential</w:t>
      </w:r>
      <w:r>
        <w:t xml:space="preserve">. Because God genuinely wills the salvation of everyone, our actual, concrete, historical human condition has already been quietly raised to the supernatural level from the very start, by God’s free, gracious call, a real gift, but one that is never simply absent from human life as it actually exists. Rahner rejects any sharp separation between nature and grace: he locates the working of divine grace precisely inside ordinary human questioning, wondering and exploring.</w:t>
      </w:r>
      <w:r>
        <w:rPr>
          <w:rStyle w:val="FootnoteReference"/>
        </w:rPr>
        <w:footnoteReference w:id="44"/>
      </w:r>
    </w:p>
    <w:p>
      <w:pPr>
        <w:pStyle w:val="Heading3"/>
        <w:spacing w:after="100" w:before="180"/>
      </w:pPr>
      <w:r>
        <w:t xml:space="preserve">The Church and Sacred Scripture</w:t>
      </w:r>
    </w:p>
    <w:p>
      <w:pPr>
        <w:spacing w:after="120"/>
      </w:pPr>
      <w:r>
        <w:t xml:space="preserve">The Church is the lasting presence of Christ in the world. Christ’s revelation, first entrusted to the Apostolic Church, is made available today through Tradition and Scripture together. Scripture is “the book of the Church” and can only be properly recognised and read by the Church itself; the Church’s Teaching Office does not create the content of faith but is responsible for guarding and interpreting it faithfully.</w:t>
      </w:r>
      <w:r>
        <w:rPr>
          <w:rStyle w:val="FootnoteReference"/>
        </w:rPr>
        <w:footnoteReference w:id="45"/>
      </w:r>
    </w:p>
    <w:p>
      <w:pPr>
        <w:pStyle w:val="Heading3"/>
        <w:spacing w:after="100" w:before="180"/>
      </w:pPr>
      <w:r>
        <w:t xml:space="preserve">Faith</w:t>
      </w:r>
    </w:p>
    <w:p>
      <w:pPr>
        <w:spacing w:after="120"/>
      </w:pPr>
      <w:r>
        <w:t xml:space="preserve">Faith, for Rahner, is as complex as human existence itself. It genuinely has an intellectual dimension, an entirely irrational notion of faith would turn it into mere ideology.</w:t>
      </w:r>
      <w:r>
        <w:rPr>
          <w:rStyle w:val="FootnoteReference"/>
        </w:rPr>
        <w:footnoteReference w:id="46"/>
      </w:r>
    </w:p>
    <w:p>
      <w:pPr>
        <w:pStyle w:val="Heading3"/>
        <w:spacing w:after="100" w:before="180"/>
      </w:pPr>
      <w:r>
        <w:t xml:space="preserve">Some Evaluative Comments</w:t>
      </w:r>
    </w:p>
    <w:p>
      <w:pPr>
        <w:spacing w:after="120"/>
      </w:pPr>
      <w:r>
        <w:t xml:space="preserve">The most serious objection raised against his transcendental method concerns the risk of over-emphasising anthropology, and the delicate task of properly relating the human person’s transcendental a priori openness to God with the concrete, historical, a posteriori reality of Christianity itself.</w:t>
      </w:r>
      <w:r>
        <w:rPr>
          <w:rStyle w:val="FootnoteReference"/>
        </w:rPr>
        <w:footnoteReference w:id="47"/>
      </w:r>
    </w:p>
    <w:p>
      <w:pPr>
        <w:pStyle w:val="Heading2"/>
        <w:spacing w:after="120" w:before="220"/>
      </w:pPr>
      <w:r>
        <w:t xml:space="preserve">G. Theological Reflection as Critical Reflection on Christian Praxis</w:t>
      </w:r>
    </w:p>
    <w:p>
      <w:pPr>
        <w:pStyle w:val="Heading3"/>
        <w:spacing w:after="100" w:before="180"/>
      </w:pPr>
      <w:r>
        <w:t xml:space="preserve">Situating this Approach</w:t>
      </w:r>
    </w:p>
    <w:p>
      <w:pPr>
        <w:pBdr>
          <w:left w:val="single" w:color="2E7D32" w:sz="24"/>
        </w:pBdr>
        <w:shd w:fill="E8F5E9" w:val="clear"/>
        <w:spacing w:after="160" w:before="160"/>
        <w:ind w:left="240"/>
      </w:pPr>
      <w:r>
        <w:rPr>
          <w:b/>
          <w:bCs/>
          <w:color w:val="2E7D32"/>
        </w:rPr>
        <w:t xml:space="preserve">INDIAN CONTEXT: </w:t>
      </w:r>
      <w:r>
        <w:t xml:space="preserve">This is popularly called </w:t>
      </w:r>
      <w:r>
        <w:rPr>
          <w:b/>
          <w:bCs/>
        </w:rPr>
        <w:t xml:space="preserve">Liberation Theology</w:t>
      </w:r>
      <w:r>
        <w:t xml:space="preserve">, a model that emerged in the 1970s from the specific context of Latin America, marked by widespread dependence and oppression. It aims to make visible the theological meaning of suffering and oppression, and to challenge believers to actually do something about it. This is also the Model, alongside the Contemplative Approach, that arises directly from the demands of the Indian socio-economic context, since India’s own struggles against poverty and injustice gave rise to comparable Contextual Theologies such as Dalit and Tribal Theology, studied in Chapter 3.</w:t>
      </w:r>
      <w:r>
        <w:rPr>
          <w:rStyle w:val="FootnoteReference"/>
        </w:rPr>
        <w:footnoteReference w:id="48"/>
      </w:r>
    </w:p>
    <w:p>
      <w:pPr>
        <w:pStyle w:val="Heading3"/>
        <w:spacing w:after="100" w:before="180"/>
      </w:pPr>
      <w:r>
        <w:t xml:space="preserve">Involvement as the Point of Departure</w:t>
      </w:r>
    </w:p>
    <w:p>
      <w:pPr>
        <w:spacing w:after="120"/>
      </w:pPr>
      <w:r>
        <w:t xml:space="preserve">The radical new feature of this Model: its starting point is not an idea or a truth, but a praxis, a concrete involvement. It opens with three questions for the theologian or community:</w:t>
      </w:r>
    </w:p>
    <w:p>
      <w:pPr>
        <w:pStyle w:val="ListParagraph"/>
        <w:numPr>
          <w:ilvl w:val="0"/>
          <w:numId w:val="1"/>
        </w:numPr>
        <w:spacing w:after="80"/>
      </w:pPr>
      <w:r>
        <w:rPr>
          <w:b/>
          <w:bCs/>
        </w:rPr>
        <w:t xml:space="preserve">From where do theologians speak?</w:t>
      </w:r>
      <w:r>
        <w:t xml:space="preserve"> Every theological understanding is situated, made from a particular standpoint. This approach demands a genuinely transformed, changed life-style, not just new ideas.</w:t>
      </w:r>
    </w:p>
    <w:p>
      <w:pPr>
        <w:pStyle w:val="ListParagraph"/>
        <w:numPr>
          <w:ilvl w:val="0"/>
          <w:numId w:val="1"/>
        </w:numPr>
        <w:spacing w:after="80"/>
      </w:pPr>
      <w:r>
        <w:rPr>
          <w:b/>
          <w:bCs/>
        </w:rPr>
        <w:t xml:space="preserve">Why do theologians speak?</w:t>
      </w:r>
      <w:r>
        <w:t xml:space="preserve"> Theology exists to communicate the faith in a specific context, and to critically evaluate how the faith has already been expressed.</w:t>
      </w:r>
    </w:p>
    <w:p>
      <w:pPr>
        <w:pBdr>
          <w:left w:val="single" w:color="1565C0" w:sz="24"/>
        </w:pBdr>
        <w:shd w:fill="E3F2FD" w:val="clear"/>
        <w:spacing w:after="160" w:before="160"/>
        <w:ind w:left="240"/>
      </w:pPr>
      <w:r>
        <w:rPr>
          <w:b/>
          <w:bCs/>
          <w:color w:val="1565C0"/>
        </w:rPr>
        <w:t xml:space="preserve">EXAMPLE: </w:t>
      </w:r>
      <w:r>
        <w:rPr>
          <w:b/>
          <w:bCs/>
        </w:rPr>
        <w:t xml:space="preserve">To whom do theologians speak?</w:t>
      </w:r>
      <w:r>
        <w:t xml:space="preserve"> In the Latin American context, the primary audience is understood as not simply the non-believer, but the “non-person,” the poor and oppressed who are denied basic dignity. Genuine theology, on this view, requires a liberating commitment to the poor, since the option for the poor flows directly from faith.</w:t>
      </w:r>
      <w:r>
        <w:rPr>
          <w:rStyle w:val="FootnoteReference"/>
        </w:rPr>
        <w:footnoteReference w:id="49"/>
      </w:r>
    </w:p>
    <w:p>
      <w:pPr>
        <w:spacing w:after="120"/>
      </w:pPr>
      <w:r>
        <w:t xml:space="preserve">This approach begins from praxis and returns to a reformed praxis, what it calls </w:t>
      </w:r>
      <w:r>
        <w:rPr>
          <w:b/>
          <w:bCs/>
        </w:rPr>
        <w:t xml:space="preserve">orthopraxis</w:t>
      </w:r>
      <w:r>
        <w:t xml:space="preserve">, right practice, not merely orthodoxy, right belief.</w:t>
      </w:r>
    </w:p>
    <w:p>
      <w:pPr>
        <w:pStyle w:val="Heading3"/>
        <w:spacing w:after="100" w:before="180"/>
      </w:pPr>
      <w:r>
        <w:t xml:space="preserve">Theology as the Interaction of Context and the Theological Datum</w:t>
      </w:r>
    </w:p>
    <w:p>
      <w:pPr>
        <w:spacing w:after="120"/>
      </w:pPr>
      <w:r>
        <w:t xml:space="preserve">This Model takes the concrete situation of people as its actual starting point for theology, drawing on the Social Sciences to analyse the real causes of oppression. Hermeneutics, the art of interpreting texts for today, is central here, and this approach reads the Bible specifically from the standpoint of the poor and the oppressed.</w:t>
      </w:r>
      <w:r>
        <w:rPr>
          <w:rStyle w:val="FootnoteReference"/>
        </w:rPr>
        <w:footnoteReference w:id="50"/>
      </w:r>
      <w:r>
        <w:t xml:space="preserve"> In this light, the Exodus is read as the key paradigmatic Old Testament text revealing God’s true nature: God who liberates, who cares about justice, who remains compassionate. In the New Testament, the focus falls on the historical Jesus and his stance on justice and the liberation of the poor.</w:t>
      </w:r>
    </w:p>
    <w:p>
      <w:pPr>
        <w:pStyle w:val="Heading3"/>
        <w:spacing w:after="100" w:before="180"/>
      </w:pPr>
      <w:r>
        <w:t xml:space="preserve">A Holistic Understanding of Liberation</w:t>
      </w:r>
    </w:p>
    <w:p>
      <w:pPr>
        <w:pStyle w:val="ListParagraph"/>
        <w:numPr>
          <w:ilvl w:val="0"/>
          <w:numId w:val="1"/>
        </w:numPr>
        <w:spacing w:after="80"/>
      </w:pPr>
      <w:r>
        <w:rPr>
          <w:b/>
          <w:bCs/>
        </w:rPr>
        <w:t xml:space="preserve">Social-scientific level</w:t>
      </w:r>
      <w:r>
        <w:t xml:space="preserve">: analysing the actual economic and political situation, to build projects for a more just future.</w:t>
      </w:r>
    </w:p>
    <w:p>
      <w:pPr>
        <w:pStyle w:val="ListParagraph"/>
        <w:numPr>
          <w:ilvl w:val="0"/>
          <w:numId w:val="1"/>
        </w:numPr>
        <w:spacing w:after="80"/>
      </w:pPr>
      <w:r>
        <w:rPr>
          <w:b/>
          <w:bCs/>
        </w:rPr>
        <w:t xml:space="preserve">Philosophical-historical level</w:t>
      </w:r>
      <w:r>
        <w:t xml:space="preserve">: liberation as the gradual, ongoing conquest of authentic human freedom and dignity across history.</w:t>
      </w:r>
    </w:p>
    <w:p>
      <w:pPr>
        <w:pStyle w:val="ListParagraph"/>
        <w:numPr>
          <w:ilvl w:val="0"/>
          <w:numId w:val="1"/>
        </w:numPr>
        <w:spacing w:after="80"/>
      </w:pPr>
      <w:r>
        <w:rPr>
          <w:b/>
          <w:bCs/>
        </w:rPr>
        <w:t xml:space="preserve">Theological level</w:t>
      </w:r>
      <w:r>
        <w:t xml:space="preserve">: liberation as the very place where the salvation promised by Jesus Christ becomes real. These three levels are distinct but inseparable and mutually reinforcing.</w:t>
      </w:r>
      <w:r>
        <w:rPr>
          <w:rStyle w:val="FootnoteReference"/>
        </w:rPr>
        <w:footnoteReference w:id="51"/>
      </w:r>
    </w:p>
    <w:p>
      <w:pPr>
        <w:pStyle w:val="Heading3"/>
        <w:spacing w:after="100" w:before="180"/>
      </w:pPr>
      <w:r>
        <w:t xml:space="preserve">The Mission of the Church</w:t>
      </w:r>
    </w:p>
    <w:p>
      <w:pPr>
        <w:spacing w:after="120"/>
      </w:pPr>
      <w:r>
        <w:t xml:space="preserve">This Model gives special weight to the Church’s prophetic mission: to denounce sin and announce God’s salvation, concretely through an option for the poor that should shape every part of the Church’s life.</w:t>
      </w:r>
      <w:r>
        <w:rPr>
          <w:rStyle w:val="FootnoteReference"/>
        </w:rPr>
        <w:footnoteReference w:id="52"/>
      </w:r>
    </w:p>
    <w:p>
      <w:pPr>
        <w:pStyle w:val="Heading3"/>
        <w:spacing w:after="100" w:before="180"/>
      </w:pPr>
      <w:r>
        <w:t xml:space="preserve">Some Concluding Comments</w:t>
      </w:r>
    </w:p>
    <w:p>
      <w:pPr>
        <w:spacing w:after="120"/>
      </w:pPr>
      <w:r>
        <w:t xml:space="preserve">Two Vatican documents engaged critically with this Model: the Congregation for the Doctrine of the Faith’s Instruction on Certain Aspects of the Theology of Liberation (6 August 1984) and Instruction on Christian Freedom and Liberation (22 March 1986). While appreciating the genuine desire for liberation in this theology, these documents raised concerns about the uncritical adoption of Marxist social analysis and about treating violence as an acceptable means of change, except as an absolute last resort in extreme situations.</w:t>
      </w:r>
      <w:r>
        <w:rPr>
          <w:rStyle w:val="FootnoteReference"/>
        </w:rPr>
        <w:footnoteReference w:id="53"/>
      </w:r>
    </w:p>
    <w:p>
      <w:pPr>
        <w:pStyle w:val="Heading2"/>
        <w:spacing w:after="120" w:before="220"/>
      </w:pPr>
      <w:r>
        <w:t xml:space="preserve">H. A Contemplative Approach to Christian Theology: Swami Abhishiktananda</w:t>
      </w:r>
    </w:p>
    <w:p>
      <w:pPr>
        <w:pStyle w:val="Heading3"/>
        <w:spacing w:after="100" w:before="180"/>
      </w:pPr>
      <w:r>
        <w:t xml:space="preserve">About Abhishiktananda</w:t>
      </w:r>
    </w:p>
    <w:p>
      <w:pPr>
        <w:pBdr>
          <w:left w:val="single" w:color="2E7D32" w:sz="24"/>
        </w:pBdr>
        <w:shd w:fill="E8F5E9" w:val="clear"/>
        <w:spacing w:after="160" w:before="160"/>
        <w:ind w:left="240"/>
      </w:pPr>
      <w:r>
        <w:rPr>
          <w:b/>
          <w:bCs/>
          <w:color w:val="2E7D32"/>
        </w:rPr>
        <w:t xml:space="preserve">INDIAN CONTEXT: </w:t>
      </w:r>
      <w:r>
        <w:rPr>
          <w:b/>
          <w:bCs/>
        </w:rPr>
        <w:t xml:space="preserve">Swami Abhishiktananda (Henri Le Saux)</w:t>
      </w:r>
      <w:r>
        <w:t xml:space="preserve">, born 30 August 1910 in Brittany, France, entered the Benedictine Abbey of Sainte-Anne de Kergonan in 1929 and was ordained priest in 1935. In 1948 he sailed to India, joining Fr. Jules Monchanin at the </w:t>
      </w:r>
      <w:r>
        <w:rPr>
          <w:b/>
          <w:bCs/>
        </w:rPr>
        <w:t xml:space="preserve">Shantivanam Ashram</w:t>
      </w:r>
      <w:r>
        <w:t xml:space="preserve"> in Kulitalai, Tamil Nadu, and taking the name Abhishiktananda. He died on 7 December 1973 in Indore, India.</w:t>
      </w:r>
      <w:r>
        <w:rPr>
          <w:rStyle w:val="FootnoteReference"/>
        </w:rPr>
        <w:footnoteReference w:id="54"/>
      </w:r>
    </w:p>
    <w:p>
      <w:pPr>
        <w:spacing w:after="120"/>
      </w:pPr>
      <w:r>
        <w:t xml:space="preserve">Abhishiktananda realised that the Indian approach to God differs profoundly from the West’s. Where Christianity, historically shaped by Semitic and Greco-Roman patterns, understands revelation as a face to face encounter between God and the human person, the Hindu approach he encountered was, in his term, </w:t>
      </w:r>
      <w:r>
        <w:rPr>
          <w:b/>
          <w:bCs/>
        </w:rPr>
        <w:t xml:space="preserve">Advaitic</w:t>
      </w:r>
      <w:r>
        <w:t xml:space="preserve">, non-dual, it did not feel the need to objectify the Mystery experienced within the depths of one’s own being, and therefore resisted even naming, let alone defining, the Absolute Reality.</w:t>
      </w:r>
      <w:r>
        <w:rPr>
          <w:rStyle w:val="FootnoteReference"/>
        </w:rPr>
        <w:footnoteReference w:id="55"/>
      </w:r>
    </w:p>
    <w:p>
      <w:pPr>
        <w:pStyle w:val="Heading3"/>
        <w:spacing w:after="100" w:before="180"/>
      </w:pPr>
      <w:r>
        <w:t xml:space="preserve">The Conceptualised Approach and Experience</w:t>
      </w:r>
    </w:p>
    <w:p>
      <w:pPr>
        <w:pBdr>
          <w:left w:val="single" w:color="2E7D32" w:sz="24"/>
        </w:pBdr>
        <w:shd w:fill="E8F5E9" w:val="clear"/>
        <w:spacing w:after="160" w:before="160"/>
        <w:ind w:left="240"/>
      </w:pPr>
      <w:r>
        <w:rPr>
          <w:b/>
          <w:bCs/>
          <w:color w:val="2E7D32"/>
        </w:rPr>
        <w:t xml:space="preserve">INDIAN CONTEXT: </w:t>
      </w:r>
      <w:r>
        <w:t xml:space="preserve">The Mediterranean world was where God chose to reveal himself historically, and the West’s task was to give the Church the conceptual tools to articulate that revelation. Abhishiktananda believed </w:t>
      </w:r>
      <w:r>
        <w:rPr>
          <w:b/>
          <w:bCs/>
        </w:rPr>
        <w:t xml:space="preserve">India’s Advaitic experience has its own distinct calling</w:t>
      </w:r>
      <w:r>
        <w:t xml:space="preserve">: to lay a spiritual foundation for the Church’s contribution of Wisdom, which he saw as, in the design of Providence, a genuine “final preparation for the Gospel.” He held that Christianity cannot claim the universality it professes until it has genuinely recognised and integrated this Eastern spiritual experience.</w:t>
      </w:r>
      <w:r>
        <w:rPr>
          <w:rStyle w:val="FootnoteReference"/>
        </w:rPr>
        <w:footnoteReference w:id="56"/>
      </w:r>
    </w:p>
    <w:p>
      <w:pPr>
        <w:spacing w:after="120"/>
      </w:pPr>
      <w:r>
        <w:t xml:space="preserve">Concept and definition remain useful in their proper place, but Abhishiktananda insisted the real focus must be on realising the experience of divine sonship in the unity of the Spirit, an experience that happens “within.”</w:t>
      </w:r>
    </w:p>
    <w:p>
      <w:pPr>
        <w:pStyle w:val="Heading3"/>
        <w:spacing w:after="100" w:before="180"/>
      </w:pPr>
      <w:r>
        <w:t xml:space="preserve">Faith</w:t>
      </w:r>
    </w:p>
    <w:p>
      <w:pPr>
        <w:spacing w:after="120"/>
      </w:pPr>
      <w:r>
        <w:t xml:space="preserve">Faith, for Abhishiktananda, is the human being’s inner relation to what transcends us, a relation that is then articulated in beliefs, though “the certainty of faith transcends all conceptual analysis.” The intellect cannot fully comprehend this mystery, even when helped by grace.</w:t>
      </w:r>
      <w:r>
        <w:rPr>
          <w:rStyle w:val="FootnoteReference"/>
        </w:rPr>
        <w:footnoteReference w:id="57"/>
      </w:r>
    </w:p>
    <w:p>
      <w:pPr>
        <w:pStyle w:val="Heading3"/>
        <w:spacing w:after="100" w:before="180"/>
      </w:pPr>
      <w:r>
        <w:t xml:space="preserve">Revelation</w:t>
      </w:r>
    </w:p>
    <w:p>
      <w:pPr>
        <w:spacing w:after="120"/>
      </w:pPr>
      <w:r>
        <w:t xml:space="preserve">God has revealed himself in stages, becoming ever more inward as human beings became more able to receive his Word: first, a general </w:t>
      </w:r>
      <w:r>
        <w:rPr>
          <w:b/>
          <w:bCs/>
        </w:rPr>
        <w:t xml:space="preserve">Cosmic Revelation</w:t>
      </w:r>
      <w:r>
        <w:t xml:space="preserve">; then the direct revelation recorded in the Old Testament, which can be called, in a sense, the </w:t>
      </w:r>
      <w:r>
        <w:rPr>
          <w:b/>
          <w:bCs/>
        </w:rPr>
        <w:t xml:space="preserve">revelation of the Father</w:t>
      </w:r>
      <w:r>
        <w:t xml:space="preserve">; then the </w:t>
      </w:r>
      <w:r>
        <w:rPr>
          <w:b/>
          <w:bCs/>
        </w:rPr>
        <w:t xml:space="preserve">revelation of the Son</w:t>
      </w:r>
      <w:r>
        <w:t xml:space="preserve">; and finally the </w:t>
      </w:r>
      <w:r>
        <w:rPr>
          <w:b/>
          <w:bCs/>
        </w:rPr>
        <w:t xml:space="preserve">revelation of the Spirit</w:t>
      </w:r>
      <w:r>
        <w:t xml:space="preserve"> at Pentecost.</w:t>
      </w:r>
      <w:r>
        <w:rPr>
          <w:rStyle w:val="FootnoteReference"/>
        </w:rPr>
        <w:footnoteReference w:id="58"/>
      </w:r>
    </w:p>
    <w:p>
      <w:pPr>
        <w:pStyle w:val="Heading3"/>
        <w:spacing w:after="100" w:before="180"/>
      </w:pPr>
      <w:r>
        <w:t xml:space="preserve">Sacred Scripture</w:t>
      </w:r>
    </w:p>
    <w:p>
      <w:pPr>
        <w:pBdr>
          <w:left w:val="single" w:color="1565C0" w:sz="24"/>
        </w:pBdr>
        <w:shd w:fill="E3F2FD" w:val="clear"/>
        <w:spacing w:after="160" w:before="160"/>
        <w:ind w:left="240"/>
      </w:pPr>
      <w:r>
        <w:rPr>
          <w:b/>
          <w:bCs/>
          <w:color w:val="1565C0"/>
        </w:rPr>
        <w:t xml:space="preserve">EXAMPLE: </w:t>
      </w:r>
      <w:r>
        <w:t xml:space="preserve">The Bible must always be both the starting point and the point of return for the Christian. But it demands its own particular kind of reading: biblical intuitions must never be treated as though they were tight, technical Aristotelian definitions. This is why the Bible’s frequent, sometimes startling anthropomorphisms, describing God in human terms, are not really false, as long as one remains aware of God’s transcendence and does not confuse God with the images used to describe him.</w:t>
      </w:r>
      <w:r>
        <w:rPr>
          <w:rStyle w:val="FootnoteReference"/>
        </w:rPr>
        <w:footnoteReference w:id="59"/>
      </w:r>
    </w:p>
    <w:p>
      <w:pPr>
        <w:pStyle w:val="Heading3"/>
        <w:spacing w:after="100" w:before="180"/>
      </w:pPr>
      <w:r>
        <w:t xml:space="preserve">The Church</w:t>
      </w:r>
    </w:p>
    <w:p>
      <w:pPr>
        <w:spacing w:after="120"/>
      </w:pPr>
      <w:r>
        <w:t xml:space="preserve">The Church’s mission is to share with everyone the same experience of the Spirit that lived in Jesus, helping people discover something deeper even than the profoundest interiority found by sages and mystics: “the abyss of the heart of Christ.” All of the Church’s sacraments and ministries exist to serve this same awakening to God within.</w:t>
      </w:r>
      <w:r>
        <w:rPr>
          <w:rStyle w:val="FootnoteReference"/>
        </w:rPr>
        <w:footnoteReference w:id="60"/>
      </w:r>
    </w:p>
    <w:p>
      <w:pPr>
        <w:pStyle w:val="Heading3"/>
        <w:spacing w:after="100" w:before="180"/>
      </w:pPr>
      <w:r>
        <w:t xml:space="preserve">Theology as Holistic, Experiential and Advaitic</w:t>
      </w:r>
    </w:p>
    <w:p>
      <w:pPr>
        <w:spacing w:after="120"/>
      </w:pPr>
      <w:r>
        <w:t xml:space="preserve">Theology is, at root, a Word (Logos) about God, and since, as John’s Gospel says, “the Word is God,” it is only within God himself that this Word can truly be heard. Abhishiktananda professed a distinctly </w:t>
      </w:r>
      <w:r>
        <w:rPr>
          <w:b/>
          <w:bCs/>
        </w:rPr>
        <w:t xml:space="preserve">Christian Advaita</w:t>
      </w:r>
      <w:r>
        <w:t xml:space="preserve">, in which the Godhead is a communion of Persons in love.</w:t>
      </w:r>
      <w:r>
        <w:rPr>
          <w:rStyle w:val="FootnoteReference"/>
        </w:rPr>
        <w:footnoteReference w:id="61"/>
      </w:r>
    </w:p>
    <w:p>
      <w:pPr>
        <w:spacing w:after="120"/>
      </w:pPr>
      <w:r>
        <w:t xml:space="preserve">He described a stage of the spiritual journey he called the </w:t>
      </w:r>
      <w:r>
        <w:rPr>
          <w:b/>
          <w:bCs/>
        </w:rPr>
        <w:t xml:space="preserve">Advaitic night</w:t>
      </w:r>
      <w:r>
        <w:t xml:space="preserve">, in which all sense of individual separateness is swallowed up in God; yet awakening from this into an awareness of one’s own divine sonship, the person’s individuality is still held within the larger mystery of Christ’s own relationship to the Father, expressed in the cry “Abba.” Over time, one comes to realise both one’s own uniqueness and one’s communion with the divine mystery, and, alongside this, a “return of the cosmos,” in which all creation is rediscovered as already within the fullness of Christ, what Abhishiktananda calls a </w:t>
      </w:r>
      <w:r>
        <w:rPr>
          <w:b/>
          <w:bCs/>
        </w:rPr>
        <w:t xml:space="preserve">Christophany</w:t>
      </w:r>
      <w:r>
        <w:t xml:space="preserve">.</w:t>
      </w:r>
      <w:r>
        <w:rPr>
          <w:rStyle w:val="FootnoteReference"/>
        </w:rPr>
        <w:footnoteReference w:id="62"/>
      </w:r>
    </w:p>
    <w:p>
      <w:pPr>
        <w:pStyle w:val="Heading3"/>
        <w:spacing w:after="100" w:before="180"/>
      </w:pPr>
      <w:r>
        <w:t xml:space="preserve">Some Evaluative Comments</w:t>
      </w:r>
    </w:p>
    <w:p>
      <w:pPr>
        <w:spacing w:after="120" w:before="120"/>
        <w:ind w:left="720" w:right="720"/>
      </w:pPr>
      <w:r>
        <w:t xml:space="preserve">“To understand Abhishiktananda, his person and the work, what is required, I think, is more a theological sympathy than an objective analytical reason... the validity of Abhishiktananda’s witness exists primarily not in logical truth but in intuitive truth.”</w:t>
      </w:r>
    </w:p>
    <w:p>
      <w:pPr>
        <w:spacing w:after="120"/>
      </w:pPr>
      <w:r>
        <w:rPr/>
        <w:t xml:space="preserve">(Antony Kalliath, </w:t>
      </w:r>
      <w:r>
        <w:rPr>
          <w:i/>
          <w:iCs/>
        </w:rPr>
        <w:t xml:space="preserve">The Word in the Cave: The Experiential Journey of Swami Abhishiktananda to the Point of Hindu-Christian Meeting</w:t>
      </w:r>
      <w:r>
        <w:rPr/>
        <w:t xml:space="preserve">, New Delhi, 1996, 360, cited in Pathil and Veliath, </w:t>
      </w:r>
      <w:r>
        <w:rPr>
          <w:i/>
          <w:iCs/>
        </w:rPr>
        <w:t xml:space="preserve">An Introduction to Theology</w:t>
      </w:r>
      <w:r>
        <w:rPr/>
        <w:t xml:space="preserve">, chap. 4, sec. H.8.) Kalliath immediately adds that this does not mean his testimony is beyond all interpretation and critique through proper theological concepts.</w:t>
      </w:r>
      <w:r>
        <w:rPr>
          <w:rStyle w:val="FootnoteReference"/>
        </w:rPr>
        <w:footnoteReference w:id="63"/>
      </w:r>
    </w:p>
    <w:p>
      <w:pPr>
        <w:spacing w:after="120"/>
      </w:pPr>
      <w:r>
        <w:t xml:space="preserve">The book raises real questions about this approach: does it unduly downplay the intellectual and conceptual level of theology? Abhishiktananda’s own disciple, </w:t>
      </w:r>
      <w:r>
        <w:rPr>
          <w:b/>
          <w:bCs/>
        </w:rPr>
        <w:t xml:space="preserve">Bede Griffiths</w:t>
      </w:r>
      <w:r>
        <w:t xml:space="preserve">, objected that Abhishiktananda failed to keep the necessary balance between the rational and the intuitive, “diving deeply into the intuitive realm without the necessary accompaniment of reason.” Since all Catholic theology has a necessary community dimension, a purely experiential approach is hard to test by ordinary theological criteria.</w:t>
      </w:r>
      <w:r>
        <w:rPr>
          <w:rStyle w:val="FootnoteReference"/>
        </w:rPr>
        <w:footnoteReference w:id="64"/>
      </w:r>
    </w:p>
    <w:p>
      <w:pPr>
        <w:pBdr>
          <w:left w:val="single" w:color="1565C0" w:sz="24"/>
        </w:pBdr>
        <w:shd w:fill="E3F2FD" w:val="clear"/>
        <w:spacing w:after="160" w:before="160"/>
        <w:ind w:left="240"/>
      </w:pPr>
      <w:r>
        <w:rPr>
          <w:b/>
          <w:bCs/>
          <w:color w:val="1565C0"/>
        </w:rPr>
        <w:t xml:space="preserve">EXAMPLE: </w:t>
      </w:r>
      <w:r>
        <w:t xml:space="preserve">The theologian Jacques Dupuis observes that Abhishiktananda’s experience “seems to pose more than one dilemma: between a unity that abolishes distinctions and an interpersonal communion that deepens in direct proportion to the distinctions themselves.” But Dupuis also affirms that this same experience “opens an important avenue toward a Christian theology of religious traditions... based on an existential encounter with these traditions in interreligious dialogue.”</w:t>
      </w:r>
      <w:r>
        <w:rPr>
          <w:rStyle w:val="FootnoteReference"/>
        </w:rPr>
        <w:footnoteReference w:id="65"/>
      </w:r>
    </w:p>
    <w:p>
      <w:pPr>
        <w:pStyle w:val="Heading2"/>
        <w:spacing w:after="120" w:before="220"/>
      </w:pPr>
      <w:r>
        <w:t xml:space="preserve">Questions for Review</w:t>
      </w:r>
    </w:p>
    <w:p>
      <w:pPr>
        <w:pStyle w:val="ListParagraph"/>
        <w:spacing w:after="80"/>
        <w:ind w:left="720" w:hanging="360"/>
      </w:pPr>
      <w:r>
        <w:t xml:space="preserve">1. Basing ourselves on the theological approach of St. Ephraem as an exemplar, what are the advantages and disadvantages of using symbolism as a vehicle to express the Christian faith experience?</w:t>
      </w:r>
    </w:p>
    <w:p>
      <w:pPr>
        <w:pStyle w:val="ListParagraph"/>
        <w:spacing w:after="80"/>
        <w:ind w:left="720" w:hanging="360"/>
      </w:pPr>
      <w:r>
        <w:t xml:space="preserve">2. The approach of Thomas Aquinas has attempted to articulate theology into a science. What have been the advantages and disadvantages of such a procedure?</w:t>
      </w:r>
    </w:p>
    <w:p>
      <w:pPr>
        <w:pStyle w:val="ListParagraph"/>
        <w:spacing w:after="80"/>
        <w:ind w:left="720" w:hanging="360"/>
      </w:pPr>
      <w:r>
        <w:t xml:space="preserve">3. How significant is the role of the liturgy in the theological approach of the Orthodox Church as represented by Alexander Schmemann? Has this approach succeeded in integrating Christian life and Christian worship?</w:t>
      </w:r>
    </w:p>
    <w:p>
      <w:pPr>
        <w:pStyle w:val="ListParagraph"/>
        <w:spacing w:after="80"/>
        <w:ind w:left="720" w:hanging="360"/>
      </w:pPr>
      <w:r>
        <w:t xml:space="preserve">4. What according to you is the main thrust and message of the theology of the Reformers, especially Karl Barth? What are its strengths and weaknesses in the concrete?</w:t>
      </w:r>
    </w:p>
    <w:p>
      <w:pPr>
        <w:pStyle w:val="ListParagraph"/>
        <w:spacing w:after="80"/>
        <w:ind w:left="720" w:hanging="360"/>
      </w:pPr>
      <w:r>
        <w:t xml:space="preserve">5. In the final analysis, all theology has an anthropological dimension intrinsic to it. Highlight the contribution of Karl Rahner in this regard.</w:t>
      </w:r>
    </w:p>
    <w:p>
      <w:pPr>
        <w:pStyle w:val="ListParagraph"/>
        <w:spacing w:after="80"/>
        <w:ind w:left="720" w:hanging="360"/>
      </w:pPr>
      <w:r>
        <w:t xml:space="preserve">6. In what way can the Praxis model of Christian theology be considered a critique of the traditional approaches to theological reflection? What are its advantages and disadvantages?</w:t>
      </w:r>
    </w:p>
    <w:p>
      <w:pPr>
        <w:pStyle w:val="ListParagraph"/>
        <w:spacing w:after="80"/>
        <w:ind w:left="720" w:hanging="360"/>
      </w:pPr>
      <w:r>
        <w:t xml:space="preserve">7. The approach of Abhishiktananda has emphasized the experiential dimension of theological reflection. Has it sufficiently taken into account the community dimension, which is intrinsic to the self-understanding of Christianity? Highlight the advantages and problems of this stance.</w:t>
      </w:r>
      <w:r>
        <w:rPr>
          <w:rStyle w:val="FootnoteReference"/>
        </w:rPr>
        <w:footnoteReference w:id="66"/>
      </w:r>
    </w:p>
    <w:p>
      <w:pPr>
        <w:pStyle w:val="Heading2"/>
        <w:spacing w:after="120" w:before="220"/>
      </w:pPr>
      <w:r>
        <w:t xml:space="preserve">Select Bibliography</w:t>
      </w:r>
    </w:p>
    <w:p>
      <w:pPr>
        <w:spacing w:after="120"/>
      </w:pPr>
      <w:r>
        <w:t xml:space="preserve">As listed at the close of Chapter 4, arranged alphabetically.</w:t>
      </w:r>
    </w:p>
    <w:p>
      <w:pPr>
        <w:spacing w:after="120"/>
        <w:ind w:left="720" w:hanging="720"/>
      </w:pPr>
      <w:r>
        <w:rPr/>
        <w:t xml:space="preserve">Barth, Karl. </w:t>
      </w:r>
      <w:r>
        <w:rPr>
          <w:i/>
          <w:iCs/>
        </w:rPr>
        <w:t xml:space="preserve">Evangelical Theology: An Introduction</w:t>
      </w:r>
      <w:r>
        <w:rPr/>
        <w:t xml:space="preserve">. Translated by Grover Foley. London: Fontana Library, 1965.</w:t>
      </w:r>
    </w:p>
    <w:p>
      <w:pPr>
        <w:spacing w:after="120"/>
        <w:ind w:left="720" w:hanging="720"/>
      </w:pPr>
      <w:r>
        <w:rPr/>
        <w:t xml:space="preserve">Bevans, Stephen B. </w:t>
      </w:r>
      <w:r>
        <w:rPr>
          <w:i/>
          <w:iCs/>
        </w:rPr>
        <w:t xml:space="preserve">Models of Contextual Theology</w:t>
      </w:r>
      <w:r>
        <w:rPr/>
        <w:t xml:space="preserve">. New York: Orbis Books, 1992.</w:t>
      </w:r>
    </w:p>
    <w:p>
      <w:pPr>
        <w:spacing w:after="120"/>
        <w:ind w:left="720" w:hanging="720"/>
      </w:pPr>
      <w:r>
        <w:rPr/>
        <w:t xml:space="preserve">Brock, Sebastian. </w:t>
      </w:r>
      <w:r>
        <w:rPr>
          <w:i/>
          <w:iCs/>
        </w:rPr>
        <w:t xml:space="preserve">The Luminous Eye: The Spiritual World Vision of St. Ephraem</w:t>
      </w:r>
      <w:r>
        <w:rPr/>
        <w:t xml:space="preserve">. Placid Lectures. Rome: CIIS, 1985.</w:t>
      </w:r>
    </w:p>
    <w:p>
      <w:pPr>
        <w:spacing w:after="120"/>
        <w:ind w:left="720" w:hanging="720"/>
      </w:pPr>
      <w:r>
        <w:rPr/>
        <w:t xml:space="preserve">Fuellenbach, John, S.V.D. </w:t>
      </w:r>
      <w:r>
        <w:rPr>
          <w:i/>
          <w:iCs/>
        </w:rPr>
        <w:t xml:space="preserve">Theology of Liberation: Philosophical, Theological Background and Main Thrust</w:t>
      </w:r>
      <w:r>
        <w:rPr/>
        <w:t xml:space="preserve">. Indore: Satprakashan Sanchar, 1992.</w:t>
      </w:r>
    </w:p>
    <w:p>
      <w:pPr>
        <w:spacing w:after="120"/>
        <w:ind w:left="720" w:hanging="720"/>
      </w:pPr>
      <w:r>
        <w:rPr/>
        <w:t xml:space="preserve">Gilson, Étienne. </w:t>
      </w:r>
      <w:r>
        <w:rPr>
          <w:i/>
          <w:iCs/>
        </w:rPr>
        <w:t xml:space="preserve">History of Christian Philosophy in the Middle Ages</w:t>
      </w:r>
      <w:r>
        <w:rPr/>
        <w:t xml:space="preserve">. London: Sheed and Ward, 1955. pp. 361-383.</w:t>
      </w:r>
    </w:p>
    <w:p>
      <w:pPr>
        <w:spacing w:after="120"/>
        <w:ind w:left="720" w:hanging="720"/>
      </w:pPr>
      <w:r>
        <w:rPr/>
        <w:t xml:space="preserve">Kalliath, Antony, C.M.I. </w:t>
      </w:r>
      <w:r>
        <w:rPr>
          <w:i/>
          <w:iCs/>
        </w:rPr>
        <w:t xml:space="preserve">The Word in the Cave: The Experiential Journey of Swami Abhishiktananda to the Point of Hindu-Christian Meeting</w:t>
      </w:r>
      <w:r>
        <w:rPr/>
        <w:t xml:space="preserve">. New Delhi: Intercultural Publications, 1996.</w:t>
      </w:r>
    </w:p>
    <w:p>
      <w:pPr>
        <w:spacing w:after="120"/>
        <w:ind w:left="720" w:hanging="720"/>
      </w:pPr>
      <w:r>
        <w:rPr/>
        <w:t xml:space="preserve">Pathil, Kuncheria, and Dominic Veliath. </w:t>
      </w:r>
      <w:r>
        <w:rPr>
          <w:i/>
          <w:iCs/>
        </w:rPr>
        <w:t xml:space="preserve">An Introduction to Theology</w:t>
      </w:r>
      <w:r>
        <w:rPr/>
        <w:t xml:space="preserve">. Indian Theological Series. Publisher and year not verified in the source scan; confirm against the printed edition.</w:t>
      </w:r>
    </w:p>
    <w:p>
      <w:pPr>
        <w:spacing w:after="120"/>
        <w:ind w:left="720" w:hanging="720"/>
      </w:pPr>
      <w:r>
        <w:rPr/>
        <w:t xml:space="preserve">Roberts, Louis. </w:t>
      </w:r>
      <w:r>
        <w:rPr>
          <w:i/>
          <w:iCs/>
        </w:rPr>
        <w:t xml:space="preserve">The Achievement of Karl Rahner</w:t>
      </w:r>
      <w:r>
        <w:rPr/>
        <w:t xml:space="preserve">. New York: Herder and Herder, 1967.</w:t>
      </w:r>
    </w:p>
    <w:p>
      <w:pPr>
        <w:spacing w:after="120"/>
        <w:ind w:left="720" w:hanging="720"/>
      </w:pPr>
      <w:r>
        <w:rPr/>
        <w:t xml:space="preserve">Schmemann, Alexander. </w:t>
      </w:r>
      <w:r>
        <w:rPr>
          <w:i/>
          <w:iCs/>
        </w:rPr>
        <w:t xml:space="preserve">Introduction to Liturgical Theology</w:t>
      </w:r>
      <w:r>
        <w:rPr/>
        <w:t xml:space="preserve">. London: Faith Press, 1983.</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20"/>
          <w:szCs w:val="20"/>
        </w:rPr>
        <w:t xml:space="preserve">Kuncheria Pathil and Dominic Veliath, </w:t>
      </w:r>
      <w:r>
        <w:rPr>
          <w:i/>
          <w:iCs/>
          <w:sz w:val="20"/>
          <w:szCs w:val="20"/>
        </w:rPr>
        <w:t xml:space="preserve">An Introduction to Theology</w:t>
      </w:r>
      <w:r>
        <w:rPr>
          <w:sz w:val="20"/>
          <w:szCs w:val="20"/>
        </w:rPr>
        <w:t xml:space="preserve">, Indian Theological Series, chap. 4.</w:t>
      </w:r>
    </w:p>
  </w:footnote>
  <w:footnote w:id="2">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A.</w:t>
      </w:r>
    </w:p>
  </w:footnote>
  <w:footnote w:id="3">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A.</w:t>
      </w:r>
    </w:p>
  </w:footnote>
  <w:footnote w:id="4">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A.</w:t>
      </w:r>
    </w:p>
  </w:footnote>
  <w:footnote w:id="5">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B.1.</w:t>
      </w:r>
    </w:p>
  </w:footnote>
  <w:footnote w:id="6">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B.2.</w:t>
      </w:r>
    </w:p>
  </w:footnote>
  <w:footnote w:id="7">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B.2.a.</w:t>
      </w:r>
    </w:p>
  </w:footnote>
  <w:footnote w:id="8">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B.2.b.</w:t>
      </w:r>
    </w:p>
  </w:footnote>
  <w:footnote w:id="9">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B.2.c.</w:t>
      </w:r>
    </w:p>
  </w:footnote>
  <w:footnote w:id="10">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B.2.d.</w:t>
      </w:r>
    </w:p>
  </w:footnote>
  <w:footnote w:id="11">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B.2.e.</w:t>
      </w:r>
    </w:p>
  </w:footnote>
  <w:footnote w:id="12">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B.2.f.</w:t>
      </w:r>
    </w:p>
  </w:footnote>
  <w:footnote w:id="13">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C.1.</w:t>
      </w:r>
    </w:p>
  </w:footnote>
  <w:footnote w:id="14">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C.2.</w:t>
      </w:r>
    </w:p>
  </w:footnote>
  <w:footnote w:id="15">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C.3.</w:t>
      </w:r>
    </w:p>
  </w:footnote>
  <w:footnote w:id="16">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C.4.</w:t>
      </w:r>
    </w:p>
  </w:footnote>
  <w:footnote w:id="17">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C.4.</w:t>
      </w:r>
    </w:p>
  </w:footnote>
  <w:footnote w:id="18">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C.5.</w:t>
      </w:r>
    </w:p>
  </w:footnote>
  <w:footnote w:id="19">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C.6.</w:t>
      </w:r>
    </w:p>
  </w:footnote>
  <w:footnote w:id="20">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D.1.</w:t>
      </w:r>
    </w:p>
  </w:footnote>
  <w:footnote w:id="21">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D.2.</w:t>
      </w:r>
    </w:p>
  </w:footnote>
  <w:footnote w:id="22">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D.3.</w:t>
      </w:r>
    </w:p>
  </w:footnote>
  <w:footnote w:id="23">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D.4.</w:t>
      </w:r>
    </w:p>
  </w:footnote>
  <w:footnote w:id="24">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D.5.</w:t>
      </w:r>
    </w:p>
  </w:footnote>
  <w:footnote w:id="25">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D.6.</w:t>
      </w:r>
    </w:p>
  </w:footnote>
  <w:footnote w:id="26">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D.7.</w:t>
      </w:r>
    </w:p>
  </w:footnote>
  <w:footnote w:id="27">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E.1.</w:t>
      </w:r>
    </w:p>
  </w:footnote>
  <w:footnote w:id="28">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E.1.</w:t>
      </w:r>
    </w:p>
  </w:footnote>
  <w:footnote w:id="29">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E.1.</w:t>
      </w:r>
    </w:p>
  </w:footnote>
  <w:footnote w:id="30">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E.2.</w:t>
      </w:r>
    </w:p>
  </w:footnote>
  <w:footnote w:id="31">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E.2.</w:t>
      </w:r>
    </w:p>
  </w:footnote>
  <w:footnote w:id="32">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E.3.</w:t>
      </w:r>
    </w:p>
  </w:footnote>
  <w:footnote w:id="33">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E.4.</w:t>
      </w:r>
    </w:p>
  </w:footnote>
  <w:footnote w:id="34">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E.5.</w:t>
      </w:r>
    </w:p>
  </w:footnote>
  <w:footnote w:id="35">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E.6.</w:t>
      </w:r>
    </w:p>
  </w:footnote>
  <w:footnote w:id="36">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E.7.</w:t>
      </w:r>
    </w:p>
  </w:footnote>
  <w:footnote w:id="37">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E.8.</w:t>
      </w:r>
    </w:p>
  </w:footnote>
  <w:footnote w:id="38">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F.1.</w:t>
      </w:r>
    </w:p>
  </w:footnote>
  <w:footnote w:id="39">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F.2.</w:t>
      </w:r>
    </w:p>
  </w:footnote>
  <w:footnote w:id="40">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F.2.</w:t>
      </w:r>
    </w:p>
  </w:footnote>
  <w:footnote w:id="41">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F.2.</w:t>
      </w:r>
    </w:p>
  </w:footnote>
  <w:footnote w:id="42">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F.3.</w:t>
      </w:r>
    </w:p>
  </w:footnote>
  <w:footnote w:id="43">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F.4.</w:t>
      </w:r>
    </w:p>
  </w:footnote>
  <w:footnote w:id="44">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F.4.</w:t>
      </w:r>
    </w:p>
  </w:footnote>
  <w:footnote w:id="45">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F.5.</w:t>
      </w:r>
    </w:p>
  </w:footnote>
  <w:footnote w:id="46">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F.6.</w:t>
      </w:r>
    </w:p>
  </w:footnote>
  <w:footnote w:id="47">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F.7.</w:t>
      </w:r>
    </w:p>
  </w:footnote>
  <w:footnote w:id="48">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G.1.</w:t>
      </w:r>
    </w:p>
  </w:footnote>
  <w:footnote w:id="49">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G.2.</w:t>
      </w:r>
    </w:p>
  </w:footnote>
  <w:footnote w:id="50">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G.3.</w:t>
      </w:r>
    </w:p>
  </w:footnote>
  <w:footnote w:id="51">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G.4.</w:t>
      </w:r>
    </w:p>
  </w:footnote>
  <w:footnote w:id="52">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G.5.</w:t>
      </w:r>
    </w:p>
  </w:footnote>
  <w:footnote w:id="53">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G.6.</w:t>
      </w:r>
    </w:p>
  </w:footnote>
  <w:footnote w:id="54">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H.1.</w:t>
      </w:r>
    </w:p>
  </w:footnote>
  <w:footnote w:id="55">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H.1.</w:t>
      </w:r>
    </w:p>
  </w:footnote>
  <w:footnote w:id="56">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H.2.</w:t>
      </w:r>
    </w:p>
  </w:footnote>
  <w:footnote w:id="57">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H.3.</w:t>
      </w:r>
    </w:p>
  </w:footnote>
  <w:footnote w:id="58">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H.4.</w:t>
      </w:r>
    </w:p>
  </w:footnote>
  <w:footnote w:id="59">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H.5.</w:t>
      </w:r>
    </w:p>
  </w:footnote>
  <w:footnote w:id="60">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H.6.</w:t>
      </w:r>
    </w:p>
  </w:footnote>
  <w:footnote w:id="61">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H.7.</w:t>
      </w:r>
    </w:p>
  </w:footnote>
  <w:footnote w:id="62">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H.7.</w:t>
      </w:r>
    </w:p>
  </w:footnote>
  <w:footnote w:id="63">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H.8.</w:t>
      </w:r>
    </w:p>
  </w:footnote>
  <w:footnote w:id="64">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sec. H.8.</w:t>
      </w:r>
    </w:p>
  </w:footnote>
  <w:footnote w:id="65">
    <w:p>
      <w:r>
        <w:rPr>
          <w:rStyle w:val="FootnoteReference"/>
        </w:rPr>
        <w:footnoteRef/>
      </w:r>
      <w:r>
        <w:rPr>
          <w:sz w:val="20"/>
          <w:szCs w:val="20"/>
        </w:rPr>
        <w:t xml:space="preserve">Jacques Dupuis, </w:t>
      </w:r>
      <w:r>
        <w:rPr>
          <w:i/>
          <w:iCs/>
          <w:sz w:val="20"/>
          <w:szCs w:val="20"/>
        </w:rPr>
        <w:t xml:space="preserve">Jesus Christ at the Encounter of World Religions</w:t>
      </w:r>
      <w:r>
        <w:rPr>
          <w:sz w:val="20"/>
          <w:szCs w:val="20"/>
        </w:rPr>
        <w:t xml:space="preserve"> (New York, 1991), 90, cited in Pathil and Veliath, </w:t>
      </w:r>
      <w:r>
        <w:rPr>
          <w:i/>
          <w:iCs/>
          <w:sz w:val="20"/>
          <w:szCs w:val="20"/>
        </w:rPr>
        <w:t xml:space="preserve">An Introduction to Theology</w:t>
      </w:r>
      <w:r>
        <w:rPr>
          <w:sz w:val="20"/>
          <w:szCs w:val="20"/>
        </w:rPr>
        <w:t xml:space="preserve">, chap. 4, sec. H.8.</w:t>
      </w:r>
    </w:p>
  </w:footnote>
  <w:footnote w:id="66">
    <w:p>
      <w:r>
        <w:rPr>
          <w:rStyle w:val="FootnoteReference"/>
        </w:rPr>
        <w:footnoteRef/>
      </w:r>
      <w:r>
        <w:rPr>
          <w:sz w:val="20"/>
          <w:szCs w:val="20"/>
        </w:rPr>
        <w:t xml:space="preserve">Pathil and Veliath, </w:t>
      </w:r>
      <w:r>
        <w:rPr>
          <w:i/>
          <w:iCs/>
          <w:sz w:val="20"/>
          <w:szCs w:val="20"/>
        </w:rPr>
        <w:t xml:space="preserve">An Introduction to Theology</w:t>
      </w:r>
      <w:r>
        <w:rPr>
          <w:sz w:val="20"/>
          <w:szCs w:val="20"/>
        </w:rPr>
        <w:t xml:space="preserve">, chap. 4, end of chapter.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sz w:val="32"/>
      <w:szCs w:val="32"/>
    </w:rPr>
  </w:style>
  <w:style w:type="paragraph" w:styleId="Heading2">
    <w:name w:val="Heading 2"/>
    <w:basedOn w:val="Normal"/>
    <w:next w:val="Normal"/>
    <w:qFormat/>
    <w:rPr>
      <w:rFonts w:ascii="Times New Roman" w:cs="Times New Roman" w:eastAsia="Times New Roman" w:hAnsi="Times New Roman"/>
      <w:b/>
      <w:bCs/>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2026-07-15T19:42:12.866Z</dcterms:created>
  <dcterms:modified xsi:type="dcterms:W3CDTF">2026-07-15T19:42:12.867Z</dcterms:modified>
</cp:coreProperties>
</file>

<file path=docProps/custom.xml><?xml version="1.0" encoding="utf-8"?>
<Properties xmlns="http://schemas.openxmlformats.org/officeDocument/2006/custom-properties" xmlns:vt="http://schemas.openxmlformats.org/officeDocument/2006/docPropsVTypes"/>
</file>