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280"/>
      </w:pPr>
      <w:r>
        <w:t xml:space="preserve">Chapter 5: The Criteria of Christian Theological Reflection</w:t>
      </w:r>
    </w:p>
    <w:p>
      <w:pPr>
        <w:spacing w:after="120"/>
      </w:pPr>
      <w:r>
        <w:t xml:space="preserve">Class Notes on Kuncheria Pathil, CMI, and Dominic Veliath, SDB, </w:t>
      </w:r>
      <w:r>
        <w:rPr>
          <w:i/>
          <w:iCs/>
        </w:rPr>
        <w:t xml:space="preserve">An Introduction to Theology</w:t>
      </w:r>
      <w:r>
        <w:t xml:space="preserve">, Indian Theological Series. Written for students, in plain English, with the book’s own quotes and page references so you can check them yourself.</w:t>
      </w:r>
      <w:r>
        <w:rPr>
          <w:rStyle w:val="FootnoteReference"/>
        </w:rPr>
        <w:footnoteReference w:id="1"/>
      </w:r>
    </w:p>
    <w:p>
      <w:pPr>
        <w:spacing w:after="120"/>
      </w:pPr>
      <w:r>
        <w:t xml:space="preserve">Chapter 3 showed that Christian theology has always come in many legitimate forms. Chapter 4 showed seven of those forms up close, through seven theologians. This Chapter asks the natural next question: if there can be so many different theologies, how do we tell a genuinely Catholic theology from one that has drifted outside the Catholic tradition? In other words, what are the criteria, the tests, that mark out authentic Catholic theological reflection?</w:t>
      </w:r>
    </w:p>
    <w:p>
      <w:pPr>
        <w:pStyle w:val="Heading2"/>
        <w:spacing w:after="120" w:before="220"/>
      </w:pPr>
      <w:r>
        <w:t xml:space="preserve">A. The Issue and Need for Criteria</w:t>
      </w:r>
    </w:p>
    <w:p>
      <w:pPr>
        <w:spacing w:after="120"/>
      </w:pPr>
      <w:r>
        <w:t xml:space="preserve">This Chapter revisits some themes already covered earlier, Scripture, Tradition, the Magisterium, but from a new angle: not what are the sources of theology, but what marks the boundary of authentic Christian theological reflection.</w:t>
      </w:r>
      <w:r>
        <w:rPr>
          <w:rStyle w:val="FootnoteReference"/>
        </w:rPr>
        <w:footnoteReference w:id="2"/>
      </w:r>
    </w:p>
    <w:p>
      <w:pPr>
        <w:pBdr>
          <w:left w:val="single" w:color="1565C0" w:sz="24"/>
        </w:pBdr>
        <w:shd w:fill="E3F2FD" w:val="clear"/>
        <w:spacing w:after="160" w:before="160"/>
        <w:ind w:left="240"/>
      </w:pPr>
      <w:r>
        <w:rPr>
          <w:b/>
          <w:bCs/>
          <w:color w:val="1565C0"/>
        </w:rPr>
        <w:t xml:space="preserve">EXAMPLE: </w:t>
      </w:r>
      <w:r>
        <w:t xml:space="preserve">The theologian Roy Eckhart makes a useful practical suggestion: “a sensible way to discover what an enterprise means is to look at what its practitioners do.”</w:t>
      </w:r>
      <w:r>
        <w:rPr>
          <w:rStyle w:val="FootnoteReference"/>
        </w:rPr>
        <w:footnoteReference w:id="3"/>
      </w:r>
      <w:r>
        <w:t xml:space="preserve"> Applying this to Christian theology: Christianity has “a certain givenness,” a definite identity and real limits. It is not simply whatever Christians happen to say it is, because that would erase the very idea that Christianity has a real content handed down from the past.</w:t>
      </w:r>
    </w:p>
    <w:p>
      <w:pPr>
        <w:spacing w:after="120"/>
      </w:pPr>
      <w:r>
        <w:rPr/>
        <w:t xml:space="preserve">At the same time, Catholic theology genuinely accepts pluralism. Pope Paul VI’s </w:t>
      </w:r>
      <w:r>
        <w:rPr>
          <w:i/>
          <w:iCs/>
        </w:rPr>
        <w:t xml:space="preserve">Evangelii Nuntiandi</w:t>
      </w:r>
      <w:r>
        <w:rPr/>
        <w:t xml:space="preserve"> names the balancing act precisely: theology must be free to speak in the language of different cultures, social settings and peoples, but “the content of faith be neither impaired nor mutilated.”</w:t>
      </w:r>
      <w:r>
        <w:rPr>
          <w:rStyle w:val="FootnoteReference"/>
        </w:rPr>
        <w:footnoteReference w:id="4"/>
      </w:r>
      <w:r>
        <w:t xml:space="preserve"> This raises the Chapter’s core question: where does legitimate pluralism end, and heterodoxy, wrong belief, begin?</w:t>
      </w:r>
    </w:p>
    <w:p>
      <w:pPr>
        <w:pStyle w:val="Heading2"/>
        <w:spacing w:after="120" w:before="220"/>
      </w:pPr>
      <w:r>
        <w:t xml:space="preserve">B. The Problem of the Criterion of the Criterion</w:t>
      </w:r>
    </w:p>
    <w:p>
      <w:pPr>
        <w:pBdr>
          <w:left w:val="single" w:color="1565C0" w:sz="24"/>
        </w:pBdr>
        <w:shd w:fill="E3F2FD" w:val="clear"/>
        <w:spacing w:after="160" w:before="160"/>
        <w:ind w:left="240"/>
      </w:pPr>
      <w:r>
        <w:rPr>
          <w:b/>
          <w:bCs/>
          <w:color w:val="1565C0"/>
        </w:rPr>
        <w:t xml:space="preserve">EXAMPLE: </w:t>
      </w:r>
      <w:r>
        <w:t xml:space="preserve">A criterion is simply a standard by which something is judged. But there is a catch: choosing which criterion to use already involves a prior choice of values, and that prior choice can secretly presuppose the very conclusion you are trying to test. This is why the Indian theologian </w:t>
      </w:r>
      <w:r>
        <w:rPr>
          <w:b/>
          <w:bCs/>
        </w:rPr>
        <w:t xml:space="preserve">Raimundo Panikkar</w:t>
      </w:r>
      <w:r>
        <w:t xml:space="preserve"> posed the sharp, honest question: “What is the criterion of the criterion?”</w:t>
      </w:r>
      <w:r>
        <w:rPr>
          <w:rStyle w:val="FootnoteReference"/>
        </w:rPr>
        <w:footnoteReference w:id="5"/>
      </w:r>
    </w:p>
    <w:p>
      <w:pPr>
        <w:pStyle w:val="Heading2"/>
        <w:spacing w:after="120" w:before="220"/>
      </w:pPr>
      <w:r>
        <w:t xml:space="preserve">C. The Roman Catholic Stance on the Issue</w:t>
      </w:r>
    </w:p>
    <w:p>
      <w:pPr>
        <w:spacing w:after="120"/>
      </w:pPr>
      <w:r>
        <w:t xml:space="preserve">Whether a theology can rightly be called Catholic depends not just on whether it makes sense on its own terms, but on whether it harmonises with the Church’s own self-understanding.</w:t>
      </w:r>
      <w:r>
        <w:rPr>
          <w:rStyle w:val="FootnoteReference"/>
        </w:rPr>
        <w:footnoteReference w:id="6"/>
      </w:r>
      <w:r>
        <w:t xml:space="preserve"> From her own faith perspective, the Roman Catholic Church understands herself as the community that received God’s covenant relationship with humanity, a relationship made perfect and definitive in Jesus Christ, known through the witness of the Apostles.</w:t>
      </w:r>
    </w:p>
    <w:p>
      <w:pPr>
        <w:spacing w:after="120"/>
      </w:pPr>
      <w:r>
        <w:t xml:space="preserve">From this self-understanding, three features mark Roman Catholic theology:</w:t>
      </w:r>
    </w:p>
    <w:p>
      <w:pPr>
        <w:pStyle w:val="ListParagraph"/>
        <w:numPr>
          <w:ilvl w:val="0"/>
          <w:numId w:val="1"/>
        </w:numPr>
        <w:spacing w:after="80"/>
      </w:pPr>
      <w:r>
        <w:t xml:space="preserve">It is </w:t>
      </w:r>
      <w:r>
        <w:rPr>
          <w:b/>
          <w:bCs/>
        </w:rPr>
        <w:t xml:space="preserve">belief lived from within faith commitment</w:t>
      </w:r>
      <w:r>
        <w:t xml:space="preserve">, not simply an objective, detached science, it carries a personal dimension.</w:t>
      </w:r>
    </w:p>
    <w:p>
      <w:pPr>
        <w:pStyle w:val="ListParagraph"/>
        <w:numPr>
          <w:ilvl w:val="0"/>
          <w:numId w:val="1"/>
        </w:numPr>
        <w:spacing w:after="80"/>
      </w:pPr>
      <w:r>
        <w:t xml:space="preserve">It is a </w:t>
      </w:r>
      <w:r>
        <w:rPr>
          <w:b/>
          <w:bCs/>
        </w:rPr>
        <w:t xml:space="preserve">response to Revelation</w:t>
      </w:r>
      <w:r>
        <w:t xml:space="preserve">, and therefore has a character of givenness.</w:t>
      </w:r>
    </w:p>
    <w:p>
      <w:pPr>
        <w:pStyle w:val="ListParagraph"/>
        <w:numPr>
          <w:ilvl w:val="0"/>
          <w:numId w:val="1"/>
        </w:numPr>
        <w:spacing w:after="80"/>
      </w:pPr>
      <w:r>
        <w:t xml:space="preserve">It has an essential </w:t>
      </w:r>
      <w:r>
        <w:rPr>
          <w:b/>
          <w:bCs/>
        </w:rPr>
        <w:t xml:space="preserve">communitarian dimension</w:t>
      </w:r>
      <w:r>
        <w:t xml:space="preserve">, it is the reflection of a person within the community.</w:t>
      </w:r>
      <w:r>
        <w:rPr>
          <w:rStyle w:val="FootnoteReference"/>
        </w:rPr>
        <w:footnoteReference w:id="7"/>
      </w:r>
    </w:p>
    <w:p>
      <w:pPr>
        <w:pStyle w:val="Heading2"/>
        <w:spacing w:after="120" w:before="220"/>
      </w:pPr>
      <w:r>
        <w:t xml:space="preserve">D. The Self-Understanding of the Church</w:t>
      </w:r>
    </w:p>
    <w:p>
      <w:pPr>
        <w:spacing w:after="120"/>
      </w:pPr>
      <w:r>
        <w:t xml:space="preserve">Since theology is the Church’s own reflection, we first need to understand what the Church herself is. The Church is a sacrament, meaning a sign and instrument, of the Good News of God’s saving work in Jesus Christ. She carries out three tasks:</w:t>
      </w:r>
      <w:r>
        <w:rPr>
          <w:rStyle w:val="FootnoteReference"/>
        </w:rPr>
        <w:footnoteReference w:id="8"/>
      </w:r>
    </w:p>
    <w:p>
      <w:pPr>
        <w:pStyle w:val="ListParagraph"/>
        <w:numPr>
          <w:ilvl w:val="0"/>
          <w:numId w:val="1"/>
        </w:numPr>
        <w:spacing w:after="80"/>
      </w:pPr>
      <w:r>
        <w:rPr>
          <w:b/>
          <w:bCs/>
        </w:rPr>
        <w:t xml:space="preserve">Martyria</w:t>
      </w:r>
      <w:r>
        <w:t xml:space="preserve"> (witness): announcing and confessing the faith.</w:t>
      </w:r>
    </w:p>
    <w:p>
      <w:pPr>
        <w:pStyle w:val="ListParagraph"/>
        <w:numPr>
          <w:ilvl w:val="0"/>
          <w:numId w:val="1"/>
        </w:numPr>
        <w:spacing w:after="80"/>
      </w:pPr>
      <w:r>
        <w:rPr>
          <w:b/>
          <w:bCs/>
        </w:rPr>
        <w:t xml:space="preserve">Leitourgia</w:t>
      </w:r>
      <w:r>
        <w:t xml:space="preserve"> (liturgy): professing that faith in the sacraments and in prayer.</w:t>
      </w:r>
    </w:p>
    <w:p>
      <w:pPr>
        <w:pStyle w:val="ListParagraph"/>
        <w:numPr>
          <w:ilvl w:val="0"/>
          <w:numId w:val="1"/>
        </w:numPr>
        <w:spacing w:after="80"/>
      </w:pPr>
      <w:r>
        <w:rPr>
          <w:b/>
          <w:bCs/>
        </w:rPr>
        <w:t xml:space="preserve">Diakonia</w:t>
      </w:r>
      <w:r>
        <w:t xml:space="preserve"> (service): serving Christ in the poor, the persecuted, the imprisoned, the sick and the dying (Mt 25).</w:t>
      </w:r>
    </w:p>
    <w:p>
      <w:pPr>
        <w:spacing w:after="120"/>
      </w:pPr>
      <w:r>
        <w:t xml:space="preserve">Vatican II offered an important insight here: the whole People of God, not only the clergy, has been addressed by God’s Word, which dwells in the Church through the Holy Spirit. This Word is articulated through a whole network of relationships, the baptised, professional theologians, and the college of bishops each have a role to play.</w:t>
      </w:r>
    </w:p>
    <w:p>
      <w:pPr>
        <w:pStyle w:val="Heading2"/>
        <w:spacing w:after="120" w:before="220"/>
      </w:pPr>
      <w:r>
        <w:t xml:space="preserve">E. A Brief Historical Excursus on the Christian Fact</w:t>
      </w:r>
    </w:p>
    <w:p>
      <w:pPr>
        <w:spacing w:after="120"/>
      </w:pPr>
      <w:r>
        <w:t xml:space="preserve">Christian Revelation understands itself as </w:t>
      </w:r>
      <w:r>
        <w:rPr>
          <w:b/>
          <w:bCs/>
        </w:rPr>
        <w:t xml:space="preserve">Salvation History</w:t>
      </w:r>
      <w:r>
        <w:rPr/>
        <w:t xml:space="preserve">, God’s saving plan unfolding in real time through real events, culminating in Jesus Christ. “The Gospel of Jesus Christ” is “the source of all saving truth and moral discipline” (</w:t>
      </w:r>
      <w:r>
        <w:rPr>
          <w:i/>
          <w:iCs/>
        </w:rPr>
        <w:t xml:space="preserve">Dei Verbum</w:t>
      </w:r>
      <w:r>
        <w:rPr/>
        <w:t xml:space="preserve">, no. 7).</w:t>
      </w:r>
      <w:r>
        <w:rPr>
          <w:rStyle w:val="FootnoteReference"/>
        </w:rPr>
        <w:footnoteReference w:id="9"/>
      </w:r>
      <w:r>
        <w:t xml:space="preserve"> This was handed on, orally and in writing, by those Christ authorised, and continued through apostolic succession.</w:t>
      </w:r>
    </w:p>
    <w:p>
      <w:pPr>
        <w:spacing w:after="120"/>
      </w:pPr>
      <w:r>
        <w:rPr/>
        <w:t xml:space="preserve">This living transmission “accomplished in the Holy Spirit” is called Tradition, distinct from Scripture but closely connected to it: “the Church in her doctrine, life and worship, perpetuates and transmits to every generation all that she herself is, all that she believes” (</w:t>
      </w:r>
      <w:r>
        <w:rPr>
          <w:i/>
          <w:iCs/>
        </w:rPr>
        <w:t xml:space="preserve">Dei Verbum</w:t>
      </w:r>
      <w:r>
        <w:rPr/>
        <w:t xml:space="preserve">, no. 8).</w:t>
      </w:r>
      <w:r>
        <w:rPr>
          <w:rStyle w:val="FootnoteReference"/>
        </w:rPr>
        <w:footnoteReference w:id="10"/>
      </w:r>
    </w:p>
    <w:p>
      <w:pPr>
        <w:spacing w:after="120"/>
      </w:pPr>
      <w:r>
        <w:rPr/>
        <w:t xml:space="preserve">Very early on, even during St. Paul’s own lifetime, the Apostles already had to guard against false teaching and division (Rom 16:17-18; Eph 4). They entrusted the “sacred deposit” of faith to the whole Church: “By adhering to this heritage, the entire holy people, united to its pastors, remain always faithful to the teaching of the apostles... there should be a remarkable harmony between the bishops and faithful” (</w:t>
      </w:r>
      <w:r>
        <w:rPr>
          <w:i/>
          <w:iCs/>
        </w:rPr>
        <w:t xml:space="preserve">Dei Verbum</w:t>
      </w:r>
      <w:r>
        <w:rPr/>
        <w:t xml:space="preserve">, no. 10).</w:t>
      </w:r>
      <w:r>
        <w:rPr>
          <w:rStyle w:val="FootnoteReference"/>
        </w:rPr>
        <w:footnoteReference w:id="11"/>
      </w:r>
    </w:p>
    <w:p>
      <w:pPr>
        <w:spacing w:after="120"/>
      </w:pPr>
      <w:r>
        <w:t xml:space="preserve">By the time of the Fathers of the Church, the word paradosis, Tradition, generally meant the entire content of the Christian faith, and included three elements: a deposit that is handed on, a living teaching authority, and a transmission through succession.</w:t>
      </w:r>
    </w:p>
    <w:p>
      <w:pPr>
        <w:pStyle w:val="Heading3"/>
        <w:spacing w:after="100" w:before="180"/>
      </w:pPr>
      <w:r>
        <w:t xml:space="preserve">1. Sacred Scripture</w:t>
      </w:r>
    </w:p>
    <w:p>
      <w:pPr>
        <w:spacing w:after="120"/>
      </w:pPr>
      <w:r>
        <w:t xml:space="preserve">The Church did not invent which books count as Scripture; through Apostolic Tradition, she recognised which writings were genuinely apostolic and, in doing so, fixed the Canon. “Sacred Scripture is the norm of our faith only when conjoined with the Church and her tradition.”</w:t>
      </w:r>
      <w:r>
        <w:rPr>
          <w:rStyle w:val="FootnoteReference"/>
        </w:rPr>
        <w:footnoteReference w:id="12"/>
      </w:r>
    </w:p>
    <w:p>
      <w:pPr>
        <w:spacing w:after="120"/>
      </w:pPr>
      <w:r>
        <w:t xml:space="preserve">The full list of Sacred Books recognised by the Catholic Church:</w:t>
      </w:r>
    </w:p>
    <w:p>
      <w:pPr>
        <w:pStyle w:val="ListParagraph"/>
        <w:numPr>
          <w:ilvl w:val="0"/>
          <w:numId w:val="1"/>
        </w:numPr>
        <w:spacing w:after="80"/>
      </w:pPr>
      <w:r>
        <w:rPr>
          <w:b/>
          <w:bCs/>
        </w:rPr>
        <w:t xml:space="preserve">Old Testament</w:t>
      </w:r>
      <w:r>
        <w:t xml:space="preserve">: Genesis, Exodus, Leviticus, Numbers, Deuteronomy, Joshua, Judges, Ruth, 1 and 2 Samuel, 1 and 2 Kings, 1 and 2 Chronicles, Ezra, Nehemiah, Tobit, Judith, Esther, 1 and 2 Maccabees, Job, Psalms, Proverbs, Ecclesiastes, Song of Songs, Wisdom of Solomon, Sirach, Isaiah, Jeremiah, Lamentations, Baruch, Ezekiel, Daniel, Hosea, Joel, Amos, Obadiah, Jonah, Micah, Nahum, Habakkuk, Zephaniah, Haggai, Zechariah, Malachi.</w:t>
      </w:r>
    </w:p>
    <w:p>
      <w:pPr>
        <w:pStyle w:val="ListParagraph"/>
        <w:numPr>
          <w:ilvl w:val="0"/>
          <w:numId w:val="1"/>
        </w:numPr>
        <w:spacing w:after="80"/>
      </w:pPr>
      <w:r>
        <w:rPr>
          <w:b/>
          <w:bCs/>
        </w:rPr>
        <w:t xml:space="preserve">New Testament</w:t>
      </w:r>
      <w:r>
        <w:t xml:space="preserve">: Matthew, Mark, Luke, John, Acts of the Apostles, Romans, 1 and 2 Corinthians, Galatians, Ephesians, Philippians, Colossians, 1 and 2 Thessalonians, 1 and 2 Timothy, Titus, Philemon, Hebrews, James, 1 and 2 Peter, 1, 2 and 3 John, Jude, Revelation.</w:t>
      </w:r>
      <w:r>
        <w:rPr>
          <w:rStyle w:val="FootnoteReference"/>
        </w:rPr>
        <w:footnoteReference w:id="13"/>
      </w:r>
    </w:p>
    <w:p>
      <w:pPr>
        <w:pBdr>
          <w:left w:val="single" w:color="1565C0" w:sz="24"/>
        </w:pBdr>
        <w:shd w:fill="E3F2FD" w:val="clear"/>
        <w:spacing w:after="160" w:before="160"/>
        <w:ind w:left="240"/>
      </w:pPr>
      <w:r>
        <w:rPr>
          <w:b/>
          <w:bCs/>
          <w:color w:val="1565C0"/>
        </w:rPr>
        <w:t xml:space="preserve">EXAMPLE: </w:t>
      </w:r>
      <w:r>
        <w:t xml:space="preserve">The Council of Trent declared firmly: “If anyone does not accept all these books in their entirety, with all their parts, as they are contained in the ancient Latin Vulgate edition, as sacred and canonical... anathema sit,” let him be anathema.</w:t>
      </w:r>
      <w:r>
        <w:rPr>
          <w:rStyle w:val="FootnoteReference"/>
        </w:rPr>
        <w:footnoteReference w:id="14"/>
      </w:r>
    </w:p>
    <w:p>
      <w:pPr>
        <w:spacing w:after="120"/>
      </w:pPr>
      <w:r>
        <w:t xml:space="preserve">Three criteria for interpreting Scripture correctly, from Vatican II:</w:t>
      </w:r>
    </w:p>
    <w:p>
      <w:pPr>
        <w:pStyle w:val="ListParagraph"/>
        <w:numPr>
          <w:ilvl w:val="0"/>
          <w:numId w:val="1"/>
        </w:numPr>
        <w:spacing w:after="80"/>
      </w:pPr>
      <w:r>
        <w:t xml:space="preserve">Pay close attention to the </w:t>
      </w:r>
      <w:r>
        <w:rPr>
          <w:b/>
          <w:bCs/>
        </w:rPr>
        <w:t xml:space="preserve">content and unity</w:t>
      </w:r>
      <w:r>
        <w:t xml:space="preserve"> of the whole of Scripture.</w:t>
      </w:r>
    </w:p>
    <w:p>
      <w:pPr>
        <w:pStyle w:val="ListParagraph"/>
        <w:numPr>
          <w:ilvl w:val="0"/>
          <w:numId w:val="1"/>
        </w:numPr>
        <w:spacing w:after="80"/>
      </w:pPr>
      <w:r>
        <w:t xml:space="preserve">Read Scripture within the </w:t>
      </w:r>
      <w:r>
        <w:rPr>
          <w:b/>
          <w:bCs/>
        </w:rPr>
        <w:t xml:space="preserve">living Tradition</w:t>
      </w:r>
      <w:r>
        <w:t xml:space="preserve"> of the whole Church.</w:t>
      </w:r>
    </w:p>
    <w:p>
      <w:pPr>
        <w:pStyle w:val="ListParagraph"/>
        <w:numPr>
          <w:ilvl w:val="0"/>
          <w:numId w:val="1"/>
        </w:numPr>
        <w:spacing w:after="80"/>
      </w:pPr>
      <w:r>
        <w:t xml:space="preserve">Be attentive to the </w:t>
      </w:r>
      <w:r>
        <w:rPr>
          <w:b/>
          <w:bCs/>
        </w:rPr>
        <w:t xml:space="preserve">analogy of faith</w:t>
      </w:r>
      <w:r>
        <w:t xml:space="preserve">, how each part of Scripture harmonises with the whole body of revealed truth.</w:t>
      </w:r>
      <w:r>
        <w:rPr>
          <w:rStyle w:val="FootnoteReference"/>
        </w:rPr>
        <w:footnoteReference w:id="15"/>
      </w:r>
    </w:p>
    <w:p>
      <w:pPr>
        <w:pStyle w:val="Heading3"/>
        <w:spacing w:after="100" w:before="180"/>
      </w:pPr>
      <w:r>
        <w:t xml:space="preserve">2. Sacred Tradition</w:t>
      </w:r>
    </w:p>
    <w:p>
      <w:pPr>
        <w:pBdr>
          <w:left w:val="single" w:color="1565C0" w:sz="24"/>
        </w:pBdr>
        <w:shd w:fill="E3F2FD" w:val="clear"/>
        <w:spacing w:after="160" w:before="160"/>
        <w:ind w:left="240"/>
      </w:pPr>
      <w:r>
        <w:rPr>
          <w:b/>
          <w:bCs/>
          <w:color w:val="1565C0"/>
        </w:rPr>
        <w:t xml:space="preserve">EXAMPLE: </w:t>
      </w:r>
      <w:r>
        <w:t xml:space="preserve">The theologian J.M.R. Tillard describes Tradition through the image of memory: not simply storing the past, but “the humus from which life never stops borrowing,” a Word that stays alive, is constantly enriched, yet remains radically the same.</w:t>
      </w:r>
      <w:r>
        <w:rPr>
          <w:rStyle w:val="FootnoteReference"/>
        </w:rPr>
        <w:footnoteReference w:id="16"/>
      </w:r>
    </w:p>
    <w:p>
      <w:pPr>
        <w:spacing w:after="120"/>
      </w:pPr>
      <w:r>
        <w:t xml:space="preserve">Until the Protestant Reformation, the Church never sharply separated Scripture from Tradition, Tradition included the Scriptures themselves, the confession of faith, and the Church’s own reading and living of the Creed. Tradition includes both the rule of faith, the core apostolic teaching, and other transmitted elements, such as rules of discipline and liturgical customs, in which some legitimate variation was always possible without breaking communion.</w:t>
      </w:r>
    </w:p>
    <w:p>
      <w:pPr>
        <w:spacing w:after="120"/>
      </w:pPr>
      <w:r>
        <w:t xml:space="preserve">As the Church moved further from the apostolic age, arguing against heretics made it necessary to point to specific written, apostolic documents as proof of authenticity. So Tradition came to include both the normative Scripture text and a living oral teaching, since that oral teaching expressed the true mind of the Church and was, itself, also normative.</w:t>
      </w:r>
    </w:p>
    <w:p>
      <w:pPr>
        <w:spacing w:after="120"/>
      </w:pPr>
      <w:r>
        <w:t xml:space="preserve">Catholic writers speak of witnesses or monuments of Tradition, privileged places where it is embodied, especially the Liturgy, the writings of the Fathers of the Church, and the ordinary lived expressions of Christian life. The theologian Yves Congar sums this up: “Tradition... contains both documents and objective facts, both original data and life given through the Holy Spirit, an objective external norm together with a living subject. We would not give an adequate account of Tradition if we were to reduce it to any single one of these constitutive elements.”</w:t>
      </w:r>
      <w:r>
        <w:rPr>
          <w:rStyle w:val="FootnoteReference"/>
        </w:rPr>
        <w:footnoteReference w:id="17"/>
      </w:r>
    </w:p>
    <w:p>
      <w:pPr>
        <w:pStyle w:val="Heading2"/>
        <w:spacing w:after="120" w:before="220"/>
      </w:pPr>
      <w:r>
        <w:t xml:space="preserve">F. The Different Emphases</w:t>
      </w:r>
    </w:p>
    <w:p>
      <w:pPr>
        <w:spacing w:after="120"/>
      </w:pPr>
      <w:r>
        <w:t xml:space="preserve">There are three standard sources of authority recognised by all Christians: the Bible, Tradition, and the Church’s Teaching Office. But different Christian traditions weight these differently. This section studies the Orthodox and Protestant emphases before turning, in the next section, to the Roman Catholic position in detail.</w:t>
      </w:r>
      <w:r>
        <w:rPr>
          <w:rStyle w:val="FootnoteReference"/>
        </w:rPr>
        <w:footnoteReference w:id="18"/>
      </w:r>
    </w:p>
    <w:p>
      <w:pPr>
        <w:pStyle w:val="Heading3"/>
        <w:spacing w:after="100" w:before="180"/>
      </w:pPr>
      <w:r>
        <w:t xml:space="preserve">1. The Orthodox Emphasis</w:t>
      </w:r>
    </w:p>
    <w:p>
      <w:pPr>
        <w:spacing w:after="120"/>
      </w:pPr>
      <w:r>
        <w:t xml:space="preserve">For the early Fathers, the collegial relationship among bishops itself expressed the communion between local Churches; each bishop, in relation to other bishops, symbolised that communion. The Orthodox Churches today continue to insist on this ancient principle, called </w:t>
      </w:r>
      <w:r>
        <w:rPr>
          <w:b/>
          <w:bCs/>
        </w:rPr>
        <w:t xml:space="preserve">synodality</w:t>
      </w:r>
      <w:r>
        <w:t xml:space="preserve">: Church authority must arise from the communion of Churches, not be imposed on them from an external, higher point.</w:t>
      </w:r>
      <w:r>
        <w:rPr>
          <w:rStyle w:val="FootnoteReference"/>
        </w:rPr>
        <w:footnoteReference w:id="19"/>
      </w:r>
    </w:p>
    <w:p>
      <w:pPr>
        <w:spacing w:after="120"/>
      </w:pPr>
      <w:r>
        <w:t xml:space="preserve">For Orthodox theology, Tradition is not just the mechanical continuation of correct teaching. It is dynamic and living, only truly grasped from within, through real participation in the life of the Church, empowered by the Holy Spirit, who enables each believer to personally experience and live the truth God has revealed.</w:t>
      </w:r>
    </w:p>
    <w:p>
      <w:pPr>
        <w:pBdr>
          <w:left w:val="single" w:color="1565C0" w:sz="24"/>
        </w:pBdr>
        <w:shd w:fill="E3F2FD" w:val="clear"/>
        <w:spacing w:after="160" w:before="160"/>
        <w:ind w:left="240"/>
      </w:pPr>
      <w:r>
        <w:rPr>
          <w:b/>
          <w:bCs/>
          <w:color w:val="1565C0"/>
        </w:rPr>
        <w:t xml:space="preserve">EXAMPLE: </w:t>
      </w:r>
      <w:r>
        <w:t xml:space="preserve">This flows from the deep Orthodox concept of </w:t>
      </w:r>
      <w:r>
        <w:rPr>
          <w:b/>
          <w:bCs/>
        </w:rPr>
        <w:t xml:space="preserve">Sobornost</w:t>
      </w:r>
      <w:r>
        <w:t xml:space="preserve">: communion within an organism that is at once one and yet made up of many persons, understood as fundamentally spiritual rather than juridical, legal, in nature.</w:t>
      </w:r>
      <w:r>
        <w:rPr>
          <w:rStyle w:val="FootnoteReference"/>
        </w:rPr>
        <w:footnoteReference w:id="20"/>
      </w:r>
      <w:r>
        <w:t xml:space="preserve"> Orthodox theology strongly emphasises the organic unity of the whole Church, including the relationship between bishops and the entire People of God: authority is always exercised within the Church, never above it.</w:t>
      </w:r>
    </w:p>
    <w:p>
      <w:pPr>
        <w:spacing w:after="120"/>
      </w:pPr>
      <w:r>
        <w:t xml:space="preserve">From a Roman Catholic viewpoint, the Chapter notes one significant limitation of this Orthodox model: it does not give sufficient weight to the </w:t>
      </w:r>
      <w:r>
        <w:rPr>
          <w:b/>
          <w:bCs/>
        </w:rPr>
        <w:t xml:space="preserve">Magisterium of the Pope</w:t>
      </w:r>
      <w:r>
        <w:t xml:space="preserve">, whose role is precisely to guarantee the authenticity of the faith and, when necessary, to declare that a particular teaching carries the force of a binding rule of faith.</w:t>
      </w:r>
    </w:p>
    <w:p>
      <w:pPr>
        <w:pStyle w:val="Heading3"/>
        <w:spacing w:after="100" w:before="180"/>
      </w:pPr>
      <w:r>
        <w:t xml:space="preserve">2. The Protestant Emphasis</w:t>
      </w:r>
    </w:p>
    <w:p>
      <w:pPr>
        <w:spacing w:after="120"/>
      </w:pPr>
      <w:r>
        <w:t xml:space="preserve">The Protestant emphasis instead stresses the sovereignty of the Gospel itself over all Church offices. Classical Protestantism’s rallying slogan was “The Bible Alone” (</w:t>
      </w:r>
      <w:r>
        <w:rPr>
          <w:b/>
          <w:bCs/>
        </w:rPr>
        <w:t xml:space="preserve">Sola Scriptura</w:t>
      </w:r>
      <w:r>
        <w:t xml:space="preserve">), a protest against what the Reformers saw as an exaggerated build-up of Scholastic and papal authority during the Middle Ages, and a call to return to the simplicity of the early Church.</w:t>
      </w:r>
      <w:r>
        <w:rPr>
          <w:rStyle w:val="FootnoteReference"/>
        </w:rPr>
        <w:footnoteReference w:id="21"/>
      </w:r>
    </w:p>
    <w:p>
      <w:pPr>
        <w:spacing w:after="120"/>
      </w:pPr>
      <w:r>
        <w:t xml:space="preserve">The deeper aim behind Sola Scriptura was actually to restore the sovereignty of “God Alone” (Solus Deus). For the Reformers, Scripture is sufficient in two senses: materially, as containing the whole content of faith, and formally, as itself being the very means by which believers come to understand and know that faith, aided by the interior witness of the Holy Spirit.</w:t>
      </w:r>
    </w:p>
    <w:p>
      <w:pPr>
        <w:spacing w:after="120"/>
      </w:pPr>
      <w:r>
        <w:t xml:space="preserve">It is worth noting: the word “Alone” should not be taken too rigidly. Protestants did not simply ignore Tradition, Luther and Calvin both cared deeply about aligning their teaching with the early Ecumenical Councils. What they insisted on was that any Christian teaching, including inherited tradition, must ultimately be tested and judged against Scripture. Protestantism, broadly, tended to stress the charismatic foundations of authority, where Catholicism tended to stress the institutional offices of authority.</w:t>
      </w:r>
    </w:p>
    <w:p>
      <w:pPr>
        <w:spacing w:after="120"/>
      </w:pPr>
      <w:r>
        <w:t xml:space="preserve">The Council of Trent definitively rejected the Sola Scriptura principle, affirming instead that saving truth is “contained in the written books and unwritten traditions.”</w:t>
      </w:r>
      <w:r>
        <w:rPr>
          <w:rStyle w:val="FootnoteReference"/>
        </w:rPr>
        <w:footnoteReference w:id="22"/>
      </w:r>
    </w:p>
    <w:p>
      <w:pPr>
        <w:spacing w:after="120"/>
      </w:pPr>
      <w:r>
        <w:t xml:space="preserve">Avery Dulles summarises three classic Roman Catholic objections to Sola Scriptura:</w:t>
      </w:r>
    </w:p>
    <w:p>
      <w:pPr>
        <w:pStyle w:val="ListParagraph"/>
        <w:numPr>
          <w:ilvl w:val="0"/>
          <w:numId w:val="1"/>
        </w:numPr>
        <w:spacing w:after="80"/>
      </w:pPr>
      <w:r>
        <w:t xml:space="preserve">The Bible did not collect itself, it was collected and recognised by the Church. Trusting the Bible therefore already implies a certain trust in the Church that assembled and authenticated it.</w:t>
      </w:r>
    </w:p>
    <w:p>
      <w:pPr>
        <w:pStyle w:val="ListParagraph"/>
        <w:numPr>
          <w:ilvl w:val="0"/>
          <w:numId w:val="1"/>
        </w:numPr>
        <w:spacing w:after="80"/>
      </w:pPr>
      <w:r>
        <w:t xml:space="preserve">The Bible is not self-interpreting. For Scripture to speak meaningfully today, its meaning must be mediated through some further, trustworthy authority.</w:t>
      </w:r>
    </w:p>
    <w:p>
      <w:pPr>
        <w:pBdr>
          <w:left w:val="single" w:color="1565C0" w:sz="24"/>
        </w:pBdr>
        <w:shd w:fill="E3F2FD" w:val="clear"/>
        <w:spacing w:after="160" w:before="160"/>
        <w:ind w:left="240"/>
      </w:pPr>
      <w:r>
        <w:rPr>
          <w:b/>
          <w:bCs/>
          <w:color w:val="1565C0"/>
        </w:rPr>
        <w:t xml:space="preserve">EXAMPLE: </w:t>
      </w:r>
      <w:r>
        <w:t xml:space="preserve">To accept no authority but the Bible would be to reject part of the Bible’s own teaching itself, since Scripture points us toward other Spirit-guided Christian voices and authorities.</w:t>
      </w:r>
      <w:r>
        <w:rPr>
          <w:rStyle w:val="FootnoteReference"/>
        </w:rPr>
        <w:footnoteReference w:id="23"/>
      </w:r>
    </w:p>
    <w:p>
      <w:pPr>
        <w:pStyle w:val="Heading2"/>
        <w:spacing w:after="120" w:before="220"/>
      </w:pPr>
      <w:r>
        <w:t xml:space="preserve">G. The Roman Catholic Understanding of the Authority of the Church</w:t>
      </w:r>
    </w:p>
    <w:p>
      <w:pPr>
        <w:pStyle w:val="Heading3"/>
        <w:spacing w:after="100" w:before="180"/>
      </w:pPr>
      <w:r>
        <w:t xml:space="preserve">1. Authority in the Church</w:t>
      </w:r>
    </w:p>
    <w:p>
      <w:pPr>
        <w:spacing w:after="120"/>
      </w:pPr>
      <w:r>
        <w:t xml:space="preserve">Church authority ultimately rests on God’s own authority; it is not self-validating, but flows from the Church’s openness to God’s Spirit. Crucially, this authority is exercised within the Church, not from above it, Vatican II’s ecclesiology of communion sees the Church as a fundamentally relational reality.</w:t>
      </w:r>
      <w:r>
        <w:rPr>
          <w:rStyle w:val="FootnoteReference"/>
        </w:rPr>
        <w:footnoteReference w:id="24"/>
      </w:r>
    </w:p>
    <w:p>
      <w:pPr>
        <w:spacing w:after="120"/>
      </w:pPr>
      <w:r>
        <w:t xml:space="preserve">The Church actually has a real </w:t>
      </w:r>
      <w:r>
        <w:rPr>
          <w:b/>
          <w:bCs/>
        </w:rPr>
        <w:t xml:space="preserve">pluralism of authority</w:t>
      </w:r>
      <w:r>
        <w:t xml:space="preserve"> operating together: the authority of the Bible, of the Magisterium, of the whole believing community, of the Church’s pastors and laity, and of individual conscience. Recognising the Magisterium’s special authority does not mean the Holy Spirit’s activity is confined only to it. There is meant to be harmony between the Magisterium and the sensus fidelium, the sense of the faithful.</w:t>
      </w:r>
    </w:p>
    <w:p>
      <w:pPr>
        <w:pStyle w:val="Heading3"/>
        <w:spacing w:after="100" w:before="180"/>
      </w:pPr>
      <w:r>
        <w:t xml:space="preserve">2. The College of Bishops and Communion</w:t>
      </w:r>
    </w:p>
    <w:p>
      <w:pPr>
        <w:spacing w:after="120"/>
      </w:pPr>
      <w:r>
        <w:t xml:space="preserve">Vatican II grounded Church authority in this ecclesiology of communion at two levels: communion within the college of bishops and among the Churches, and communion between the Bishop of Rome, the Pope, and the other bishops of that college.</w:t>
      </w:r>
      <w:r>
        <w:rPr>
          <w:rStyle w:val="FootnoteReference"/>
        </w:rPr>
        <w:footnoteReference w:id="25"/>
      </w:r>
    </w:p>
    <w:p>
      <w:pPr>
        <w:pBdr>
          <w:left w:val="single" w:color="1565C0" w:sz="24"/>
        </w:pBdr>
        <w:shd w:fill="E3F2FD" w:val="clear"/>
        <w:spacing w:after="160" w:before="160"/>
        <w:ind w:left="240"/>
      </w:pPr>
      <w:r>
        <w:rPr>
          <w:b/>
          <w:bCs/>
          <w:color w:val="1565C0"/>
        </w:rPr>
        <w:t xml:space="preserve">EXAMPLE: </w:t>
      </w:r>
      <w:r>
        <w:t xml:space="preserve">Importantly, the Pope is not an external authority imposed on the bishops from outside, he is understood as </w:t>
      </w:r>
      <w:r>
        <w:rPr>
          <w:b/>
          <w:bCs/>
        </w:rPr>
        <w:t xml:space="preserve">both head and member</w:t>
      </w:r>
      <w:r>
        <w:t xml:space="preserve"> of the college of bishops. Without the Pope, there is no college; but equally, the Pope acts collegially with the bishops in strictly collegiate matters, always with their consent when the College itself acts as a body. The Pope, as supreme pastor, may also exercise his own authority independently whenever necessary.</w:t>
      </w:r>
      <w:r>
        <w:rPr>
          <w:rStyle w:val="FootnoteReference"/>
        </w:rPr>
        <w:footnoteReference w:id="26"/>
      </w:r>
    </w:p>
    <w:p>
      <w:pPr>
        <w:pStyle w:val="Heading3"/>
        <w:spacing w:after="100" w:before="180"/>
      </w:pPr>
      <w:r>
        <w:t xml:space="preserve">3. The Ecclesiastical Magisterium</w:t>
      </w:r>
    </w:p>
    <w:p>
      <w:pPr>
        <w:spacing w:after="120"/>
      </w:pPr>
      <w:r>
        <w:rPr/>
        <w:t xml:space="preserve">The task of authentically interpreting God’s Word “has been entrusted to the living teaching office of the Church alone,” that is, to the bishops in communion with the Pope, and this Magisterium “is not superior to the Word of God, but is its servant” (</w:t>
      </w:r>
      <w:r>
        <w:rPr>
          <w:i/>
          <w:iCs/>
        </w:rPr>
        <w:t xml:space="preserve">Dei Verbum</w:t>
      </w:r>
      <w:r>
        <w:rPr/>
        <w:t xml:space="preserve">, no. 10).</w:t>
      </w:r>
      <w:r>
        <w:rPr>
          <w:rStyle w:val="FootnoteReference"/>
        </w:rPr>
        <w:footnoteReference w:id="27"/>
      </w:r>
      <w:r>
        <w:t xml:space="preserve"> It is helpful to remember that the whole People of God is simultaneously a teaching Church and a learning Church; the Magisterium’s specific role must be understood within that larger picture.</w:t>
      </w:r>
    </w:p>
    <w:p>
      <w:pPr>
        <w:spacing w:after="120"/>
      </w:pPr>
      <w:r>
        <w:t xml:space="preserve">The whole college of bishops possesses supreme doctrinal teaching authority, and can teach with the charism of </w:t>
      </w:r>
      <w:r>
        <w:rPr>
          <w:b/>
          <w:bCs/>
        </w:rPr>
        <w:t xml:space="preserve">infallibility</w:t>
      </w:r>
      <w:r>
        <w:t xml:space="preserve"> in two collegial ways: explicitly, through a formal act like a conciliar definition, or implicitly, through the Pope acting as head of the college, such as in an ex cathedra definition. The infallibility of the college of bishops is always inseparably linked to the infallibility of the whole Church.</w:t>
      </w:r>
    </w:p>
    <w:p>
      <w:pPr>
        <w:pStyle w:val="Heading3"/>
        <w:spacing w:after="100" w:before="180"/>
      </w:pPr>
      <w:r>
        <w:t xml:space="preserve">4. The Exercise of the Magisterium</w:t>
      </w:r>
    </w:p>
    <w:p>
      <w:pPr>
        <w:spacing w:after="120"/>
      </w:pPr>
      <w:r>
        <w:t xml:space="preserve">The Magisterium is exercised in two broad ways:</w:t>
      </w:r>
    </w:p>
    <w:p>
      <w:pPr>
        <w:pStyle w:val="ListParagraph"/>
        <w:numPr>
          <w:ilvl w:val="0"/>
          <w:numId w:val="1"/>
        </w:numPr>
        <w:spacing w:after="80"/>
      </w:pPr>
      <w:r>
        <w:rPr>
          <w:b/>
          <w:bCs/>
        </w:rPr>
        <w:t xml:space="preserve">The Extraordinary Magisterium</w:t>
      </w:r>
      <w:r>
        <w:t xml:space="preserve">: a solemn and infallible act defining a matter of faith or morals, exercised either by the whole college of bishops gathered in an ecumenical council, or by the Pope alone, defining a dogma ex cathedra.</w:t>
      </w:r>
      <w:r>
        <w:rPr>
          <w:rStyle w:val="FootnoteReference"/>
        </w:rPr>
        <w:footnoteReference w:id="28"/>
      </w:r>
    </w:p>
    <w:p>
      <w:pPr>
        <w:spacing w:after="120"/>
      </w:pPr>
      <w:r>
        <w:rPr>
          <w:b/>
          <w:bCs/>
        </w:rPr>
        <w:t xml:space="preserve">The Ordinary Magisterium</w:t>
      </w:r>
      <w:r>
        <w:t xml:space="preserve">, covering all other instances of teaching authority, itself divided further:</w:t>
      </w:r>
    </w:p>
    <w:p>
      <w:pPr>
        <w:pStyle w:val="ListParagraph"/>
        <w:numPr>
          <w:ilvl w:val="0"/>
          <w:numId w:val="1"/>
        </w:numPr>
        <w:spacing w:after="80"/>
      </w:pPr>
      <w:r>
        <w:rPr>
          <w:b/>
          <w:bCs/>
        </w:rPr>
        <w:t xml:space="preserve">Ordinary Universal Magisterium</w:t>
      </w:r>
      <w:r>
        <w:t xml:space="preserve">, teaching definitively: when the whole college of bishops, though scattered across the world, is unanimously agreed a teaching must be held definitively; or not teaching definitively: when the college, gathered in council, teaches authoritatively without a solemn definition, still genuinely authoritative, even without the charism of infallibility.</w:t>
      </w:r>
    </w:p>
    <w:p>
      <w:pPr>
        <w:pStyle w:val="ListParagraph"/>
        <w:numPr>
          <w:ilvl w:val="0"/>
          <w:numId w:val="1"/>
        </w:numPr>
        <w:spacing w:after="80"/>
      </w:pPr>
      <w:r>
        <w:rPr>
          <w:b/>
          <w:bCs/>
        </w:rPr>
        <w:t xml:space="preserve">Ordinary Non-universal Magisterium</w:t>
      </w:r>
      <w:r>
        <w:t xml:space="preserve">, in three forms: the ordinary teaching of individual bishops, combining kerygmatic, catechetical, pastoral and doctrinal dimensions; the ordinary teaching of groups of bishops, chiefly Episcopal Conferences and the World Synod of Bishops; and the ordinary teaching of the Bishop of Rome, which has a special status.</w:t>
      </w:r>
    </w:p>
    <w:p>
      <w:pPr>
        <w:pBdr>
          <w:left w:val="single" w:color="1565C0" w:sz="24"/>
        </w:pBdr>
        <w:shd w:fill="E3F2FD" w:val="clear"/>
        <w:spacing w:after="160" w:before="160"/>
        <w:ind w:left="240"/>
      </w:pPr>
      <w:r>
        <w:rPr>
          <w:b/>
          <w:bCs/>
          <w:color w:val="1565C0"/>
        </w:rPr>
        <w:t xml:space="preserve">EXAMPLE: </w:t>
      </w:r>
      <w:r>
        <w:t xml:space="preserve">Even when the Pope is not speaking ex cathedra, “religious assent of will and intellect” is due to his teaching, discerned through the nature of his documents, the frequency of a teaching’s repetition, and its manner of expression.</w:t>
      </w:r>
      <w:r>
        <w:rPr>
          <w:rStyle w:val="FootnoteReference"/>
        </w:rPr>
        <w:footnoteReference w:id="29"/>
      </w:r>
    </w:p>
    <w:p>
      <w:pPr>
        <w:pStyle w:val="Heading3"/>
        <w:spacing w:after="100" w:before="180"/>
      </w:pPr>
      <w:r>
        <w:t xml:space="preserve">5. Clarification of Terms (Dogma and Doctrine)</w:t>
      </w:r>
    </w:p>
    <w:p>
      <w:pPr>
        <w:spacing w:after="120"/>
      </w:pPr>
      <w:r>
        <w:rPr>
          <w:b/>
          <w:bCs/>
        </w:rPr>
        <w:t xml:space="preserve">Dogma.</w:t>
      </w:r>
      <w:r>
        <w:t xml:space="preserve"> In current Catholic usage, a Dogma is any formal statement that is divinely revealed and has been proposed as such by the Magisterium, either through a solemn papal or conciliar definition, or through the bishops’ universal ordinary teaching.</w:t>
      </w:r>
      <w:r>
        <w:rPr>
          <w:rStyle w:val="FootnoteReference"/>
        </w:rPr>
        <w:footnoteReference w:id="30"/>
      </w:r>
    </w:p>
    <w:p>
      <w:pPr>
        <w:spacing w:after="120"/>
      </w:pPr>
      <w:r>
        <w:rPr>
          <w:b/>
          <w:bCs/>
        </w:rPr>
        <w:t xml:space="preserve">Doctrine.</w:t>
      </w:r>
      <w:r>
        <w:t xml:space="preserve"> Doctrine is a broader category than Dogma. A doctrine is any authoritative, official formulation of Church belief, whether formally revealed or not, drawn from the Church’s reflection on revelation. Both dogma and doctrine function normatively: they are stated by the Church’s authoritative leaders, and they affirm or reject particular theological formulations.</w:t>
      </w:r>
      <w:r>
        <w:rPr>
          <w:rStyle w:val="FootnoteReference"/>
        </w:rPr>
        <w:footnoteReference w:id="31"/>
      </w:r>
    </w:p>
    <w:p>
      <w:pPr>
        <w:spacing w:after="120"/>
      </w:pPr>
      <w:r>
        <w:t xml:space="preserve">Importantly, a doctrine’s normative character does not shut down further theological reflection, it usually invites deeper theological development. As the book puts it, “theological reflection will always be more comprehensive than doctrine,” a doctrine offers clarity on a specific point, not an exhaustive statement of the whole truth.</w:t>
      </w:r>
    </w:p>
    <w:p>
      <w:pPr>
        <w:pStyle w:val="Heading3"/>
        <w:spacing w:after="100" w:before="180"/>
      </w:pPr>
      <w:r>
        <w:t xml:space="preserve">6. Gradations of Church Doctrine</w:t>
      </w:r>
    </w:p>
    <w:p>
      <w:pPr>
        <w:spacing w:after="120"/>
      </w:pPr>
      <w:r>
        <w:t xml:space="preserve">Church teaching comes in four basic categories, each carrying a different weight.</w:t>
      </w:r>
      <w:r>
        <w:rPr>
          <w:rStyle w:val="FootnoteReference"/>
        </w:rPr>
        <w:footnoteReference w:id="32"/>
      </w:r>
    </w:p>
    <w:p>
      <w:pPr>
        <w:pStyle w:val="ListParagraph"/>
        <w:numPr>
          <w:ilvl w:val="0"/>
          <w:numId w:val="1"/>
        </w:numPr>
        <w:spacing w:after="80"/>
      </w:pPr>
      <w:r>
        <w:rPr>
          <w:b/>
          <w:bCs/>
        </w:rPr>
        <w:t xml:space="preserve">Definitive Dogma</w:t>
      </w:r>
      <w:r>
        <w:t xml:space="preserve">: taught by solemn papal ex cathedra definition, by an ecumenical council’s solemn definition, or by the bishops in agreement worldwide that a teaching is to be held definitively.</w:t>
      </w:r>
    </w:p>
    <w:p>
      <w:pPr>
        <w:pStyle w:val="ListParagraph"/>
        <w:numPr>
          <w:ilvl w:val="0"/>
          <w:numId w:val="1"/>
        </w:numPr>
        <w:spacing w:after="80"/>
      </w:pPr>
      <w:r>
        <w:rPr>
          <w:b/>
          <w:bCs/>
        </w:rPr>
        <w:t xml:space="preserve">Definitive Doctrine</w:t>
      </w:r>
      <w:r>
        <w:t xml:space="preserve">: teachings that are definitive, irreformable, though connected to, rather than directly identical with, revealed truth; even some non-revealed teachings can be taught infallibly if needed to safeguard revealed truth.</w:t>
      </w:r>
    </w:p>
    <w:p>
      <w:pPr>
        <w:pStyle w:val="ListParagraph"/>
        <w:numPr>
          <w:ilvl w:val="0"/>
          <w:numId w:val="1"/>
        </w:numPr>
        <w:spacing w:after="80"/>
      </w:pPr>
      <w:r>
        <w:rPr>
          <w:b/>
          <w:bCs/>
        </w:rPr>
        <w:t xml:space="preserve">Non-Definitive Authoritative Doctrine</w:t>
      </w:r>
      <w:r>
        <w:t xml:space="preserve">: this is where most Church teaching actually falls; it is authoritative but not proposed with the charism of infallibility.</w:t>
      </w:r>
    </w:p>
    <w:p>
      <w:pPr>
        <w:pStyle w:val="ListParagraph"/>
        <w:numPr>
          <w:ilvl w:val="0"/>
          <w:numId w:val="1"/>
        </w:numPr>
        <w:spacing w:after="80"/>
      </w:pPr>
      <w:r>
        <w:rPr>
          <w:b/>
          <w:bCs/>
        </w:rPr>
        <w:t xml:space="preserve">Prudential Admonitions</w:t>
      </w:r>
      <w:r>
        <w:t xml:space="preserve">: explicitly pastoral judgments about the soundness of a particular orientation or approach.</w:t>
      </w:r>
    </w:p>
    <w:p>
      <w:pPr>
        <w:pStyle w:val="Heading3"/>
        <w:spacing w:after="100" w:before="180"/>
      </w:pPr>
      <w:r>
        <w:t xml:space="preserve">7. The Corporate Reception of Church Doctrine</w:t>
      </w:r>
    </w:p>
    <w:p>
      <w:pPr>
        <w:pBdr>
          <w:left w:val="single" w:color="1565C0" w:sz="24"/>
        </w:pBdr>
        <w:shd w:fill="E3F2FD" w:val="clear"/>
        <w:spacing w:after="160" w:before="160"/>
        <w:ind w:left="240"/>
      </w:pPr>
      <w:r>
        <w:rPr>
          <w:b/>
          <w:bCs/>
          <w:color w:val="1565C0"/>
        </w:rPr>
        <w:t xml:space="preserve">EXAMPLE: </w:t>
      </w:r>
      <w:r>
        <w:t xml:space="preserve">God’s Word is given to the whole Church as community, so the whole community receives it together. Vatican II calls this the </w:t>
      </w:r>
      <w:r>
        <w:rPr>
          <w:b/>
          <w:bCs/>
        </w:rPr>
        <w:t xml:space="preserve">sensus fidei</w:t>
      </w:r>
      <w:r>
        <w:t xml:space="preserve">: “the universal body of the faithful, who have received the anointing of the Holy One, cannot be mistaken in belief.”</w:t>
      </w:r>
      <w:r>
        <w:rPr>
          <w:rStyle w:val="FootnoteReference"/>
        </w:rPr>
        <w:footnoteReference w:id="33"/>
      </w:r>
      <w:r>
        <w:t xml:space="preserve"> This infallibility belongs to the corporate belief of the whole People of God, not to any one individual’s private sense of faith.</w:t>
      </w:r>
    </w:p>
    <w:p>
      <w:pPr>
        <w:pStyle w:val="Heading3"/>
        <w:spacing w:after="100" w:before="180"/>
      </w:pPr>
      <w:r>
        <w:t xml:space="preserve">8. The Personal Reception of Church Teaching</w:t>
      </w:r>
    </w:p>
    <w:p>
      <w:pPr>
        <w:spacing w:after="120"/>
      </w:pPr>
      <w:r>
        <w:t xml:space="preserve">Since each believer’s personal response is part of this larger communal reception, the response expected is itself graded, matching the four categories above:</w:t>
      </w:r>
    </w:p>
    <w:p>
      <w:pPr>
        <w:pStyle w:val="ListParagraph"/>
        <w:numPr>
          <w:ilvl w:val="0"/>
          <w:numId w:val="1"/>
        </w:numPr>
        <w:spacing w:after="80"/>
      </w:pPr>
      <w:r>
        <w:rPr>
          <w:b/>
          <w:bCs/>
        </w:rPr>
        <w:t xml:space="preserve">Definitive Dogma</w:t>
      </w:r>
      <w:r>
        <w:t xml:space="preserve"> requires an </w:t>
      </w:r>
      <w:r>
        <w:rPr>
          <w:b/>
          <w:bCs/>
        </w:rPr>
        <w:t xml:space="preserve">Assent of Faith</w:t>
      </w:r>
      <w:r>
        <w:t xml:space="preserve">: believing this teaching is truly revealed by God.</w:t>
      </w:r>
    </w:p>
    <w:p>
      <w:pPr>
        <w:pStyle w:val="ListParagraph"/>
        <w:numPr>
          <w:ilvl w:val="0"/>
          <w:numId w:val="1"/>
        </w:numPr>
        <w:spacing w:after="80"/>
      </w:pPr>
      <w:r>
        <w:rPr>
          <w:b/>
          <w:bCs/>
        </w:rPr>
        <w:t xml:space="preserve">Definitive Doctrine</w:t>
      </w:r>
      <w:r>
        <w:t xml:space="preserve"> requires </w:t>
      </w:r>
      <w:r>
        <w:rPr>
          <w:b/>
          <w:bCs/>
        </w:rPr>
        <w:t xml:space="preserve">Firm Acceptance</w:t>
      </w:r>
      <w:r>
        <w:t xml:space="preserve">: holding the teaching to be true.</w:t>
      </w:r>
    </w:p>
    <w:p>
      <w:pPr>
        <w:pStyle w:val="ListParagraph"/>
        <w:numPr>
          <w:ilvl w:val="0"/>
          <w:numId w:val="1"/>
        </w:numPr>
        <w:spacing w:after="80"/>
      </w:pPr>
      <w:r>
        <w:rPr>
          <w:b/>
          <w:bCs/>
        </w:rPr>
        <w:t xml:space="preserve">Non-Definitive Authoritative Doctrine</w:t>
      </w:r>
      <w:r>
        <w:t xml:space="preserve"> requires </w:t>
      </w:r>
      <w:r>
        <w:rPr>
          <w:b/>
          <w:bCs/>
        </w:rPr>
        <w:t xml:space="preserve">Religious Submission of Intellect and Will</w:t>
      </w:r>
      <w:r>
        <w:t xml:space="preserve">: sincerely striving to make the teaching one’s own.</w:t>
      </w:r>
    </w:p>
    <w:p>
      <w:pPr>
        <w:pStyle w:val="ListParagraph"/>
        <w:numPr>
          <w:ilvl w:val="0"/>
          <w:numId w:val="1"/>
        </w:numPr>
        <w:spacing w:after="80"/>
      </w:pPr>
      <w:r>
        <w:rPr>
          <w:b/>
          <w:bCs/>
        </w:rPr>
        <w:t xml:space="preserve">Prudential Admonitions</w:t>
      </w:r>
      <w:r>
        <w:t xml:space="preserve"> call for </w:t>
      </w:r>
      <w:r>
        <w:rPr>
          <w:b/>
          <w:bCs/>
        </w:rPr>
        <w:t xml:space="preserve">obedience to the spirit</w:t>
      </w:r>
      <w:r>
        <w:t xml:space="preserve"> of the Church’s guidance or discipline.</w:t>
      </w:r>
      <w:r>
        <w:rPr>
          <w:rStyle w:val="FootnoteReference"/>
        </w:rPr>
        <w:footnoteReference w:id="34"/>
      </w:r>
    </w:p>
    <w:p>
      <w:pPr>
        <w:pStyle w:val="Heading3"/>
        <w:spacing w:after="100" w:before="180"/>
      </w:pPr>
      <w:r>
        <w:t xml:space="preserve">9. The Role of the Professional Theologian</w:t>
      </w:r>
    </w:p>
    <w:p>
      <w:pPr>
        <w:spacing w:after="120"/>
      </w:pPr>
      <w:r>
        <w:t xml:space="preserve">Bishops carry the authority of their office and, strictly, “suffice to themselves”; but they still need the research and communicative competence of theologians. The theologian’s task is a two-way mediation.</w:t>
      </w:r>
      <w:r>
        <w:rPr>
          <w:rStyle w:val="FootnoteReference"/>
        </w:rPr>
        <w:footnoteReference w:id="35"/>
      </w:r>
    </w:p>
    <w:p>
      <w:pPr>
        <w:pStyle w:val="ListParagraph"/>
        <w:numPr>
          <w:ilvl w:val="0"/>
          <w:numId w:val="1"/>
        </w:numPr>
        <w:spacing w:after="80"/>
      </w:pPr>
      <w:r>
        <w:t xml:space="preserve">Toward the </w:t>
      </w:r>
      <w:r>
        <w:rPr>
          <w:b/>
          <w:bCs/>
        </w:rPr>
        <w:t xml:space="preserve">Magisterium</w:t>
      </w:r>
      <w:r>
        <w:t xml:space="preserve">: helping ensure the Church’s authentic teaching is communicated as clearly and effectively as possible.</w:t>
      </w:r>
    </w:p>
    <w:p>
      <w:pPr>
        <w:pStyle w:val="ListParagraph"/>
        <w:numPr>
          <w:ilvl w:val="0"/>
          <w:numId w:val="1"/>
        </w:numPr>
        <w:spacing w:after="80"/>
      </w:pPr>
      <w:r>
        <w:t xml:space="preserve">Toward the </w:t>
      </w:r>
      <w:r>
        <w:rPr>
          <w:b/>
          <w:bCs/>
        </w:rPr>
        <w:t xml:space="preserve">People of God</w:t>
      </w:r>
      <w:r>
        <w:t xml:space="preserve">: discerning the genuine insights present among all the baptised and giving them careful, systematic expression, so they can feed back into the Church’s own ongoing discernment.</w:t>
      </w:r>
    </w:p>
    <w:p>
      <w:pPr>
        <w:spacing w:after="120"/>
      </w:pPr>
      <w:r>
        <w:t xml:space="preserve">Because genuine research always carries a margin of incertitude, Catholic theology is described as standing “between a creed and a quest,” theologians must explore new understanding, while never forgetting their responsibility to the ecclesial community of which they remain members.</w:t>
      </w:r>
    </w:p>
    <w:p>
      <w:pPr>
        <w:pStyle w:val="Heading2"/>
        <w:spacing w:after="120" w:before="220"/>
      </w:pPr>
      <w:r>
        <w:t xml:space="preserve">H. Tracing Out the Parameters of the Catholic Theological Enterprise</w:t>
      </w:r>
    </w:p>
    <w:p>
      <w:pPr>
        <w:spacing w:after="120"/>
      </w:pPr>
      <w:r>
        <w:t xml:space="preserve">Drawing all of the above together, the book lists eight core presuppositions that mark out, and can serve as criteria for, an authentically Catholic theological enterprise.</w:t>
      </w:r>
      <w:r>
        <w:rPr>
          <w:rStyle w:val="FootnoteReference"/>
        </w:rPr>
        <w:footnoteReference w:id="36"/>
      </w:r>
    </w:p>
    <w:p>
      <w:pPr>
        <w:pStyle w:val="ListParagraph"/>
        <w:numPr>
          <w:ilvl w:val="0"/>
          <w:numId w:val="1"/>
        </w:numPr>
        <w:spacing w:after="80"/>
      </w:pPr>
      <w:r>
        <w:rPr>
          <w:b/>
          <w:bCs/>
        </w:rPr>
        <w:t xml:space="preserve">The knowability of God.</w:t>
      </w:r>
      <w:r>
        <w:t xml:space="preserve"> God, while remaining mysterious, is neither an empty sign nor an arbitrary symbol for the Catholic believer, this rules out any form of agnosticism.</w:t>
      </w:r>
    </w:p>
    <w:p>
      <w:pPr>
        <w:pStyle w:val="ListParagraph"/>
        <w:numPr>
          <w:ilvl w:val="0"/>
          <w:numId w:val="1"/>
        </w:numPr>
        <w:spacing w:after="80"/>
      </w:pPr>
      <w:r>
        <w:rPr>
          <w:b/>
          <w:bCs/>
        </w:rPr>
        <w:t xml:space="preserve">The partnership of faith and reason.</w:t>
      </w:r>
      <w:r>
        <w:t xml:space="preserve"> Catholic theology reflects on God’s self-communication in Christ using both faith and reason together, rejecting both Fideism, faith alone, and Rationalism, reason alone.</w:t>
      </w:r>
    </w:p>
    <w:p>
      <w:pPr>
        <w:pStyle w:val="ListParagraph"/>
        <w:numPr>
          <w:ilvl w:val="0"/>
          <w:numId w:val="1"/>
        </w:numPr>
        <w:spacing w:after="80"/>
      </w:pPr>
      <w:r>
        <w:rPr>
          <w:b/>
          <w:bCs/>
        </w:rPr>
        <w:t xml:space="preserve">Universality beyond all sectarianism.</w:t>
      </w:r>
      <w:r>
        <w:t xml:space="preserve"> Jesus Christ is central and universal, the one Good News meant for the whole of humanity, which grounds the Church’s universal missionary calling.</w:t>
      </w:r>
    </w:p>
    <w:p>
      <w:pPr>
        <w:pBdr>
          <w:left w:val="single" w:color="2E7D32" w:sz="24"/>
        </w:pBdr>
        <w:shd w:fill="E8F5E9" w:val="clear"/>
        <w:spacing w:after="160" w:before="160"/>
        <w:ind w:left="240"/>
      </w:pPr>
      <w:r>
        <w:rPr>
          <w:b/>
          <w:bCs/>
          <w:color w:val="2E7D32"/>
        </w:rPr>
        <w:t xml:space="preserve">INDIAN CONTEXT: </w:t>
      </w:r>
      <w:r>
        <w:rPr>
          <w:b/>
          <w:bCs/>
        </w:rPr>
        <w:t xml:space="preserve">An essential communitarian context.</w:t>
      </w:r>
      <w:r>
        <w:t xml:space="preserve"> The Catholic Church, a communion of Churches in communion with Rome, plays a real role in receiving the faith through the sensus fidelium, and in dialogue with other Christian communities, Ecumenism. This same communitarian criterion is what allows the Church in India, herself a communion of the Latin, Syro-Malabar and Syro-Malankara Individual Churches studied in Chapter 4, to remain fully Catholic while living out three distinct ecclesial Traditions at once.</w:t>
      </w:r>
      <w:r>
        <w:rPr>
          <w:rStyle w:val="FootnoteReference"/>
        </w:rPr>
        <w:footnoteReference w:id="37"/>
      </w:r>
    </w:p>
    <w:p>
      <w:pPr>
        <w:pStyle w:val="ListParagraph"/>
        <w:numPr>
          <w:ilvl w:val="0"/>
          <w:numId w:val="1"/>
        </w:numPr>
        <w:spacing w:after="80"/>
      </w:pPr>
      <w:r>
        <w:rPr>
          <w:b/>
          <w:bCs/>
        </w:rPr>
        <w:t xml:space="preserve">Catholicity in time (continuity with the past).</w:t>
      </w:r>
      <w:r>
        <w:t xml:space="preserve"> Catholic theology maintains real continuity with the past, resisting relativism, while still allowing deeper understanding and growth in how that faith is understood.</w:t>
      </w:r>
    </w:p>
    <w:p>
      <w:pPr>
        <w:pStyle w:val="ListParagraph"/>
        <w:numPr>
          <w:ilvl w:val="0"/>
          <w:numId w:val="1"/>
        </w:numPr>
        <w:spacing w:after="80"/>
      </w:pPr>
      <w:r>
        <w:rPr>
          <w:b/>
          <w:bCs/>
        </w:rPr>
        <w:t xml:space="preserve">The Sacramental Principle.</w:t>
      </w:r>
      <w:r>
        <w:t xml:space="preserve"> God’s self-communication is normally mediated through created realities, supremely and above all in the Christ event itself.</w:t>
      </w:r>
    </w:p>
    <w:p>
      <w:pPr>
        <w:pStyle w:val="ListParagraph"/>
        <w:numPr>
          <w:ilvl w:val="0"/>
          <w:numId w:val="1"/>
        </w:numPr>
        <w:spacing w:after="80"/>
      </w:pPr>
      <w:r>
        <w:rPr>
          <w:b/>
          <w:bCs/>
        </w:rPr>
        <w:t xml:space="preserve">Revelation transmitted through Scripture and Tradition together</w:t>
      </w:r>
      <w:r>
        <w:t xml:space="preserve">, meaning Scripture must always be understood within Tradition, not apart from it.</w:t>
      </w:r>
    </w:p>
    <w:p>
      <w:pPr>
        <w:pStyle w:val="ListParagraph"/>
        <w:numPr>
          <w:ilvl w:val="0"/>
          <w:numId w:val="1"/>
        </w:numPr>
        <w:spacing w:after="80"/>
      </w:pPr>
      <w:r>
        <w:rPr>
          <w:b/>
          <w:bCs/>
        </w:rPr>
        <w:t xml:space="preserve">A real role for authority</w:t>
      </w:r>
      <w:r>
        <w:t xml:space="preserve">, above all the Magisterium, which carries the specific mission and charism of teaching with authority, while recognising, methodologically, that not every magisterial statement carries equal weight: each, from the most definitive to a merely prudential admonition, deserves its own due and proportionate respect.</w:t>
      </w:r>
      <w:r>
        <w:rPr>
          <w:rStyle w:val="FootnoteReference"/>
        </w:rPr>
        <w:footnoteReference w:id="38"/>
      </w:r>
    </w:p>
    <w:p>
      <w:pPr>
        <w:pStyle w:val="Heading2"/>
        <w:spacing w:after="120" w:before="220"/>
      </w:pPr>
      <w:r>
        <w:t xml:space="preserve">Questions for Review</w:t>
      </w:r>
    </w:p>
    <w:p>
      <w:pPr>
        <w:pStyle w:val="ListParagraph"/>
        <w:spacing w:after="80"/>
        <w:ind w:left="720" w:hanging="360"/>
      </w:pPr>
      <w:r>
        <w:t xml:space="preserve">1. Why does Christian Theology need a criterion for its authenticity? Give reasons for the same.</w:t>
      </w:r>
    </w:p>
    <w:p>
      <w:pPr>
        <w:pStyle w:val="ListParagraph"/>
        <w:spacing w:after="80"/>
        <w:ind w:left="720" w:hanging="360"/>
      </w:pPr>
      <w:r>
        <w:t xml:space="preserve">2. As regards the criterion in concrete, what would be the different emphases which characterize respectively the Orthodox, the Protestant and the Roman Catholic stances on the issue?</w:t>
      </w:r>
    </w:p>
    <w:p>
      <w:pPr>
        <w:pStyle w:val="ListParagraph"/>
        <w:spacing w:after="80"/>
        <w:ind w:left="720" w:hanging="360"/>
      </w:pPr>
      <w:r>
        <w:t xml:space="preserve">3. How does the Roman Catholic Church understand the role of the Magisterium in authenticating a theological assertion?</w:t>
      </w:r>
    </w:p>
    <w:p>
      <w:pPr>
        <w:pStyle w:val="ListParagraph"/>
        <w:spacing w:after="80"/>
        <w:ind w:left="720" w:hanging="360"/>
      </w:pPr>
      <w:r>
        <w:t xml:space="preserve">4. Describe the different gradations of Church doctrines and the different types of assent due to them.</w:t>
      </w:r>
    </w:p>
    <w:p>
      <w:pPr>
        <w:pStyle w:val="ListParagraph"/>
        <w:spacing w:after="80"/>
        <w:ind w:left="720" w:hanging="360"/>
      </w:pPr>
      <w:r>
        <w:t xml:space="preserve">5. What is the role of the professional theologian in the theological enterprise?</w:t>
      </w:r>
    </w:p>
    <w:p>
      <w:pPr>
        <w:pStyle w:val="ListParagraph"/>
        <w:spacing w:after="80"/>
        <w:ind w:left="720" w:hanging="360"/>
      </w:pPr>
      <w:r>
        <w:t xml:space="preserve">6. Trace in its broad outlines the parameters of the Catholic theological enterprise.</w:t>
      </w:r>
      <w:r>
        <w:rPr>
          <w:rStyle w:val="FootnoteReference"/>
        </w:rPr>
        <w:footnoteReference w:id="39"/>
      </w:r>
    </w:p>
    <w:p>
      <w:pPr>
        <w:pStyle w:val="Heading2"/>
        <w:spacing w:after="120" w:before="220"/>
      </w:pPr>
      <w:r>
        <w:t xml:space="preserve">Select Bibliography</w:t>
      </w:r>
    </w:p>
    <w:p>
      <w:pPr>
        <w:spacing w:after="120"/>
      </w:pPr>
      <w:r>
        <w:t xml:space="preserve">As listed at the close of Chapter 5, arranged alphabetically.</w:t>
      </w:r>
    </w:p>
    <w:p>
      <w:pPr>
        <w:spacing w:after="120"/>
        <w:ind w:left="720" w:hanging="720"/>
      </w:pPr>
      <w:r>
        <w:rPr/>
        <w:t xml:space="preserve">Congar, Yves M.J., O.P. </w:t>
      </w:r>
      <w:r>
        <w:rPr>
          <w:i/>
          <w:iCs/>
        </w:rPr>
        <w:t xml:space="preserve">Tradition and the Life of the Church</w:t>
      </w:r>
      <w:r>
        <w:rPr/>
        <w:t xml:space="preserve">. London: Burns and Oates, 1964.</w:t>
      </w:r>
    </w:p>
    <w:p>
      <w:pPr>
        <w:spacing w:after="120"/>
        <w:ind w:left="720" w:hanging="720"/>
      </w:pPr>
      <w:r>
        <w:t xml:space="preserve">Congregation for the Doctrine of the Faith. “Instruction on the Ecclesial Vocation of the Theologian.” L’Osservatore Romano, no. 27 (1147), 2 July 1990, pp. 1-4.</w:t>
      </w:r>
    </w:p>
    <w:p>
      <w:pPr>
        <w:spacing w:after="120"/>
        <w:ind w:left="720" w:hanging="720"/>
      </w:pPr>
      <w:r>
        <w:rPr/>
        <w:t xml:space="preserve">Dulles, Avery. “Criteria of Catholic Theology.” </w:t>
      </w:r>
      <w:r>
        <w:rPr>
          <w:i/>
          <w:iCs/>
        </w:rPr>
        <w:t xml:space="preserve">Communio</w:t>
      </w:r>
      <w:r>
        <w:rPr/>
        <w:t xml:space="preserve"> (Summer 1995), pp. 303-315.</w:t>
      </w:r>
    </w:p>
    <w:p>
      <w:pPr>
        <w:spacing w:after="120"/>
        <w:ind w:left="720" w:hanging="720"/>
      </w:pPr>
      <w:r>
        <w:rPr/>
        <w:t xml:space="preserve">Gaillardetz, Richard R. </w:t>
      </w:r>
      <w:r>
        <w:rPr>
          <w:i/>
          <w:iCs/>
        </w:rPr>
        <w:t xml:space="preserve">Teaching with Authority: A Theology of the Magisterium in the Church</w:t>
      </w:r>
      <w:r>
        <w:rPr/>
        <w:t xml:space="preserve">. Collegeville, MN: The Liturgical Press, 1997.</w:t>
      </w:r>
    </w:p>
    <w:p>
      <w:pPr>
        <w:spacing w:after="120"/>
        <w:ind w:left="720" w:hanging="720"/>
      </w:pPr>
      <w:r>
        <w:rPr/>
        <w:t xml:space="preserve">O’Brien, Elmer, ed. </w:t>
      </w:r>
      <w:r>
        <w:rPr>
          <w:i/>
          <w:iCs/>
        </w:rPr>
        <w:t xml:space="preserve">The Convergence of Traditions: Orthodox, Catholic, Protestant</w:t>
      </w:r>
      <w:r>
        <w:rPr/>
        <w:t xml:space="preserve">. Contemporary College Theology Series. New York: Herder and Herder, 1967.</w:t>
      </w:r>
    </w:p>
    <w:p>
      <w:pPr>
        <w:spacing w:after="120"/>
        <w:ind w:left="720" w:hanging="720"/>
      </w:pPr>
      <w:r>
        <w:rPr/>
        <w:t xml:space="preserve">Pathil, Kuncheria, and Dominic Veliath. </w:t>
      </w:r>
      <w:r>
        <w:rPr>
          <w:i/>
          <w:iCs/>
        </w:rPr>
        <w:t xml:space="preserve">An Introduction to Theology</w:t>
      </w:r>
      <w:r>
        <w:rPr/>
        <w:t xml:space="preserve">. Indian Theological Series. Publisher and year not verified in the source scan; confirm against the printed edition.</w:t>
      </w:r>
    </w:p>
    <w:p>
      <w:pPr>
        <w:spacing w:after="120"/>
        <w:ind w:left="720" w:hanging="720"/>
      </w:pPr>
      <w:r>
        <w:rPr/>
        <w:t xml:space="preserve">Sullivan, Francis A. </w:t>
      </w:r>
      <w:r>
        <w:rPr>
          <w:i/>
          <w:iCs/>
        </w:rPr>
        <w:t xml:space="preserve">Magisterium: Teaching Authority in the Catholic Church</w:t>
      </w:r>
      <w:r>
        <w:rPr/>
        <w:t xml:space="preserve">. Dublin: Gill and Macmillan, 1983.</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sz w:val="20"/>
          <w:szCs w:val="20"/>
        </w:rPr>
        <w:t xml:space="preserve">Kuncheria Pathil and Dominic Veliath, </w:t>
      </w:r>
      <w:r>
        <w:rPr>
          <w:i/>
          <w:iCs/>
          <w:sz w:val="20"/>
          <w:szCs w:val="20"/>
        </w:rPr>
        <w:t xml:space="preserve">An Introduction to Theology</w:t>
      </w:r>
      <w:r>
        <w:rPr>
          <w:sz w:val="20"/>
          <w:szCs w:val="20"/>
        </w:rPr>
        <w:t xml:space="preserve">, Indian Theological Series, chap. 5.</w:t>
      </w:r>
    </w:p>
  </w:footnote>
  <w:footnote w:id="2">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5, sec. A.</w:t>
      </w:r>
    </w:p>
  </w:footnote>
  <w:footnote w:id="3">
    <w:p>
      <w:r>
        <w:rPr>
          <w:rStyle w:val="FootnoteReference"/>
        </w:rPr>
        <w:footnoteRef/>
      </w:r>
      <w:r>
        <w:rPr>
          <w:sz w:val="20"/>
          <w:szCs w:val="20"/>
        </w:rPr>
        <w:t xml:space="preserve">Roy Eckhart, </w:t>
      </w:r>
      <w:r>
        <w:rPr>
          <w:i/>
          <w:iCs/>
          <w:sz w:val="20"/>
          <w:szCs w:val="20"/>
        </w:rPr>
        <w:t xml:space="preserve">The Theologian at Work</w:t>
      </w:r>
      <w:r>
        <w:rPr>
          <w:sz w:val="20"/>
          <w:szCs w:val="20"/>
        </w:rPr>
        <w:t xml:space="preserve"> (New York, 1969), 212, cited in Pathil and Veliath, </w:t>
      </w:r>
      <w:r>
        <w:rPr>
          <w:i/>
          <w:iCs/>
          <w:sz w:val="20"/>
          <w:szCs w:val="20"/>
        </w:rPr>
        <w:t xml:space="preserve">An Introduction to Theology</w:t>
      </w:r>
      <w:r>
        <w:rPr>
          <w:sz w:val="20"/>
          <w:szCs w:val="20"/>
        </w:rPr>
        <w:t xml:space="preserve">, chap. 5, sec. A.</w:t>
      </w:r>
    </w:p>
  </w:footnote>
  <w:footnote w:id="4">
    <w:p>
      <w:r>
        <w:rPr>
          <w:rStyle w:val="FootnoteReference"/>
        </w:rPr>
        <w:footnoteRef/>
      </w:r>
      <w:r>
        <w:rPr>
          <w:i/>
          <w:iCs/>
          <w:sz w:val="20"/>
          <w:szCs w:val="20"/>
        </w:rPr>
        <w:t xml:space="preserve">Evangelii Nuntiandi</w:t>
      </w:r>
      <w:r>
        <w:rPr>
          <w:sz w:val="20"/>
          <w:szCs w:val="20"/>
        </w:rPr>
        <w:t xml:space="preserve">, no. 65, cited in Pathil and Veliath, </w:t>
      </w:r>
      <w:r>
        <w:rPr>
          <w:i/>
          <w:iCs/>
          <w:sz w:val="20"/>
          <w:szCs w:val="20"/>
        </w:rPr>
        <w:t xml:space="preserve">An Introduction to Theology</w:t>
      </w:r>
      <w:r>
        <w:rPr>
          <w:sz w:val="20"/>
          <w:szCs w:val="20"/>
        </w:rPr>
        <w:t xml:space="preserve">, chap. 5, sec. A.</w:t>
      </w:r>
    </w:p>
  </w:footnote>
  <w:footnote w:id="5">
    <w:p>
      <w:r>
        <w:rPr>
          <w:rStyle w:val="FootnoteReference"/>
        </w:rPr>
        <w:footnoteRef/>
      </w:r>
      <w:r>
        <w:rPr>
          <w:sz w:val="20"/>
          <w:szCs w:val="20"/>
        </w:rPr>
        <w:t xml:space="preserve">Raimundo Panikkar, cited in Pathil and Veliath, </w:t>
      </w:r>
      <w:r>
        <w:rPr>
          <w:i/>
          <w:iCs/>
          <w:sz w:val="20"/>
          <w:szCs w:val="20"/>
        </w:rPr>
        <w:t xml:space="preserve">An Introduction to Theology</w:t>
      </w:r>
      <w:r>
        <w:rPr>
          <w:sz w:val="20"/>
          <w:szCs w:val="20"/>
        </w:rPr>
        <w:t xml:space="preserve">, chap. 5, sec. B.</w:t>
      </w:r>
    </w:p>
  </w:footnote>
  <w:footnote w:id="6">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5, sec. C.</w:t>
      </w:r>
    </w:p>
  </w:footnote>
  <w:footnote w:id="7">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5, sec. C.</w:t>
      </w:r>
    </w:p>
  </w:footnote>
  <w:footnote w:id="8">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5, sec. D.</w:t>
      </w:r>
    </w:p>
  </w:footnote>
  <w:footnote w:id="9">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5, sec. E.</w:t>
      </w:r>
    </w:p>
  </w:footnote>
  <w:footnote w:id="10">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5, sec. E.</w:t>
      </w:r>
    </w:p>
  </w:footnote>
  <w:footnote w:id="11">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5, sec. E.</w:t>
      </w:r>
    </w:p>
  </w:footnote>
  <w:footnote w:id="12">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5, sec. E.1.</w:t>
      </w:r>
    </w:p>
  </w:footnote>
  <w:footnote w:id="13">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5, sec. E.1.</w:t>
      </w:r>
    </w:p>
  </w:footnote>
  <w:footnote w:id="14">
    <w:p>
      <w:r>
        <w:rPr>
          <w:rStyle w:val="FootnoteReference"/>
        </w:rPr>
        <w:footnoteRef/>
      </w:r>
      <w:r>
        <w:rPr>
          <w:i/>
          <w:iCs/>
          <w:sz w:val="20"/>
          <w:szCs w:val="20"/>
        </w:rPr>
        <w:t xml:space="preserve">The Christian Faith</w:t>
      </w:r>
      <w:r>
        <w:rPr>
          <w:sz w:val="20"/>
          <w:szCs w:val="20"/>
        </w:rPr>
        <w:t xml:space="preserve">, no. 213, cited in Pathil and Veliath, </w:t>
      </w:r>
      <w:r>
        <w:rPr>
          <w:i/>
          <w:iCs/>
          <w:sz w:val="20"/>
          <w:szCs w:val="20"/>
        </w:rPr>
        <w:t xml:space="preserve">An Introduction to Theology</w:t>
      </w:r>
      <w:r>
        <w:rPr>
          <w:sz w:val="20"/>
          <w:szCs w:val="20"/>
        </w:rPr>
        <w:t xml:space="preserve">, chap. 5, sec. E.1.</w:t>
      </w:r>
    </w:p>
  </w:footnote>
  <w:footnote w:id="15">
    <w:p>
      <w:r>
        <w:rPr>
          <w:rStyle w:val="FootnoteReference"/>
        </w:rPr>
        <w:footnoteRef/>
      </w:r>
      <w:r>
        <w:rPr>
          <w:i/>
          <w:iCs/>
          <w:sz w:val="20"/>
          <w:szCs w:val="20"/>
        </w:rPr>
        <w:t xml:space="preserve">Dei Verbum</w:t>
      </w:r>
      <w:r>
        <w:rPr>
          <w:sz w:val="20"/>
          <w:szCs w:val="20"/>
        </w:rPr>
        <w:t xml:space="preserve">, no. 12, cited in Pathil and Veliath, </w:t>
      </w:r>
      <w:r>
        <w:rPr>
          <w:i/>
          <w:iCs/>
          <w:sz w:val="20"/>
          <w:szCs w:val="20"/>
        </w:rPr>
        <w:t xml:space="preserve">An Introduction to Theology</w:t>
      </w:r>
      <w:r>
        <w:rPr>
          <w:sz w:val="20"/>
          <w:szCs w:val="20"/>
        </w:rPr>
        <w:t xml:space="preserve">, chap. 5, sec. E.1.</w:t>
      </w:r>
    </w:p>
  </w:footnote>
  <w:footnote w:id="16">
    <w:p>
      <w:r>
        <w:rPr>
          <w:rStyle w:val="FootnoteReference"/>
        </w:rPr>
        <w:footnoteRef/>
      </w:r>
      <w:r>
        <w:rPr>
          <w:sz w:val="20"/>
          <w:szCs w:val="20"/>
        </w:rPr>
        <w:t xml:space="preserve">J.M.R. Tillard, </w:t>
      </w:r>
      <w:r>
        <w:rPr>
          <w:i/>
          <w:iCs/>
          <w:sz w:val="20"/>
          <w:szCs w:val="20"/>
        </w:rPr>
        <w:t xml:space="preserve">Church of Churches: The Ecclesiology of Communion</w:t>
      </w:r>
      <w:r>
        <w:rPr>
          <w:sz w:val="20"/>
          <w:szCs w:val="20"/>
        </w:rPr>
        <w:t xml:space="preserve"> (Collegeville, MN, 1992), 141, cited in Pathil and Veliath, </w:t>
      </w:r>
      <w:r>
        <w:rPr>
          <w:i/>
          <w:iCs/>
          <w:sz w:val="20"/>
          <w:szCs w:val="20"/>
        </w:rPr>
        <w:t xml:space="preserve">An Introduction to Theology</w:t>
      </w:r>
      <w:r>
        <w:rPr>
          <w:sz w:val="20"/>
          <w:szCs w:val="20"/>
        </w:rPr>
        <w:t xml:space="preserve">, chap. 5, sec. E.2.</w:t>
      </w:r>
    </w:p>
  </w:footnote>
  <w:footnote w:id="17">
    <w:p>
      <w:r>
        <w:rPr>
          <w:rStyle w:val="FootnoteReference"/>
        </w:rPr>
        <w:footnoteRef/>
      </w:r>
      <w:r>
        <w:rPr>
          <w:sz w:val="20"/>
          <w:szCs w:val="20"/>
        </w:rPr>
        <w:t xml:space="preserve">Yves M.J. Congar, </w:t>
      </w:r>
      <w:r>
        <w:rPr>
          <w:i/>
          <w:iCs/>
          <w:sz w:val="20"/>
          <w:szCs w:val="20"/>
        </w:rPr>
        <w:t xml:space="preserve">Tradition and Traditions</w:t>
      </w:r>
      <w:r>
        <w:rPr>
          <w:sz w:val="20"/>
          <w:szCs w:val="20"/>
        </w:rPr>
        <w:t xml:space="preserve"> (New York, 1967), 458, cited in Pathil and Veliath, </w:t>
      </w:r>
      <w:r>
        <w:rPr>
          <w:i/>
          <w:iCs/>
          <w:sz w:val="20"/>
          <w:szCs w:val="20"/>
        </w:rPr>
        <w:t xml:space="preserve">An Introduction to Theology</w:t>
      </w:r>
      <w:r>
        <w:rPr>
          <w:sz w:val="20"/>
          <w:szCs w:val="20"/>
        </w:rPr>
        <w:t xml:space="preserve">, chap. 5, sec. E.2.</w:t>
      </w:r>
    </w:p>
  </w:footnote>
  <w:footnote w:id="18">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5, sec. F.</w:t>
      </w:r>
    </w:p>
  </w:footnote>
  <w:footnote w:id="19">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5, sec. F.1.</w:t>
      </w:r>
    </w:p>
  </w:footnote>
  <w:footnote w:id="20">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5, sec. F.1.</w:t>
      </w:r>
    </w:p>
  </w:footnote>
  <w:footnote w:id="21">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5, sec. F.2.</w:t>
      </w:r>
    </w:p>
  </w:footnote>
  <w:footnote w:id="22">
    <w:p>
      <w:r>
        <w:rPr>
          <w:rStyle w:val="FootnoteReference"/>
        </w:rPr>
        <w:footnoteRef/>
      </w:r>
      <w:r>
        <w:rPr>
          <w:sz w:val="20"/>
          <w:szCs w:val="20"/>
        </w:rPr>
        <w:t xml:space="preserve">Council of Trent, Decree on Sacred Books and on Traditions, cited in </w:t>
      </w:r>
      <w:r>
        <w:rPr>
          <w:i/>
          <w:iCs/>
          <w:sz w:val="20"/>
          <w:szCs w:val="20"/>
        </w:rPr>
        <w:t xml:space="preserve">The Christian Faith</w:t>
      </w:r>
      <w:r>
        <w:rPr>
          <w:sz w:val="20"/>
          <w:szCs w:val="20"/>
        </w:rPr>
        <w:t xml:space="preserve">, no. 210, cited in Pathil and Veliath, </w:t>
      </w:r>
      <w:r>
        <w:rPr>
          <w:i/>
          <w:iCs/>
          <w:sz w:val="20"/>
          <w:szCs w:val="20"/>
        </w:rPr>
        <w:t xml:space="preserve">An Introduction to Theology</w:t>
      </w:r>
      <w:r>
        <w:rPr>
          <w:sz w:val="20"/>
          <w:szCs w:val="20"/>
        </w:rPr>
        <w:t xml:space="preserve">, chap. 5, sec. F.2.</w:t>
      </w:r>
    </w:p>
  </w:footnote>
  <w:footnote w:id="23">
    <w:p>
      <w:r>
        <w:rPr>
          <w:rStyle w:val="FootnoteReference"/>
        </w:rPr>
        <w:footnoteRef/>
      </w:r>
      <w:r>
        <w:rPr>
          <w:sz w:val="20"/>
          <w:szCs w:val="20"/>
        </w:rPr>
        <w:t xml:space="preserve">Avery Dulles, </w:t>
      </w:r>
      <w:r>
        <w:rPr>
          <w:i/>
          <w:iCs/>
          <w:sz w:val="20"/>
          <w:szCs w:val="20"/>
        </w:rPr>
        <w:t xml:space="preserve">The Resilient Church: The Necessity and Limits of Adaptation</w:t>
      </w:r>
      <w:r>
        <w:rPr>
          <w:sz w:val="20"/>
          <w:szCs w:val="20"/>
        </w:rPr>
        <w:t xml:space="preserve"> (Dublin, 1977), 95-96, cited in Pathil and Veliath, </w:t>
      </w:r>
      <w:r>
        <w:rPr>
          <w:i/>
          <w:iCs/>
          <w:sz w:val="20"/>
          <w:szCs w:val="20"/>
        </w:rPr>
        <w:t xml:space="preserve">An Introduction to Theology</w:t>
      </w:r>
      <w:r>
        <w:rPr>
          <w:sz w:val="20"/>
          <w:szCs w:val="20"/>
        </w:rPr>
        <w:t xml:space="preserve">, chap. 5, sec. F.2.</w:t>
      </w:r>
    </w:p>
  </w:footnote>
  <w:footnote w:id="24">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5, sec. G.1.</w:t>
      </w:r>
    </w:p>
  </w:footnote>
  <w:footnote w:id="25">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5, sec. G.2.</w:t>
      </w:r>
    </w:p>
  </w:footnote>
  <w:footnote w:id="26">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5, sec. G.2.</w:t>
      </w:r>
    </w:p>
  </w:footnote>
  <w:footnote w:id="27">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5, sec. G.3.</w:t>
      </w:r>
    </w:p>
  </w:footnote>
  <w:footnote w:id="28">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5, sec. G.4.</w:t>
      </w:r>
    </w:p>
  </w:footnote>
  <w:footnote w:id="29">
    <w:p>
      <w:r>
        <w:rPr>
          <w:rStyle w:val="FootnoteReference"/>
        </w:rPr>
        <w:footnoteRef/>
      </w:r>
      <w:r>
        <w:rPr>
          <w:i/>
          <w:iCs/>
          <w:sz w:val="20"/>
          <w:szCs w:val="20"/>
        </w:rPr>
        <w:t xml:space="preserve">Lumen Gentium</w:t>
      </w:r>
      <w:r>
        <w:rPr>
          <w:sz w:val="20"/>
          <w:szCs w:val="20"/>
        </w:rPr>
        <w:t xml:space="preserve">, no. 25, cited in Pathil and Veliath, </w:t>
      </w:r>
      <w:r>
        <w:rPr>
          <w:i/>
          <w:iCs/>
          <w:sz w:val="20"/>
          <w:szCs w:val="20"/>
        </w:rPr>
        <w:t xml:space="preserve">An Introduction to Theology</w:t>
      </w:r>
      <w:r>
        <w:rPr>
          <w:sz w:val="20"/>
          <w:szCs w:val="20"/>
        </w:rPr>
        <w:t xml:space="preserve">, chap. 5, sec. G.4.</w:t>
      </w:r>
    </w:p>
  </w:footnote>
  <w:footnote w:id="30">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5, sec. G.5.</w:t>
      </w:r>
    </w:p>
  </w:footnote>
  <w:footnote w:id="31">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5, sec. G.5.</w:t>
      </w:r>
    </w:p>
  </w:footnote>
  <w:footnote w:id="32">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5, sec. G.6.</w:t>
      </w:r>
    </w:p>
  </w:footnote>
  <w:footnote w:id="33">
    <w:p>
      <w:r>
        <w:rPr>
          <w:rStyle w:val="FootnoteReference"/>
        </w:rPr>
        <w:footnoteRef/>
      </w:r>
      <w:r>
        <w:rPr>
          <w:i/>
          <w:iCs/>
          <w:sz w:val="20"/>
          <w:szCs w:val="20"/>
        </w:rPr>
        <w:t xml:space="preserve">Lumen Gentium</w:t>
      </w:r>
      <w:r>
        <w:rPr>
          <w:sz w:val="20"/>
          <w:szCs w:val="20"/>
        </w:rPr>
        <w:t xml:space="preserve">, no. 12, cited in Pathil and Veliath, </w:t>
      </w:r>
      <w:r>
        <w:rPr>
          <w:i/>
          <w:iCs/>
          <w:sz w:val="20"/>
          <w:szCs w:val="20"/>
        </w:rPr>
        <w:t xml:space="preserve">An Introduction to Theology</w:t>
      </w:r>
      <w:r>
        <w:rPr>
          <w:sz w:val="20"/>
          <w:szCs w:val="20"/>
        </w:rPr>
        <w:t xml:space="preserve">, chap. 5, sec. G.7.</w:t>
      </w:r>
    </w:p>
  </w:footnote>
  <w:footnote w:id="34">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5, sec. G.8.</w:t>
      </w:r>
    </w:p>
  </w:footnote>
  <w:footnote w:id="35">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5, sec. G.9.</w:t>
      </w:r>
    </w:p>
  </w:footnote>
  <w:footnote w:id="36">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5, sec. H.</w:t>
      </w:r>
    </w:p>
  </w:footnote>
  <w:footnote w:id="37">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5, sec. H.</w:t>
      </w:r>
    </w:p>
  </w:footnote>
  <w:footnote w:id="38">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5, sec. H.</w:t>
      </w:r>
    </w:p>
  </w:footnote>
  <w:footnote w:id="39">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5, end of chapter.</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sz w:val="32"/>
      <w:szCs w:val="32"/>
    </w:rPr>
  </w:style>
  <w:style w:type="paragraph" w:styleId="Heading2">
    <w:name w:val="Heading 2"/>
    <w:basedOn w:val="Normal"/>
    <w:next w:val="Normal"/>
    <w:qFormat/>
    <w:rPr>
      <w:rFonts w:ascii="Times New Roman" w:cs="Times New Roman" w:eastAsia="Times New Roman" w:hAnsi="Times New Roman"/>
      <w:b/>
      <w:bCs/>
      <w:sz w:val="28"/>
      <w:szCs w:val="28"/>
    </w:rPr>
  </w:style>
  <w:style w:type="paragraph" w:styleId="Heading3">
    <w:name w:val="Heading 3"/>
    <w:basedOn w:val="Normal"/>
    <w:next w:val="Normal"/>
    <w:qFormat/>
    <w:rPr>
      <w:rFonts w:ascii="Times New Roman" w:cs="Times New Roman" w:eastAsia="Times New Roman" w:hAnsi="Times New Roman"/>
      <w:b/>
      <w:bCs/>
      <w:sz w:val="26"/>
      <w:szCs w:val="2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2026-07-15T20:12:57.415Z</dcterms:created>
  <dcterms:modified xsi:type="dcterms:W3CDTF">2026-07-15T20:12:57.417Z</dcterms:modified>
</cp:coreProperties>
</file>

<file path=docProps/custom.xml><?xml version="1.0" encoding="utf-8"?>
<Properties xmlns="http://schemas.openxmlformats.org/officeDocument/2006/custom-properties" xmlns:vt="http://schemas.openxmlformats.org/officeDocument/2006/docPropsVTypes"/>
</file>