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t xml:space="preserve">Chapter 6: Theologizing in the Indian Context</w:t>
      </w:r>
    </w:p>
    <w:p>
      <w:pPr>
        <w:spacing w:after="120"/>
      </w:pPr>
      <w:r>
        <w:t xml:space="preserve">Class Notes on Kuncheria Pathil, CMI, and Dominic Veliath, SDB, </w:t>
      </w:r>
      <w:r>
        <w:rPr>
          <w:i/>
          <w:iCs/>
        </w:rPr>
        <w:t xml:space="preserve">An Introduction to Theology</w:t>
      </w:r>
      <w:r>
        <w:t xml:space="preserve">, Indian Theological Series. Written for students, in plain English, with the book’s own quotes and page references so you can check them yourself.</w:t>
      </w:r>
      <w:r>
        <w:rPr>
          <w:rStyle w:val="FootnoteReference"/>
        </w:rPr>
        <w:footnoteReference w:id="1"/>
      </w:r>
    </w:p>
    <w:p>
      <w:pPr>
        <w:spacing w:after="120"/>
      </w:pPr>
      <w:r>
        <w:t xml:space="preserve">Every earlier chapter built toward this one. This final Chapter asks the most concrete question of all: what does theologizing actually look like when it happens in India, in India’s own Churches, cultures and religions, and India’s own socio-economic and political struggles? When the Gospel met the Greeks, Romans and Syrians, it became Greek, Roman and Syrian theology through a real incarnational process. Did the same thing happen when the Gospel met India?</w:t>
      </w:r>
    </w:p>
    <w:p>
      <w:pPr>
        <w:pStyle w:val="Heading2"/>
        <w:spacing w:after="120" w:before="220"/>
      </w:pPr>
      <w:r>
        <w:t xml:space="preserve">A. The Different Ecclesial Traditions in India</w:t>
      </w:r>
    </w:p>
    <w:p>
      <w:pPr>
        <w:pStyle w:val="Heading3"/>
        <w:spacing w:after="100" w:before="180"/>
      </w:pPr>
      <w:r>
        <w:t xml:space="preserve">1. The St. Thomas Christians</w:t>
      </w:r>
    </w:p>
    <w:p>
      <w:pPr>
        <w:spacing w:after="120"/>
      </w:pPr>
      <w:r>
        <w:t xml:space="preserve">According to tradition, the Apostle St. Thomas reached the South Indian coast with Arabian traders in </w:t>
      </w:r>
      <w:r>
        <w:rPr>
          <w:b/>
          <w:bCs/>
        </w:rPr>
        <w:t xml:space="preserve">52 AD</w:t>
      </w:r>
      <w:r>
        <w:t xml:space="preserve">, preached the Gospel, and established the Church in India from the first century itself.</w:t>
      </w:r>
      <w:r>
        <w:rPr>
          <w:rStyle w:val="FootnoteReference"/>
        </w:rPr>
        <w:footnoteReference w:id="2"/>
      </w:r>
      <w:r>
        <w:t xml:space="preserve"> Historians describe them as “Hindu in culture, Christian in faith and Syrian in worship.” They kept their Indian social and cultural customs entirely; only their liturgy became Chaldean or Syrian, the result of Persian Christian immigrants arriving in the fourth century, bringing their own clergy and bishops with them.</w:t>
      </w:r>
    </w:p>
    <w:p>
      <w:pPr>
        <w:pBdr>
          <w:left w:val="single" w:color="2E7D32" w:sz="24"/>
        </w:pBdr>
        <w:shd w:fill="E8F5E9" w:val="clear"/>
        <w:spacing w:after="160" w:before="160"/>
        <w:ind w:left="240"/>
      </w:pPr>
      <w:r>
        <w:rPr>
          <w:b/>
          <w:bCs/>
          <w:color w:val="2E7D32"/>
        </w:rPr>
        <w:t xml:space="preserve">INDIAN CONTEXT: </w:t>
      </w:r>
      <w:r>
        <w:t xml:space="preserve">Today this ancient Church is divided into </w:t>
      </w:r>
      <w:r>
        <w:rPr>
          <w:b/>
          <w:bCs/>
        </w:rPr>
        <w:t xml:space="preserve">eight different Oriental Churches</w:t>
      </w:r>
      <w:r>
        <w:t xml:space="preserve">: (1) the Syro-Malabar Church, always in communion with Rome, about 5 million members, now a Major Archiepiscopal Church; (2) the Syrian Orthodox Jacobite Church and (3) the Malankara Orthodox Syrian Church, originally one Church, split in 1970, together about 2 million members; (4) the Mar Thoma Church, arising from Anglican-influenced reform in the nineteenth century, about 900 parishes; (5) the Syro-Malankara Catholic Church, reunited with Rome in 1930, about 5 lakh members; (6) the Chaldean Syrian Church, about 20,000 members around Trichur; (7) the Independent Syrian Church of Malabar (Thozhiyur Church); and (8) the St. Thomas Evangelical Church of India, separated from the Mar Thoma Church in 1961.</w:t>
      </w:r>
      <w:r>
        <w:rPr>
          <w:rStyle w:val="FootnoteReference"/>
        </w:rPr>
        <w:footnoteReference w:id="3"/>
      </w:r>
    </w:p>
    <w:p>
      <w:pPr>
        <w:pStyle w:val="Heading3"/>
        <w:spacing w:after="100" w:before="180"/>
      </w:pPr>
      <w:r>
        <w:t xml:space="preserve">2. The Catholic Church of the Roman or Latin Rite in India</w:t>
      </w:r>
    </w:p>
    <w:p>
      <w:pPr>
        <w:spacing w:after="120"/>
      </w:pPr>
      <w:r>
        <w:t xml:space="preserve">The present Latin Catholic Church in India traces to the Portuguese missionary era. The Franciscans arrived around 1518, but it was </w:t>
      </w:r>
      <w:r>
        <w:rPr>
          <w:b/>
          <w:bCs/>
        </w:rPr>
        <w:t xml:space="preserve">St. Francis Xavier</w:t>
      </w:r>
      <w:r>
        <w:t xml:space="preserve">, arriving in Goa in 1542, who became known as the Apostle of Latin Christianity in India. His work, and that of successors like </w:t>
      </w:r>
      <w:r>
        <w:rPr>
          <w:b/>
          <w:bCs/>
        </w:rPr>
        <w:t xml:space="preserve">Robert de Nobili</w:t>
      </w:r>
      <w:r>
        <w:t xml:space="preserve"> from 1606 in Madurai, spread from the coastal Portuguese trade centres into the interior and eventually to Bengal, Delhi and Agra.</w:t>
      </w:r>
      <w:r>
        <w:rPr>
          <w:rStyle w:val="FootnoteReference"/>
        </w:rPr>
        <w:footnoteReference w:id="4"/>
      </w:r>
    </w:p>
    <w:p>
      <w:pPr>
        <w:spacing w:after="120"/>
      </w:pPr>
      <w:r>
        <w:t xml:space="preserve">The hierarchy for India was established in </w:t>
      </w:r>
      <w:r>
        <w:rPr>
          <w:b/>
          <w:bCs/>
        </w:rPr>
        <w:t xml:space="preserve">1886</w:t>
      </w:r>
      <w:r>
        <w:t xml:space="preserve">. Today the Latin Church is the biggest Church in India, with 114 dioceses and about 10 million members, concentrated in Kerala, Tamil Nadu, Mumbai, Mangalore, Goa, and tribal areas of central and northeastern India.</w:t>
      </w:r>
      <w:r>
        <w:rPr>
          <w:rStyle w:val="FootnoteReference"/>
        </w:rPr>
        <w:footnoteReference w:id="5"/>
      </w:r>
    </w:p>
    <w:p>
      <w:pPr>
        <w:spacing w:after="120"/>
      </w:pPr>
      <w:r>
        <w:t xml:space="preserve">The Catholic Church in India is thus a communion of three Individual Churches: the Syro-Malabar, the Latin, and the Syro-Malankara. The Catholic Bishops’ Conference of India (CBCI), established in 1944, brings together all Catholic bishops; following Pope John Paul II’s 1987 instruction, the CBCI restructured in 1988 into three separate Episcopal bodies for the three Individual Churches, while still functioning as one overarching body for common concerns.</w:t>
      </w:r>
    </w:p>
    <w:p>
      <w:pPr>
        <w:pStyle w:val="Heading3"/>
        <w:spacing w:after="100" w:before="180"/>
      </w:pPr>
      <w:r>
        <w:t xml:space="preserve">3. Protestant Churches in India</w:t>
      </w:r>
    </w:p>
    <w:p>
      <w:pPr>
        <w:spacing w:after="120"/>
      </w:pPr>
      <w:r>
        <w:t xml:space="preserve">During the colonial period, virtually all major European and American Protestant denominations established themselves in India: Lutherans, Presbyterians, Anglicans, Baptists, Methodists, Congregationalists, the Salvation Army, Mennonites, Pentecostals and more.</w:t>
      </w:r>
      <w:r>
        <w:rPr>
          <w:rStyle w:val="FootnoteReference"/>
        </w:rPr>
        <w:footnoteReference w:id="6"/>
      </w:r>
    </w:p>
    <w:p>
      <w:pPr>
        <w:pBdr>
          <w:left w:val="single" w:color="1565C0" w:sz="24"/>
        </w:pBdr>
        <w:shd w:fill="E3F2FD" w:val="clear"/>
        <w:spacing w:after="160" w:before="160"/>
        <w:ind w:left="240"/>
      </w:pPr>
      <w:r>
        <w:rPr>
          <w:b/>
          <w:bCs/>
          <w:color w:val="1565C0"/>
        </w:rPr>
        <w:t xml:space="preserve">EXAMPLE: </w:t>
      </w:r>
      <w:r>
        <w:t xml:space="preserve">The modern Ecumenical Movement’s first fruit in India was the formation of two United Protestant Churches: the </w:t>
      </w:r>
      <w:r>
        <w:rPr>
          <w:b/>
          <w:bCs/>
        </w:rPr>
        <w:t xml:space="preserve">Church of South India (CSI)</w:t>
      </w:r>
      <w:r>
        <w:t xml:space="preserve">, formed in 1947 by uniting the Anglicans, Presbyterians, Congregationalists and Methodists, about 1.5 million members; and the </w:t>
      </w:r>
      <w:r>
        <w:rPr>
          <w:b/>
          <w:bCs/>
        </w:rPr>
        <w:t xml:space="preserve">Church of North India (CNI)</w:t>
      </w:r>
      <w:r>
        <w:t xml:space="preserve">, formed in 1970 from seven Churches, about 7-8 lakh members. Outside these unions: the American-origin Baptist Churches of the Northeast and Andhra Pradesh, about 3 million members, and nine or ten separate Lutheran Churches, federated since 1975 as the United Evangelical Lutheran Churches in India, about 1 million members.</w:t>
      </w:r>
      <w:r>
        <w:rPr>
          <w:rStyle w:val="FootnoteReference"/>
        </w:rPr>
        <w:footnoteReference w:id="7"/>
      </w:r>
    </w:p>
    <w:p>
      <w:pPr>
        <w:pStyle w:val="Heading3"/>
        <w:spacing w:after="100" w:before="180"/>
      </w:pPr>
      <w:r>
        <w:t xml:space="preserve">4. Conclusion</w:t>
      </w:r>
    </w:p>
    <w:p>
      <w:pPr>
        <w:spacing w:after="120"/>
      </w:pPr>
      <w:r>
        <w:t xml:space="preserve">Christians remain a tiny minority in India, about 2.5% of the population, roughly 25 million out of nearly 1000 million. The Churches remain deeply divided, and the Ecumenical Movement in India “seems to be very feeble,” the Roman Catholic Church has not even joined the National Council of Churches.</w:t>
      </w:r>
      <w:r>
        <w:rPr>
          <w:rStyle w:val="FootnoteReference"/>
        </w:rPr>
        <w:footnoteReference w:id="8"/>
      </w:r>
    </w:p>
    <w:p>
      <w:pPr>
        <w:spacing w:after="120" w:before="120"/>
        <w:ind w:left="720" w:right="720"/>
      </w:pPr>
      <w:r>
        <w:t xml:space="preserve">Many Indian Churches “still carry the label of their foreign origin, like Latin, Syrian, Antiochean, Anglican, Lutheran.” The Gospel has not yet fully encountered the Indian genius in a full way. Achieving that genuine fecundation between Gospel and Indian culture is named as “the greatest challenge of all the Indian Churches.”</w:t>
      </w:r>
    </w:p>
    <w:p>
      <w:pPr>
        <w:pStyle w:val="Heading2"/>
        <w:spacing w:after="120" w:before="220"/>
      </w:pPr>
      <w:r>
        <w:t xml:space="preserve">B. Theologizing in the Context of Our Cultural, Philosophical and Religious Realities</w:t>
      </w:r>
    </w:p>
    <w:p>
      <w:pPr>
        <w:spacing w:after="120"/>
      </w:pPr>
      <w:r>
        <w:t xml:space="preserve">In the Indian tradition, culture, philosophy and religion form one integrated reality, hard to fully separate even though we can distinguish them theoretically.</w:t>
      </w:r>
      <w:r>
        <w:rPr>
          <w:rStyle w:val="FootnoteReference"/>
        </w:rPr>
        <w:footnoteReference w:id="9"/>
      </w:r>
    </w:p>
    <w:p>
      <w:pPr>
        <w:pStyle w:val="Heading3"/>
        <w:spacing w:after="100" w:before="180"/>
      </w:pPr>
      <w:r>
        <w:t xml:space="preserve">1. Cultural Horizons</w:t>
      </w:r>
    </w:p>
    <w:p>
      <w:pPr>
        <w:spacing w:after="120"/>
      </w:pPr>
      <w:r>
        <w:t xml:space="preserve">India’s culture emerged from a confluence of peoples: the original Dravidian peoples, and later Aryan migrants from Central Asia who spread across India, sometimes displacing, more often mixing with, earlier inhabitants. Over time, the caste system let upper castes control the dominant culture, producing both a classical elitist culture of the upper castes and various subaltern, Tribal and Dalit, cultures, yet also, overall, a shared common Indian ethos and world-vision.</w:t>
      </w:r>
      <w:r>
        <w:rPr>
          <w:rStyle w:val="FootnoteReference"/>
        </w:rPr>
        <w:footnoteReference w:id="10"/>
      </w:r>
    </w:p>
    <w:p>
      <w:pPr>
        <w:pBdr>
          <w:left w:val="single" w:color="2E7D32" w:sz="24"/>
        </w:pBdr>
        <w:shd w:fill="E8F5E9" w:val="clear"/>
        <w:spacing w:after="160" w:before="160"/>
        <w:ind w:left="240"/>
      </w:pPr>
      <w:r>
        <w:rPr>
          <w:b/>
          <w:bCs/>
          <w:color w:val="2E7D32"/>
        </w:rPr>
        <w:t xml:space="preserve">INDIAN CONTEXT: </w:t>
      </w:r>
      <w:r>
        <w:t xml:space="preserve">India has a </w:t>
      </w:r>
      <w:r>
        <w:rPr>
          <w:b/>
          <w:bCs/>
        </w:rPr>
        <w:t xml:space="preserve">cosmotheandric</w:t>
      </w:r>
      <w:r>
        <w:t xml:space="preserve"> view of reality, reality as one, with three inseparable dimensions: cosmic, divine and human. There is no sharp divide between sacred and secular, spirit and body. Human life is understood holistically through the </w:t>
      </w:r>
      <w:r>
        <w:rPr>
          <w:b/>
          <w:bCs/>
        </w:rPr>
        <w:t xml:space="preserve">four goals (purusharthas)</w:t>
      </w:r>
      <w:r>
        <w:t xml:space="preserve">: wealth (artha), pleasure (kama), righteousness (dharma), and liberation (moksha), and through the </w:t>
      </w:r>
      <w:r>
        <w:rPr>
          <w:b/>
          <w:bCs/>
        </w:rPr>
        <w:t xml:space="preserve">four life-stages (ashramas)</w:t>
      </w:r>
      <w:r>
        <w:t xml:space="preserve">: student (brahmachari), householder (grahastha), forest-dweller (vanaprastha), renouncer (sanyasi).</w:t>
      </w:r>
      <w:r>
        <w:rPr>
          <w:rStyle w:val="FootnoteReference"/>
        </w:rPr>
        <w:footnoteReference w:id="11"/>
      </w:r>
      <w:r>
        <w:t xml:space="preserve"> India’s ancient educational tradition, education as sadhana, personal transmission from Guru to student, harmony with nature, is named as a genuine, still-relevant resource, not just a relic.</w:t>
      </w:r>
    </w:p>
    <w:p>
      <w:pPr>
        <w:pStyle w:val="Heading3"/>
        <w:spacing w:after="100" w:before="180"/>
      </w:pPr>
      <w:r>
        <w:t xml:space="preserve">2. Plurality of Religions</w:t>
      </w:r>
    </w:p>
    <w:p>
      <w:pPr>
        <w:spacing w:after="120"/>
      </w:pPr>
      <w:r>
        <w:t xml:space="preserve">India is “the cradle of many religions.”</w:t>
      </w:r>
    </w:p>
    <w:p>
      <w:pPr>
        <w:pStyle w:val="ListParagraph"/>
        <w:numPr>
          <w:ilvl w:val="0"/>
          <w:numId w:val="1"/>
        </w:numPr>
        <w:spacing w:after="80"/>
      </w:pPr>
      <w:r>
        <w:rPr>
          <w:b/>
          <w:bCs/>
        </w:rPr>
        <w:t xml:space="preserve">Tribal (Adivasi) religions</w:t>
      </w:r>
      <w:r>
        <w:t xml:space="preserve">: the most ancient, pre-Hindu, distinct from Hinduism. Adivasis are about 8% of the population.</w:t>
      </w:r>
    </w:p>
    <w:p>
      <w:pPr>
        <w:pStyle w:val="ListParagraph"/>
        <w:numPr>
          <w:ilvl w:val="0"/>
          <w:numId w:val="1"/>
        </w:numPr>
        <w:spacing w:after="80"/>
      </w:pPr>
      <w:r>
        <w:rPr>
          <w:b/>
          <w:bCs/>
        </w:rPr>
        <w:t xml:space="preserve">Vedic Religion / Hinduism</w:t>
      </w:r>
      <w:r>
        <w:t xml:space="preserve">: based on the Vedas and Upanishads, teaching Reality as One (Brahman), with the classical Trimurti, Brahma the creator, Vishnu the preserver, Shiva the destroyer. Liberation (moksha) is sought through jnana, bhakti and karma.</w:t>
      </w:r>
    </w:p>
    <w:p>
      <w:pPr>
        <w:pStyle w:val="ListParagraph"/>
        <w:numPr>
          <w:ilvl w:val="0"/>
          <w:numId w:val="1"/>
        </w:numPr>
        <w:spacing w:after="80"/>
      </w:pPr>
      <w:r>
        <w:rPr>
          <w:b/>
          <w:bCs/>
        </w:rPr>
        <w:t xml:space="preserve">Popular Hinduism</w:t>
      </w:r>
      <w:r>
        <w:t xml:space="preserve">: temple worship, the roughly forty life-cycle samskaras, pilgrimage, reverence for sacred rivers, trees and hills. The nineteenth-twentieth century Hindu Renaissance (Ram Mohan Roy, Dayanand Saraswati, Ramakrishna, Vivekananda, Gandhi, Aurobindo, Vinoba Bhave) reformed many practices.</w:t>
      </w:r>
    </w:p>
    <w:p>
      <w:pPr>
        <w:pStyle w:val="ListParagraph"/>
        <w:numPr>
          <w:ilvl w:val="0"/>
          <w:numId w:val="1"/>
        </w:numPr>
        <w:spacing w:after="80"/>
      </w:pPr>
      <w:r>
        <w:rPr>
          <w:b/>
          <w:bCs/>
        </w:rPr>
        <w:t xml:space="preserve">Jainism and Buddhism</w:t>
      </w:r>
      <w:r>
        <w:t xml:space="preserve">: reform and protest movements from within Hinduism, rejecting ritualism and caste rigidity, teaching equality, non-violence (ahimsa), and liberation from suffering (dukkha) through self-enlightenment.</w:t>
      </w:r>
    </w:p>
    <w:p>
      <w:pPr>
        <w:pStyle w:val="ListParagraph"/>
        <w:numPr>
          <w:ilvl w:val="0"/>
          <w:numId w:val="1"/>
        </w:numPr>
        <w:spacing w:after="80"/>
      </w:pPr>
      <w:r>
        <w:rPr>
          <w:b/>
          <w:bCs/>
        </w:rPr>
        <w:t xml:space="preserve">Zoroastrianism, Judaism, Christianity, Islam and Sikhism</w:t>
      </w:r>
      <w:r>
        <w:t xml:space="preserve">: came to India from outside or arose through synthesis. Today 12% of India’s population is Muslim, 2.5% Christian.</w:t>
      </w:r>
      <w:r>
        <w:rPr>
          <w:rStyle w:val="FootnoteReference"/>
        </w:rPr>
        <w:footnoteReference w:id="12"/>
      </w:r>
    </w:p>
    <w:p>
      <w:pPr>
        <w:pBdr>
          <w:left w:val="single" w:color="1565C0" w:sz="24"/>
        </w:pBdr>
        <w:shd w:fill="E3F2FD" w:val="clear"/>
        <w:spacing w:after="160" w:before="160"/>
        <w:ind w:left="240"/>
      </w:pPr>
      <w:r>
        <w:rPr>
          <w:b/>
          <w:bCs/>
          <w:color w:val="1565C0"/>
        </w:rPr>
        <w:t xml:space="preserve">EXAMPLE: </w:t>
      </w:r>
      <w:r>
        <w:rPr>
          <w:b/>
          <w:bCs/>
        </w:rPr>
        <w:t xml:space="preserve">Indian secularism does not mean the denial of religion</w:t>
      </w:r>
      <w:r>
        <w:t xml:space="preserve">, unlike much Western secularism; it means the equal treatment of all religions by the State, the freedom to believe, practice and propagate any faith. This is today under real threat from </w:t>
      </w:r>
      <w:r>
        <w:rPr>
          <w:b/>
          <w:bCs/>
        </w:rPr>
        <w:t xml:space="preserve">Hindutva</w:t>
      </w:r>
      <w:r>
        <w:t xml:space="preserve"> ideology and religious fundamentalism, which push toward a “Hindu Rashtra with one homogeneous culture,” reducing religious minorities “to second class citizens.”</w:t>
      </w:r>
      <w:r>
        <w:rPr>
          <w:rStyle w:val="FootnoteReference"/>
        </w:rPr>
        <w:footnoteReference w:id="13"/>
      </w:r>
    </w:p>
    <w:p>
      <w:pPr>
        <w:pStyle w:val="Heading3"/>
        <w:spacing w:after="100" w:before="180"/>
      </w:pPr>
      <w:r>
        <w:t xml:space="preserve">3. Our Philosophical Heritage</w:t>
      </w:r>
    </w:p>
    <w:p>
      <w:pPr>
        <w:spacing w:after="120"/>
      </w:pPr>
      <w:r>
        <w:t xml:space="preserve">Since religion and philosophy are not sharply separated in India, Indian philosophy, whether theistic or non-theistic, always asks about the relationship between the self and Ultimate Reality and the path to liberation. Indian philosophical speculation began well before comparable work in Greece or China, already visible in the early Upanishads.</w:t>
      </w:r>
      <w:r>
        <w:rPr>
          <w:rStyle w:val="FootnoteReference"/>
        </w:rPr>
        <w:footnoteReference w:id="14"/>
      </w:r>
    </w:p>
    <w:p>
      <w:pPr>
        <w:spacing w:after="120"/>
      </w:pPr>
      <w:r>
        <w:t xml:space="preserve">The six classical schools (darshanas) of Indian philosophy:</w:t>
      </w:r>
    </w:p>
    <w:p>
      <w:pPr>
        <w:pStyle w:val="ListParagraph"/>
        <w:numPr>
          <w:ilvl w:val="0"/>
          <w:numId w:val="1"/>
        </w:numPr>
        <w:spacing w:after="80"/>
      </w:pPr>
      <w:r>
        <w:rPr>
          <w:b/>
          <w:bCs/>
        </w:rPr>
        <w:t xml:space="preserve">Nyaya</w:t>
      </w:r>
      <w:r>
        <w:t xml:space="preserve">: the school of logic; clear, logical thinking as the path to liberation.</w:t>
      </w:r>
    </w:p>
    <w:p>
      <w:pPr>
        <w:pStyle w:val="ListParagraph"/>
        <w:numPr>
          <w:ilvl w:val="0"/>
          <w:numId w:val="1"/>
        </w:numPr>
        <w:spacing w:after="80"/>
      </w:pPr>
      <w:r>
        <w:rPr>
          <w:b/>
          <w:bCs/>
        </w:rPr>
        <w:t xml:space="preserve">Vaisheshika</w:t>
      </w:r>
      <w:r>
        <w:t xml:space="preserve">: closely linked to Nyaya; teaches a dualism of matter and soul.</w:t>
      </w:r>
    </w:p>
    <w:p>
      <w:pPr>
        <w:pStyle w:val="ListParagraph"/>
        <w:numPr>
          <w:ilvl w:val="0"/>
          <w:numId w:val="1"/>
        </w:numPr>
        <w:spacing w:after="80"/>
      </w:pPr>
      <w:r>
        <w:rPr>
          <w:b/>
          <w:bCs/>
        </w:rPr>
        <w:t xml:space="preserve">Sankhya</w:t>
      </w:r>
      <w:r>
        <w:t xml:space="preserve">: also dualistic, with matter (prakriti) and soul (purusha) as the two ultimate principles.</w:t>
      </w:r>
    </w:p>
    <w:p>
      <w:pPr>
        <w:pStyle w:val="ListParagraph"/>
        <w:numPr>
          <w:ilvl w:val="0"/>
          <w:numId w:val="1"/>
        </w:numPr>
        <w:spacing w:after="80"/>
      </w:pPr>
      <w:r>
        <w:rPr>
          <w:b/>
          <w:bCs/>
        </w:rPr>
        <w:t xml:space="preserve">Yoga</w:t>
      </w:r>
      <w:r>
        <w:t xml:space="preserve">: spiritual, mental and physical discipline aimed at union with the Absolute.</w:t>
      </w:r>
    </w:p>
    <w:p>
      <w:pPr>
        <w:pStyle w:val="ListParagraph"/>
        <w:numPr>
          <w:ilvl w:val="0"/>
          <w:numId w:val="1"/>
        </w:numPr>
        <w:spacing w:after="80"/>
      </w:pPr>
      <w:r>
        <w:rPr>
          <w:b/>
          <w:bCs/>
        </w:rPr>
        <w:t xml:space="preserve">Mimamsa</w:t>
      </w:r>
      <w:r>
        <w:t xml:space="preserve">: originally the school of Vedic exegesis, defending the authority of the Vedas.</w:t>
      </w:r>
    </w:p>
    <w:p>
      <w:pPr>
        <w:pBdr>
          <w:left w:val="single" w:color="1565C0" w:sz="24"/>
        </w:pBdr>
        <w:shd w:fill="E3F2FD" w:val="clear"/>
        <w:spacing w:after="160" w:before="160"/>
        <w:ind w:left="240"/>
      </w:pPr>
      <w:r>
        <w:rPr>
          <w:b/>
          <w:bCs/>
          <w:color w:val="1565C0"/>
        </w:rPr>
        <w:t xml:space="preserve">EXAMPLE: </w:t>
      </w:r>
      <w:r>
        <w:rPr>
          <w:b/>
          <w:bCs/>
        </w:rPr>
        <w:t xml:space="preserve">Vedanta</w:t>
      </w:r>
      <w:r>
        <w:t xml:space="preserve">: the most influential school, the systematic exposition of the Upanishads, with </w:t>
      </w:r>
      <w:r>
        <w:rPr>
          <w:b/>
          <w:bCs/>
        </w:rPr>
        <w:t xml:space="preserve">Shankara</w:t>
      </w:r>
      <w:r>
        <w:t xml:space="preserve"> (ninth century AD) as its great teacher. For Advaita Vedanta, only Brahman is fully real; the individual soul (atman) is identical with Brahman, realised through jnana, wisdom, to discover one’s true nature as </w:t>
      </w:r>
      <w:r>
        <w:rPr>
          <w:b/>
          <w:bCs/>
        </w:rPr>
        <w:t xml:space="preserve">Sat-Chit-Ananda</w:t>
      </w:r>
      <w:r>
        <w:t xml:space="preserve">, Being-Consciousness-Bliss, Saccidananda. Later thinkers like Ramanuja, Madhva and Vallabha reinterpreted Brahman as a personal deity worthy of devotion, while keeping the individual soul as genuinely distinct from, though part of, the divine.</w:t>
      </w:r>
      <w:r>
        <w:rPr>
          <w:rStyle w:val="FootnoteReference"/>
        </w:rPr>
        <w:footnoteReference w:id="15"/>
      </w:r>
    </w:p>
    <w:p>
      <w:pPr>
        <w:spacing w:after="120"/>
      </w:pPr>
      <w:r>
        <w:t xml:space="preserve">The Chapter also names Tribal philosophies, Buddhism, Jainism, Islam and Sikhism, as well as modern Indian philosophy shaped by contact with the West, as equally essential resources for theology today, not just the six classical schools.</w:t>
      </w:r>
    </w:p>
    <w:p>
      <w:pPr>
        <w:spacing w:after="120" w:before="120"/>
        <w:ind w:left="720" w:right="720"/>
      </w:pPr>
      <w:r>
        <w:t xml:space="preserve">The Chapter’s own probing questions here: which culture, religion and philosophy should be theology’s real dialogue partner, that of the dominant upper castes, or of the marginalized and subaltern groups? Classical Vedic religion and philosophy, or today’s living, popular religions?</w:t>
      </w:r>
    </w:p>
    <w:p>
      <w:pPr>
        <w:pStyle w:val="Heading3"/>
        <w:spacing w:after="100" w:before="180"/>
      </w:pPr>
      <w:r>
        <w:t xml:space="preserve">4. The Approaches of the St. Thomas Christians</w:t>
      </w:r>
    </w:p>
    <w:p>
      <w:pPr>
        <w:spacing w:after="120"/>
      </w:pPr>
      <w:r>
        <w:t xml:space="preserve">Did the ancient St. Thomas Christians build a genuinely Indian theology? Historian Placid Podipara described them as “Hindu (Indian) in culture, Christian in religion and Syro-Oriental in worship.” Most historians agree, however, that despite this cultural closeness, they did not produce much distinctively Indian Christian theology, unlike early Christians in Greece, Rome or Syria, likely due to their geographic isolation, dependence on East Syrian clergy, and easy accommodation to the caste system, which blunted their prophetic voice for the oppressed.</w:t>
      </w:r>
      <w:r>
        <w:rPr>
          <w:rStyle w:val="FootnoteReference"/>
        </w:rPr>
        <w:footnoteReference w:id="16"/>
      </w:r>
    </w:p>
    <w:p>
      <w:pPr>
        <w:pBdr>
          <w:left w:val="single" w:color="1565C0" w:sz="24"/>
        </w:pBdr>
        <w:shd w:fill="E3F2FD" w:val="clear"/>
        <w:spacing w:after="160" w:before="160"/>
        <w:ind w:left="240"/>
      </w:pPr>
      <w:r>
        <w:rPr>
          <w:b/>
          <w:bCs/>
          <w:color w:val="1565C0"/>
        </w:rPr>
        <w:t xml:space="preserve">EXAMPLE: </w:t>
      </w:r>
      <w:r>
        <w:t xml:space="preserve">Still, two of their theological positions, condemned at the Synod of Diamper in 1599, are considered significant today: their harmonious relationship with Hindu neighbours, believing “each one could be saved in one’s own religion,” remarkably advanced for a medieval community; and their rejection of the idea that Western Latin Christianity was the only true, normative form: “there is one law of St. Thomas and another of St. Peter: the Church founded by the one is distinct and different from the Church by the other; each is immediately from Christ.”</w:t>
      </w:r>
      <w:r>
        <w:rPr>
          <w:rStyle w:val="FootnoteReference"/>
        </w:rPr>
        <w:footnoteReference w:id="17"/>
      </w:r>
    </w:p>
    <w:p>
      <w:pPr>
        <w:pStyle w:val="Heading3"/>
        <w:spacing w:after="100" w:before="180"/>
      </w:pPr>
      <w:r>
        <w:t xml:space="preserve">5. Robert de Nobili, the Pioneer Missionary</w:t>
      </w:r>
    </w:p>
    <w:p>
      <w:pPr>
        <w:spacing w:after="120"/>
      </w:pPr>
      <w:r>
        <w:t xml:space="preserve">Unlike most colonial-era missionaries, who approached Indian religion and culture with hostility, the Italian Jesuit </w:t>
      </w:r>
      <w:r>
        <w:rPr>
          <w:b/>
          <w:bCs/>
        </w:rPr>
        <w:t xml:space="preserve">Robert de Nobili</w:t>
      </w:r>
      <w:r>
        <w:t xml:space="preserve">, working in Madurai, studied Tamil and Sanskrit, adopted Brahmin customs, wearing the sacred thread, kudumi, saffron robes, and engaged Brahmins directly in philosophical debate. He was the first serious attempt to reformulate Christianity in Indian categories, insisting that becoming Christian need not mean abandoning one’s culture, language, or even caste.</w:t>
      </w:r>
      <w:r>
        <w:rPr>
          <w:rStyle w:val="FootnoteReference"/>
        </w:rPr>
        <w:footnoteReference w:id="18"/>
      </w:r>
      <w:r>
        <w:t xml:space="preserve"> Facing strong opposition from fellow missionaries and Rome, this bold approach was eventually discontinued.</w:t>
      </w:r>
    </w:p>
    <w:p>
      <w:pPr>
        <w:pStyle w:val="Heading3"/>
        <w:spacing w:after="100" w:before="180"/>
      </w:pPr>
      <w:r>
        <w:t xml:space="preserve">6. The Indian Renaissance and the New Impetus for Indian Theology</w:t>
      </w:r>
    </w:p>
    <w:p>
      <w:pPr>
        <w:spacing w:after="120"/>
      </w:pPr>
      <w:r>
        <w:t xml:space="preserve">The nineteenth-twentieth century Indian Renaissance combined a rediscovery of India’s heritage with social reform. Christian ideals influenced several Hindu reformers. Among Christian responses: </w:t>
      </w:r>
      <w:r>
        <w:rPr>
          <w:b/>
          <w:bCs/>
        </w:rPr>
        <w:t xml:space="preserve">Raja Ram Mohan Roy</w:t>
      </w:r>
      <w:r>
        <w:t xml:space="preserve"> founded the Brahmo Samaj (1828); </w:t>
      </w:r>
      <w:r>
        <w:rPr>
          <w:b/>
          <w:bCs/>
        </w:rPr>
        <w:t xml:space="preserve">Keshab Chandra Sen</w:t>
      </w:r>
      <w:r>
        <w:t xml:space="preserve"> broke away to found the “New Dispensation” (Navavidhan, 1881), a Hindu-Christian Church centred on Christ as the one who “brings God and man together so that they may be at one.” His colleague </w:t>
      </w:r>
      <w:r>
        <w:rPr>
          <w:b/>
          <w:bCs/>
        </w:rPr>
        <w:t xml:space="preserve">Pratap Chandra Mozoomdar</w:t>
      </w:r>
      <w:r>
        <w:t xml:space="preserve"> wrote The Oriental Christ (1883), presenting Christ through Eastern rather than Western categories.</w:t>
      </w:r>
      <w:r>
        <w:rPr>
          <w:rStyle w:val="FootnoteReference"/>
        </w:rPr>
        <w:footnoteReference w:id="19"/>
      </w:r>
    </w:p>
    <w:p>
      <w:pPr>
        <w:pStyle w:val="Heading3"/>
        <w:spacing w:after="100" w:before="180"/>
      </w:pPr>
      <w:r>
        <w:t xml:space="preserve">7. The Spirit of Nationalism and Indian Christianity</w:t>
      </w:r>
    </w:p>
    <w:p>
      <w:pPr>
        <w:spacing w:after="120"/>
      </w:pPr>
      <w:r>
        <w:t xml:space="preserve">The independence struggle shaped Indian Christianity too. New nationalist Christian associations emerged, the Hindu Church of the Lord Jesus, 1867, various Bengali Christian associations. Figures like S.K. Datta, K.T. Paul, J.C. Kumarappa and Bishop Azariah saw the national movement, Swaraj, itself as a preparatio evangelica, preparation for the Gospel, and as a movement toward an Indian Church with its own freedom and identity.</w:t>
      </w:r>
      <w:r>
        <w:rPr>
          <w:rStyle w:val="FootnoteReference"/>
        </w:rPr>
        <w:footnoteReference w:id="20"/>
      </w:r>
    </w:p>
    <w:p>
      <w:pPr>
        <w:pStyle w:val="Heading3"/>
        <w:spacing w:after="100" w:before="180"/>
      </w:pPr>
      <w:r>
        <w:t xml:space="preserve">8. Some Pioneers of Indian Theology</w:t>
      </w:r>
    </w:p>
    <w:p>
      <w:pPr>
        <w:spacing w:after="120"/>
      </w:pPr>
      <w:r>
        <w:t xml:space="preserve">The earliest pioneering work came mostly from Protestant Christians:</w:t>
      </w:r>
    </w:p>
    <w:p>
      <w:pPr>
        <w:pStyle w:val="ListParagraph"/>
        <w:numPr>
          <w:ilvl w:val="0"/>
          <w:numId w:val="1"/>
        </w:numPr>
        <w:spacing w:after="80"/>
      </w:pPr>
      <w:r>
        <w:rPr>
          <w:b/>
          <w:bCs/>
        </w:rPr>
        <w:t xml:space="preserve">K.M. Banerjee</w:t>
      </w:r>
      <w:r>
        <w:t xml:space="preserve"> (Arian Witness, 1875) and </w:t>
      </w:r>
      <w:r>
        <w:rPr>
          <w:b/>
          <w:bCs/>
        </w:rPr>
        <w:t xml:space="preserve">Parani Andi</w:t>
      </w:r>
      <w:r>
        <w:t xml:space="preserve"> (Are We Not Hindus?, 1889) drew parallels between the Vedas and the Old Testament, arguing Christianity fulfils both.</w:t>
      </w:r>
    </w:p>
    <w:p>
      <w:pPr>
        <w:pStyle w:val="ListParagraph"/>
        <w:numPr>
          <w:ilvl w:val="0"/>
          <w:numId w:val="1"/>
        </w:numPr>
        <w:spacing w:after="80"/>
      </w:pPr>
      <w:r>
        <w:rPr>
          <w:b/>
          <w:bCs/>
        </w:rPr>
        <w:t xml:space="preserve">Brahmabandhav Upadhyaya</w:t>
      </w:r>
      <w:r>
        <w:t xml:space="preserve">, a Bengali Catholic and nationalist, became a sannyasi and Vedanta scholar, arguing that just as the early Fathers used Greek philosophy, Indians should use Vedanta philosophy to make Christian faith understandable in India.</w:t>
      </w:r>
    </w:p>
    <w:p>
      <w:pPr>
        <w:pStyle w:val="ListParagraph"/>
        <w:numPr>
          <w:ilvl w:val="0"/>
          <w:numId w:val="1"/>
        </w:numPr>
        <w:spacing w:after="80"/>
      </w:pPr>
      <w:r>
        <w:rPr>
          <w:b/>
          <w:bCs/>
        </w:rPr>
        <w:t xml:space="preserve">Sadhu Sundar Singh</w:t>
      </w:r>
      <w:r>
        <w:t xml:space="preserve">, born Sikh, trained in Bhakti Hinduism, converted after a vision of Christ. A mystic, not a systematic theologian, who insisted on “heart over head” and immediate experience of Christ over doctrine.</w:t>
      </w:r>
    </w:p>
    <w:p>
      <w:pPr>
        <w:pStyle w:val="ListParagraph"/>
        <w:numPr>
          <w:ilvl w:val="0"/>
          <w:numId w:val="1"/>
        </w:numPr>
        <w:spacing w:after="80"/>
      </w:pPr>
      <w:r>
        <w:rPr>
          <w:b/>
          <w:bCs/>
        </w:rPr>
        <w:t xml:space="preserve">Bishop A.J. Appasamy</w:t>
      </w:r>
      <w:r>
        <w:t xml:space="preserve">, a Tamil Protestant, followed the Bhakti tradition instead of Advaita, emphasising personal devotion toward a personal God, and using Sat-Chit-Ananda to illustrate the Trinity while still preserving personal distinctness in union with God.</w:t>
      </w:r>
    </w:p>
    <w:p>
      <w:pPr>
        <w:pBdr>
          <w:left w:val="single" w:color="1565C0" w:sz="24"/>
        </w:pBdr>
        <w:shd w:fill="E3F2FD" w:val="clear"/>
        <w:spacing w:after="160" w:before="160"/>
        <w:ind w:left="240"/>
      </w:pPr>
      <w:r>
        <w:rPr>
          <w:b/>
          <w:bCs/>
          <w:color w:val="1565C0"/>
        </w:rPr>
        <w:t xml:space="preserve">EXAMPLE: </w:t>
      </w:r>
      <w:r>
        <w:rPr>
          <w:b/>
          <w:bCs/>
        </w:rPr>
        <w:t xml:space="preserve">Pandipeddi Chenchaiah</w:t>
      </w:r>
      <w:r>
        <w:t xml:space="preserve"> and </w:t>
      </w:r>
      <w:r>
        <w:rPr>
          <w:b/>
          <w:bCs/>
        </w:rPr>
        <w:t xml:space="preserve">Vengal Chakkarai</w:t>
      </w:r>
      <w:r>
        <w:t xml:space="preserve">, both Hindu converts, both developed Christocentric theologies, stressing direct experience of Christ over institutional doctrine. Chenchaiah saw Christ as the “New Man” realised through integral Yoga; Chakkarai connected Christology and Pneumatology, seeing the Holy Spirit as the ongoing work of the Risen Christ.</w:t>
      </w:r>
      <w:r>
        <w:rPr>
          <w:rStyle w:val="FootnoteReference"/>
        </w:rPr>
        <w:footnoteReference w:id="21"/>
      </w:r>
    </w:p>
    <w:p>
      <w:pPr>
        <w:spacing w:after="120"/>
      </w:pPr>
      <w:r>
        <w:t xml:space="preserve">Later scholars who built on this foundation include Raimundo Panikkar, Stanley J. Samartha, John B. Chethimattam and D.S. Amalorpavadass.</w:t>
      </w:r>
    </w:p>
    <w:p>
      <w:pPr>
        <w:pStyle w:val="Heading3"/>
        <w:spacing w:after="100" w:before="180"/>
      </w:pPr>
      <w:r>
        <w:t xml:space="preserve">9. The Christian Ashram Movement</w:t>
      </w:r>
    </w:p>
    <w:p>
      <w:pPr>
        <w:pBdr>
          <w:left w:val="single" w:color="2E7D32" w:sz="24"/>
        </w:pBdr>
        <w:shd w:fill="E8F5E9" w:val="clear"/>
        <w:spacing w:after="160" w:before="160"/>
        <w:ind w:left="240"/>
      </w:pPr>
      <w:r>
        <w:rPr>
          <w:b/>
          <w:bCs/>
          <w:color w:val="2E7D32"/>
        </w:rPr>
        <w:t xml:space="preserve">INDIAN CONTEXT: </w:t>
      </w:r>
      <w:r>
        <w:t xml:space="preserve">Modelled on traditional Hindu and Buddhist ashrams, this movement was pioneered by Protestants (S. Jesudason, E. Forrester Paton, Murray Rogers) and developed further by Catholics (</w:t>
      </w:r>
      <w:r>
        <w:rPr>
          <w:b/>
          <w:bCs/>
        </w:rPr>
        <w:t xml:space="preserve">Monchanin, Abhishiktananda, Bede Griffiths, Francis Acharya, Vandana, Sara Grant, Amalorpavadass</w:t>
      </w:r>
      <w:r>
        <w:t xml:space="preserve">). Ashrams became centres for a spiritual-contemplative approach to theology and important sites of interreligious dialogue, combining prayer, study and manual labour, and integrating the classical paths of nishkama karma, jnana, and bhakti.</w:t>
      </w:r>
      <w:r>
        <w:rPr>
          <w:rStyle w:val="FootnoteReference"/>
        </w:rPr>
        <w:footnoteReference w:id="22"/>
      </w:r>
    </w:p>
    <w:p>
      <w:pPr>
        <w:pStyle w:val="Heading2"/>
        <w:spacing w:after="120" w:before="220"/>
      </w:pPr>
      <w:r>
        <w:t xml:space="preserve">C. Theologizing in the Context of the Socio-Economic and Political Realities of India</w:t>
      </w:r>
    </w:p>
    <w:p>
      <w:pPr>
        <w:spacing w:after="120" w:before="120"/>
        <w:ind w:left="720" w:right="720"/>
      </w:pPr>
      <w:r>
        <w:t xml:space="preserve">“In the land of Palestine, marked by inequality and injustice, Jesus proclaimed the good news to the poor and the downtrodden. The predicament and call of Jesus’ disciples in India today is almost the same.”</w:t>
      </w:r>
    </w:p>
    <w:p>
      <w:pPr>
        <w:pStyle w:val="Heading3"/>
        <w:spacing w:after="100" w:before="180"/>
      </w:pPr>
      <w:r>
        <w:t xml:space="preserve">1. The Socio-Economic Scenario</w:t>
      </w:r>
    </w:p>
    <w:p>
      <w:pPr>
        <w:pBdr>
          <w:left w:val="single" w:color="1565C0" w:sz="24"/>
        </w:pBdr>
        <w:shd w:fill="E3F2FD" w:val="clear"/>
        <w:spacing w:after="160" w:before="160"/>
        <w:ind w:left="240"/>
      </w:pPr>
      <w:r>
        <w:rPr>
          <w:b/>
          <w:bCs/>
          <w:color w:val="1565C0"/>
        </w:rPr>
        <w:t xml:space="preserve">EXAMPLE: </w:t>
      </w:r>
      <w:r>
        <w:t xml:space="preserve">India has made real industrial and economic progress, becoming the tenth most industrialised country within three decades, with a growing middle class, up from 10% to about 30% of the population. But the poor have become poorer and more numerous: among 174 countries, India ranked 128th on social development.</w:t>
      </w:r>
      <w:r>
        <w:rPr>
          <w:rStyle w:val="FootnoteReference"/>
        </w:rPr>
        <w:footnoteReference w:id="23"/>
      </w:r>
    </w:p>
    <w:p>
      <w:pPr>
        <w:spacing w:after="120"/>
      </w:pPr>
      <w:r>
        <w:t xml:space="preserve">The Chapter blames India’s “Mixed Economy” model, which let heavy industry stay under government control, funded by taxpayers, while profitable consumer goods stayed in private hands, widening inequality. Though caste discrimination is constitutionally abolished, it persists in practice, closely linked to class discrimination; globalization and economic liberalisation have further displaced the poor and uneducated through mechanisation, while also accelerating environmental destruction.</w:t>
      </w:r>
    </w:p>
    <w:p>
      <w:pPr>
        <w:pStyle w:val="Heading3"/>
        <w:spacing w:after="100" w:before="180"/>
      </w:pPr>
      <w:r>
        <w:t xml:space="preserve">2. The Political Situation</w:t>
      </w:r>
    </w:p>
    <w:p>
      <w:pPr>
        <w:spacing w:after="120"/>
      </w:pPr>
      <w:r>
        <w:t xml:space="preserve">India is a democratic Republic with real constitutional checks and balances, Executive, Legislature, Judiciary. The Constitution’s Preamble declares India “sovereign, socialist, secular and democratic,” where secular means not neutrality against religion, but equal respect for all religions. Article 25 guarantees not only freedom of conscience but the right to freely profess, practice, and propagate one’s religion.</w:t>
      </w:r>
      <w:r>
        <w:rPr>
          <w:rStyle w:val="FootnoteReference"/>
        </w:rPr>
        <w:footnoteReference w:id="24"/>
      </w:r>
    </w:p>
    <w:p>
      <w:pPr>
        <w:pBdr>
          <w:left w:val="single" w:color="2E7D32" w:sz="24"/>
        </w:pBdr>
        <w:shd w:fill="E8F5E9" w:val="clear"/>
        <w:spacing w:after="160" w:before="160"/>
        <w:ind w:left="240"/>
      </w:pPr>
      <w:r>
        <w:rPr>
          <w:b/>
          <w:bCs/>
          <w:color w:val="2E7D32"/>
        </w:rPr>
        <w:t xml:space="preserve">INDIAN CONTEXT: </w:t>
      </w:r>
      <w:r>
        <w:t xml:space="preserve">This secular character is directly threatened by the </w:t>
      </w:r>
      <w:r>
        <w:rPr>
          <w:b/>
          <w:bCs/>
        </w:rPr>
        <w:t xml:space="preserve">Hindutva</w:t>
      </w:r>
      <w:r>
        <w:t xml:space="preserve"> movement, which the book calls “a very dangerous ideology” claiming exclusive legitimacy for Hinduism and pushing toward a “Hindu Rashtra” where religious minorities are branded “foreigners.” Other political problems named: coalition instability, corruption, and pro-rich policies that neglect the poor, especially after economic liberalisation.</w:t>
      </w:r>
      <w:r>
        <w:rPr>
          <w:rStyle w:val="FootnoteReference"/>
        </w:rPr>
        <w:footnoteReference w:id="25"/>
      </w:r>
    </w:p>
    <w:p>
      <w:pPr>
        <w:pStyle w:val="Heading3"/>
        <w:spacing w:after="100" w:before="180"/>
      </w:pPr>
      <w:r>
        <w:t xml:space="preserve">3. Discrimination against Women</w:t>
      </w:r>
    </w:p>
    <w:p>
      <w:pPr>
        <w:spacing w:after="120"/>
      </w:pPr>
      <w:r>
        <w:t xml:space="preserve">Indian women face severe, wide-ranging discrimination: female foeticide, infanticide, unequal access to education, food and healthcare, forced marriages, dowry deaths, sexual violence, and denial of equal political representation, in the 13th Parliament, only 47 of 543 members, about 8.5%, were women.</w:t>
      </w:r>
      <w:r>
        <w:rPr>
          <w:rStyle w:val="FootnoteReference"/>
        </w:rPr>
        <w:footnoteReference w:id="26"/>
      </w:r>
    </w:p>
    <w:p>
      <w:pPr>
        <w:spacing w:after="120"/>
      </w:pPr>
      <w:r>
        <w:t xml:space="preserve">Yet when the 73rd Constitutional Amendment reserved 33% of local Panchayat seats for women, many women Panchayat leaders proved highly effective and courageous. Dalit, Tribal and backward-class women face even worse conditions, disproportionately losing traditional livelihoods to mechanisation and globalization.</w:t>
      </w:r>
    </w:p>
    <w:p>
      <w:pPr>
        <w:pStyle w:val="Heading3"/>
        <w:spacing w:after="100" w:before="180"/>
      </w:pPr>
      <w:r>
        <w:t xml:space="preserve">4. The Cry of the Dalits, Tribals and Other Marginalized Groups</w:t>
      </w:r>
    </w:p>
    <w:p>
      <w:pPr>
        <w:pBdr>
          <w:left w:val="single" w:color="2E7D32" w:sz="24"/>
        </w:pBdr>
        <w:shd w:fill="E8F5E9" w:val="clear"/>
        <w:spacing w:after="160" w:before="160"/>
        <w:ind w:left="240"/>
      </w:pPr>
      <w:r>
        <w:rPr>
          <w:b/>
          <w:bCs/>
          <w:color w:val="2E7D32"/>
        </w:rPr>
        <w:t xml:space="preserve">INDIAN CONTEXT: </w:t>
      </w:r>
      <w:r>
        <w:t xml:space="preserve">Adivasis, Tribals and Dalits together make up </w:t>
      </w:r>
      <w:r>
        <w:rPr>
          <w:b/>
          <w:bCs/>
        </w:rPr>
        <w:t xml:space="preserve">22.5%</w:t>
      </w:r>
      <w:r>
        <w:t xml:space="preserve"> of India’s population, Dalits being the most humiliated, called by various names (untouchables, panchamas, harijans) and historically pushed entirely outside caste society.</w:t>
      </w:r>
      <w:r>
        <w:rPr>
          <w:rStyle w:val="FootnoteReference"/>
        </w:rPr>
        <w:footnoteReference w:id="27"/>
      </w:r>
      <w:r>
        <w:t xml:space="preserve"> The word “Dalit” comes from the root dal (“to break,” “to oppress”) and became a rallying identity through the liberation movements led by </w:t>
      </w:r>
      <w:r>
        <w:rPr>
          <w:b/>
          <w:bCs/>
        </w:rPr>
        <w:t xml:space="preserve">Mahatma Jotirao Phule</w:t>
      </w:r>
      <w:r>
        <w:t xml:space="preserve"> (nineteenth century) and </w:t>
      </w:r>
      <w:r>
        <w:rPr>
          <w:b/>
          <w:bCs/>
        </w:rPr>
        <w:t xml:space="preserve">Babasaheb Ambedkar</w:t>
      </w:r>
      <w:r>
        <w:t xml:space="preserve"> (twentieth century). Some Dalits converted to Christianity seeking liberation, but tragically found themselves doubly discriminated, denied State benefits reserved for Hindu Dalits, and still facing prejudice within parts of the Church itself.</w:t>
      </w:r>
    </w:p>
    <w:p>
      <w:pPr>
        <w:spacing w:after="120"/>
      </w:pPr>
      <w:r>
        <w:rPr>
          <w:b/>
          <w:bCs/>
        </w:rPr>
        <w:t xml:space="preserve">Scheduled Tribes</w:t>
      </w:r>
      <w:r>
        <w:t xml:space="preserve"> make up 8% of the population, split between Northeast “frontier tribes,” many of whom became Christian, and “non-frontier tribes” elsewhere, many today displaced by industry, mining, dams and deforestation.</w:t>
      </w:r>
      <w:r>
        <w:rPr>
          <w:rStyle w:val="FootnoteReference"/>
        </w:rPr>
        <w:footnoteReference w:id="28"/>
      </w:r>
      <w:r>
        <w:t xml:space="preserve"> The Constitution provides special protections and reservations for Dalits, Tribals and Other Backward Classes, but the Chapter presses the theological question: “In the Bible we see that the poor, the oppressed and the marginalized people are the beloved of God... What is the special mission of the Church towards them?”</w:t>
      </w:r>
    </w:p>
    <w:p>
      <w:pPr>
        <w:pStyle w:val="Heading3"/>
        <w:spacing w:after="100" w:before="180"/>
      </w:pPr>
      <w:r>
        <w:t xml:space="preserve">5. Critique against a Purely Cultural, Philosophical and Religious Approach</w:t>
      </w:r>
    </w:p>
    <w:p>
      <w:pPr>
        <w:spacing w:after="120"/>
      </w:pPr>
      <w:r>
        <w:t xml:space="preserve">The earlier pioneers of Indian theology largely followed a “Translation Model,” translating Christian doctrine into upper-caste Hindu philosophical categories. But the majority of Indians belong to the lower castes, the Dalits and the Tribals, not the philosophical elite the earlier pioneers engaged. This raises a sharp question: “whom should theology address itself to”?</w:t>
      </w:r>
      <w:r>
        <w:rPr>
          <w:rStyle w:val="FootnoteReference"/>
        </w:rPr>
        <w:footnoteReference w:id="29"/>
      </w:r>
    </w:p>
    <w:p>
      <w:pPr>
        <w:spacing w:after="120" w:before="120"/>
        <w:ind w:left="720" w:right="720"/>
      </w:pPr>
      <w:r>
        <w:t xml:space="preserve">Is theology merely otherworldly wisdom, or does it have something concrete to say about socio-economic and political realities? The Chapter answers firmly, from the evidence of the New Testament and Christ’s own actions: “the salvation which Christ preached begins here,” reforming real social structures, though never reducible to them alone.</w:t>
      </w:r>
    </w:p>
    <w:p>
      <w:pPr>
        <w:pStyle w:val="Heading3"/>
        <w:spacing w:after="100" w:before="180"/>
      </w:pPr>
      <w:r>
        <w:t xml:space="preserve">6. Christ and Our Search for New Humanity</w:t>
      </w:r>
    </w:p>
    <w:p>
      <w:pPr>
        <w:spacing w:after="120"/>
      </w:pPr>
      <w:r>
        <w:t xml:space="preserve">Many Indian theologians came to see the Gospel as directly relevant to India’s socio-economic and national aspirations, evangelization understood not merely as baptism and church-planting, but as proclaiming God’s love calling for genuine humanization. As the Chapter puts it: “Authentic humanization is at the same time divinization.”</w:t>
      </w:r>
      <w:r>
        <w:rPr>
          <w:rStyle w:val="FootnoteReference"/>
        </w:rPr>
        <w:footnoteReference w:id="30"/>
      </w:r>
      <w:r>
        <w:t xml:space="preserve"> Christ is here seen not merely as centre of the Church, but as the centre of the whole of humankind and creation, calling for collaboration between believers and non-believers alike.</w:t>
      </w:r>
    </w:p>
    <w:p>
      <w:pPr>
        <w:pBdr>
          <w:left w:val="single" w:color="1565C0" w:sz="24"/>
        </w:pBdr>
        <w:shd w:fill="E3F2FD" w:val="clear"/>
        <w:spacing w:after="160" w:before="160"/>
        <w:ind w:left="240"/>
      </w:pPr>
      <w:r>
        <w:rPr>
          <w:b/>
          <w:bCs/>
          <w:color w:val="1565C0"/>
        </w:rPr>
        <w:t xml:space="preserve">EXAMPLE: </w:t>
      </w:r>
      <w:r>
        <w:t xml:space="preserve">The Protestant theologian </w:t>
      </w:r>
      <w:r>
        <w:rPr>
          <w:b/>
          <w:bCs/>
        </w:rPr>
        <w:t xml:space="preserve">Paul D. Devanandan (1901-1962)</w:t>
      </w:r>
      <w:r>
        <w:t xml:space="preserve"> was likely the first to articulate this “new humanity” theme powerfully, seeing the Kingdom of God as breaking into history now, not merely a future spiritual reality. </w:t>
      </w:r>
      <w:r>
        <w:rPr>
          <w:b/>
          <w:bCs/>
        </w:rPr>
        <w:t xml:space="preserve">M.M. Thomas</w:t>
      </w:r>
      <w:r>
        <w:t xml:space="preserve"> of the Mar Thoma Church developed this further, linking Christ, salvation, humanization, the Indian Renaissance and modern secularity.</w:t>
      </w:r>
      <w:r>
        <w:rPr>
          <w:rStyle w:val="FootnoteReference"/>
        </w:rPr>
        <w:footnoteReference w:id="31"/>
      </w:r>
    </w:p>
    <w:p>
      <w:pPr>
        <w:pStyle w:val="Heading3"/>
        <w:spacing w:after="100" w:before="180"/>
      </w:pPr>
      <w:r>
        <w:t xml:space="preserve">7. Indian Theology of Liberation</w:t>
      </w:r>
    </w:p>
    <w:p>
      <w:pPr>
        <w:spacing w:after="120"/>
      </w:pPr>
      <w:r>
        <w:t xml:space="preserve">Following the emergence of South American Liberation Theology in the 1960s-70s, similar movements arose independently across Asia and Africa.</w:t>
      </w:r>
      <w:r>
        <w:rPr>
          <w:rStyle w:val="FootnoteReference"/>
        </w:rPr>
        <w:footnoteReference w:id="32"/>
      </w:r>
      <w:r>
        <w:t xml:space="preserve"> In India, three names stand out: </w:t>
      </w:r>
      <w:r>
        <w:rPr>
          <w:b/>
          <w:bCs/>
        </w:rPr>
        <w:t xml:space="preserve">Sebastian Kappen, Samuel Rayan</w:t>
      </w:r>
      <w:r>
        <w:t xml:space="preserve"> and </w:t>
      </w:r>
      <w:r>
        <w:rPr>
          <w:b/>
          <w:bCs/>
        </w:rPr>
        <w:t xml:space="preserve">George M. Soares-Prabhu</w:t>
      </w:r>
      <w:r>
        <w:t xml:space="preserve">, the latter two well-known Bible scholars who reinterpreted Scripture from India’s actual social context.</w:t>
      </w:r>
    </w:p>
    <w:p>
      <w:pPr>
        <w:pBdr>
          <w:left w:val="single" w:color="2E7D32" w:sz="24"/>
        </w:pBdr>
        <w:shd w:fill="E8F5E9" w:val="clear"/>
        <w:spacing w:after="160" w:before="160"/>
        <w:ind w:left="240"/>
      </w:pPr>
      <w:r>
        <w:rPr>
          <w:b/>
          <w:bCs/>
          <w:color w:val="2E7D32"/>
        </w:rPr>
        <w:t xml:space="preserve">INDIAN CONTEXT: </w:t>
      </w:r>
      <w:r>
        <w:rPr>
          <w:b/>
          <w:bCs/>
        </w:rPr>
        <w:t xml:space="preserve">Sebastian Kappen</w:t>
      </w:r>
      <w:r>
        <w:t xml:space="preserve"> made a particularly unique contribution, combining critical study of Marxism, deep involvement with grassroots movements, and dialogue with other faiths and philosophies. His conviction: because India’s context is religiously plural, an Indian theology of liberation must draw on the resources of all religions, cultures and ideologies, not Christian resources alone. His starting point was a new Indian Christology, or “Jesuology,” that placed Jesus’ prophetic protest in continuity with India’s own long history of dissent, alongside the Buddha and the Bhakti tradition, against sterile Brahmanic ritualism.</w:t>
      </w:r>
      <w:r>
        <w:rPr>
          <w:rStyle w:val="FootnoteReference"/>
        </w:rPr>
        <w:footnoteReference w:id="33"/>
      </w:r>
    </w:p>
    <w:p>
      <w:pPr>
        <w:pStyle w:val="Heading3"/>
        <w:spacing w:after="100" w:before="180"/>
      </w:pPr>
      <w:r>
        <w:t xml:space="preserve">8. Dalit Theology</w:t>
      </w:r>
    </w:p>
    <w:p>
      <w:pPr>
        <w:spacing w:after="120"/>
      </w:pPr>
      <w:r>
        <w:t xml:space="preserve">Many Dalits embraced Christianity as a mass movement against caste oppression, but tragically, caste discrimination persisted even inside many Churches, and Dalit Christians lost the State benefits, reservations, free education, available to their non-Christian Dalit counterparts, becoming, in the Chapter’s stark words, “non-persons.”</w:t>
      </w:r>
      <w:r>
        <w:rPr>
          <w:rStyle w:val="FootnoteReference"/>
        </w:rPr>
        <w:footnoteReference w:id="34"/>
      </w:r>
    </w:p>
    <w:p>
      <w:pPr>
        <w:spacing w:after="120"/>
      </w:pPr>
      <w:r>
        <w:t xml:space="preserve">Dalit Theology is described as “the cry of the Dalit Christians,” a distinctly Dalit form of Liberation Theology, deliberately rejecting the upper-caste philosophical language of the earlier pioneers, and instead drawing on Dalit “little traditions,” their own myths, stories, poems, folklore and rituals, for an implicit theology of liberation already present within them. At the centre stands the </w:t>
      </w:r>
      <w:r>
        <w:rPr>
          <w:b/>
          <w:bCs/>
        </w:rPr>
        <w:t xml:space="preserve">Crucified and Risen Jesus</w:t>
      </w:r>
      <w:r>
        <w:t xml:space="preserve">: the Crucified Jesus gives meaning to suffering and the power both to endure and to resist; the Risen Jesus gives hope for a new life and a new world.</w:t>
      </w:r>
    </w:p>
    <w:p>
      <w:pPr>
        <w:spacing w:after="120" w:before="120"/>
        <w:ind w:left="720" w:right="720"/>
      </w:pPr>
      <w:r>
        <w:t xml:space="preserve">The Chapter draws a bold parallel: Israel itself was “an oppressed people, a Dalit group,” and the Old Testament tells the story of their liberation; Jesus led “the little ones of Israel”; and the early Church was itself “a Jesus Movement” of the poor and marginalized. The Chapter’s closing rhetorical question: “Where do we find the God of the Bible today? Is He not with the Dalits? Yes, He is the God of the Dalits.”</w:t>
      </w:r>
    </w:p>
    <w:p>
      <w:pPr>
        <w:pStyle w:val="Heading3"/>
        <w:spacing w:after="100" w:before="180"/>
      </w:pPr>
      <w:r>
        <w:t xml:space="preserve">9. Women’s Voice in Indian Theology</w:t>
      </w:r>
    </w:p>
    <w:p>
      <w:pPr>
        <w:spacing w:after="120"/>
      </w:pPr>
      <w:r>
        <w:t xml:space="preserve">Theology, historically, has largely been a product of a male-dominated society, often unconsciously reflecting only male concerns, with the “tragic consequence of the subordination, exploitation and oppression of women.”</w:t>
      </w:r>
      <w:r>
        <w:rPr>
          <w:rStyle w:val="FootnoteReference"/>
        </w:rPr>
        <w:footnoteReference w:id="35"/>
      </w:r>
      <w:r>
        <w:t xml:space="preserve"> The Chapter grounds its critique theologically: since God created humanity as male and female together, male and female perspectives are, on their own, “incomplete, one-sided and liable to distortions” and need each other to be genuinely, fully human. Alongside this principle of complementarity, the Chapter insists equally on the principle of equality, women being half the world’s population and half the Church’s membership.</w:t>
      </w:r>
    </w:p>
    <w:p>
      <w:pPr>
        <w:spacing w:after="120"/>
      </w:pPr>
      <w:r>
        <w:t xml:space="preserve">The Chapter names </w:t>
      </w:r>
      <w:r>
        <w:rPr>
          <w:b/>
          <w:bCs/>
        </w:rPr>
        <w:t xml:space="preserve">Vandana Mataji</w:t>
      </w:r>
      <w:r>
        <w:t xml:space="preserve"> and </w:t>
      </w:r>
      <w:r>
        <w:rPr>
          <w:b/>
          <w:bCs/>
        </w:rPr>
        <w:t xml:space="preserve">Sara Grant</w:t>
      </w:r>
      <w:r>
        <w:t xml:space="preserve"> as women theologians who made significant contributions from an experience-based, Ashram-rooted, contemplative perspective, “a theology from the heart.” But it is honest about the current state of things: “Indian theology is badly in need of more substantial contribution from the part of women.”</w:t>
      </w:r>
      <w:r>
        <w:rPr>
          <w:rStyle w:val="FootnoteReference"/>
        </w:rPr>
        <w:footnoteReference w:id="36"/>
      </w:r>
    </w:p>
    <w:p>
      <w:pPr>
        <w:pStyle w:val="Heading2"/>
        <w:spacing w:after="120" w:before="220"/>
      </w:pPr>
      <w:r>
        <w:t xml:space="preserve">D. Conclusion: Pluralism and Convergence in Indian Theology</w:t>
      </w:r>
    </w:p>
    <w:p>
      <w:pPr>
        <w:spacing w:after="120"/>
      </w:pPr>
      <w:r>
        <w:t xml:space="preserve">Indian theology remains genuinely plural, the country’s contexts, peoples, cultures and problems are simply too diverse for one single method. But the Chapter notes an important convergence: the two great streams traced through this Chapter, theologizing from culture, philosophy and religion, and theologizing from socio-economic and political realities, are increasingly seen as related, not opposed, and an integrated approach is slowly emerging.</w:t>
      </w:r>
      <w:r>
        <w:rPr>
          <w:rStyle w:val="FootnoteReference"/>
        </w:rPr>
        <w:footnoteReference w:id="37"/>
      </w:r>
    </w:p>
    <w:p>
      <w:pPr>
        <w:spacing w:after="120"/>
      </w:pPr>
      <w:r>
        <w:t xml:space="preserve">Indian Christianity itself remains far from monolithic: the three Catholic Individual Churches, Syro-Malabar, Latin, Syro-Malankara, each hold to their own historical and theological traditions while opening toward becoming “more and more authentically Indian and truly Christian.”</w:t>
      </w:r>
    </w:p>
    <w:p>
      <w:pPr>
        <w:spacing w:after="120"/>
      </w:pPr>
      <w:r>
        <w:rPr>
          <w:b/>
          <w:bCs/>
        </w:rPr>
        <w:t xml:space="preserve">Interreligious dialogue</w:t>
      </w:r>
      <w:r>
        <w:t xml:space="preserve">, inspired by Vatican II’s positive teaching on other faiths, continues, but its focus has shifted from debating scriptures and doctrines toward what the Chapter calls the “dialogue of life”: shared concern for poverty, illiteracy, unemployment, women’s issues, the environment, and the threat of religious fundamentalism.</w:t>
      </w:r>
      <w:r>
        <w:rPr>
          <w:rStyle w:val="FootnoteReference"/>
        </w:rPr>
        <w:footnoteReference w:id="38"/>
      </w:r>
      <w:r>
        <w:t xml:space="preserve"> Interreligious prayer and shared meditation remain especially valuable in contexts of communal tension, since “prayer experience and God’s Grace can be fresh meeting-points.”</w:t>
      </w:r>
    </w:p>
    <w:p>
      <w:pPr>
        <w:pBdr>
          <w:left w:val="single" w:color="1565C0" w:sz="24"/>
        </w:pBdr>
        <w:shd w:fill="E3F2FD" w:val="clear"/>
        <w:spacing w:after="160" w:before="160"/>
        <w:ind w:left="240"/>
      </w:pPr>
      <w:r>
        <w:rPr>
          <w:b/>
          <w:bCs/>
          <w:color w:val="1565C0"/>
        </w:rPr>
        <w:t xml:space="preserve">EXAMPLE: </w:t>
      </w:r>
      <w:r>
        <w:rPr>
          <w:b/>
          <w:bCs/>
        </w:rPr>
        <w:t xml:space="preserve">Inculturation</w:t>
      </w:r>
      <w:r>
        <w:t xml:space="preserve"> remains a central, ongoing task, even if some now consider it “a spent force.” The Chapter insists it is still vital, but must move beyond older, top-down methods of “mere translation” using only dominant-culture categories: the “smaller cultures and traditions” of marginalized peoples deserve equal respect. True inculturation, the Chapter stresses, cannot be artificially manufactured, it happens naturally when the Church becomes genuinely, concretely involved in people’s real lives, struggles, language and culture.</w:t>
      </w:r>
      <w:r>
        <w:rPr>
          <w:rStyle w:val="FootnoteReference"/>
        </w:rPr>
        <w:footnoteReference w:id="39"/>
      </w:r>
    </w:p>
    <w:p>
      <w:pPr>
        <w:spacing w:after="120"/>
      </w:pPr>
      <w:r>
        <w:t xml:space="preserve">Finally, the Chapter calls all the Indian Churches to join in nation-building through their diaconal, service, ministry, understanding the Church’s mission as fundamentally liberative, continuing Christ’s own prophetic mission against poverty, oppression and everything that dehumanises, while never compromising the Church’s “special option for the poor and the marginalized.” Signs of hope named include the Indian Theological Association, theological journals (Jeevadhara, Vidyajyoti, The Living Word, Journal of Dharma, Bible Bhashyam), and the growth of Christian theology departments within India’s secular universities.</w:t>
      </w:r>
      <w:r>
        <w:rPr>
          <w:rStyle w:val="FootnoteReference"/>
        </w:rPr>
        <w:footnoteReference w:id="40"/>
      </w:r>
    </w:p>
    <w:p>
      <w:pPr>
        <w:pStyle w:val="Heading2"/>
        <w:spacing w:after="120" w:before="220"/>
      </w:pPr>
      <w:r>
        <w:t xml:space="preserve">Questions for Review</w:t>
      </w:r>
    </w:p>
    <w:p>
      <w:pPr>
        <w:pStyle w:val="ListParagraph"/>
        <w:spacing w:after="80"/>
        <w:ind w:left="720" w:hanging="360"/>
      </w:pPr>
      <w:r>
        <w:t xml:space="preserve">1. What, according to you, are the salient features of the Indian society today? What changes do you notice in India today with respect to the past?</w:t>
      </w:r>
    </w:p>
    <w:p>
      <w:pPr>
        <w:pStyle w:val="ListParagraph"/>
        <w:spacing w:after="80"/>
        <w:ind w:left="720" w:hanging="360"/>
      </w:pPr>
      <w:r>
        <w:t xml:space="preserve">2. What is the relevance and significance of the different ecclesial traditions in India? Do you think that the diversity of the Churches is a blessing or a problem?</w:t>
      </w:r>
    </w:p>
    <w:p>
      <w:pPr>
        <w:pStyle w:val="ListParagraph"/>
        <w:spacing w:after="80"/>
        <w:ind w:left="720" w:hanging="360"/>
      </w:pPr>
      <w:r>
        <w:t xml:space="preserve">3. Compare and contrast the approach of the St. Thomas Christians and that of Robert de Nobili towards the many religions and cultures of India.</w:t>
      </w:r>
    </w:p>
    <w:p>
      <w:pPr>
        <w:pStyle w:val="ListParagraph"/>
        <w:spacing w:after="80"/>
        <w:ind w:left="720" w:hanging="360"/>
      </w:pPr>
      <w:r>
        <w:t xml:space="preserve">4. How should we go about theologizing in the socio-economic and political context of India? Can you describe the attempts of some Indian theologians towards an Indian theology of liberation?</w:t>
      </w:r>
    </w:p>
    <w:p>
      <w:pPr>
        <w:pStyle w:val="ListParagraph"/>
        <w:spacing w:after="80"/>
        <w:ind w:left="720" w:hanging="360"/>
      </w:pPr>
      <w:r>
        <w:t xml:space="preserve">5. Is there only one typical method for theologizing in India? Or do you think that we need different methods of theologizing in order to respond to the different contexts and needs of India?</w:t>
      </w:r>
      <w:r>
        <w:rPr>
          <w:rStyle w:val="FootnoteReference"/>
        </w:rPr>
        <w:footnoteReference w:id="41"/>
      </w:r>
    </w:p>
    <w:p>
      <w:pPr>
        <w:pStyle w:val="Heading2"/>
        <w:spacing w:after="120" w:before="220"/>
      </w:pPr>
      <w:r>
        <w:t xml:space="preserve">Select Bibliography</w:t>
      </w:r>
    </w:p>
    <w:p>
      <w:pPr>
        <w:spacing w:after="120"/>
      </w:pPr>
      <w:r>
        <w:t xml:space="preserve">As listed at the close of Chapter 6, arranged alphabetically.</w:t>
      </w:r>
    </w:p>
    <w:p>
      <w:pPr>
        <w:spacing w:after="120"/>
        <w:ind w:left="720" w:hanging="720"/>
      </w:pPr>
      <w:r>
        <w:rPr/>
        <w:t xml:space="preserve">Amalorpavadass, D.S., ed. </w:t>
      </w:r>
      <w:r>
        <w:rPr>
          <w:i/>
          <w:iCs/>
        </w:rPr>
        <w:t xml:space="preserve">The Indian Church in the Struggle for a New Society</w:t>
      </w:r>
      <w:r>
        <w:rPr/>
        <w:t xml:space="preserve">. Bangalore: NBCLC, 1981.</w:t>
      </w:r>
    </w:p>
    <w:p>
      <w:pPr>
        <w:spacing w:after="120"/>
        <w:ind w:left="720" w:hanging="720"/>
      </w:pPr>
      <w:r>
        <w:rPr/>
        <w:t xml:space="preserve">Boyd, Robin. </w:t>
      </w:r>
      <w:r>
        <w:rPr>
          <w:i/>
          <w:iCs/>
        </w:rPr>
        <w:t xml:space="preserve">An Introduction to Indian Christian Theology</w:t>
      </w:r>
      <w:r>
        <w:rPr/>
        <w:t xml:space="preserve">. Reprint. Delhi: ISPCK, 1991.</w:t>
      </w:r>
    </w:p>
    <w:p>
      <w:pPr>
        <w:spacing w:after="120"/>
        <w:ind w:left="720" w:hanging="720"/>
      </w:pPr>
      <w:r>
        <w:rPr/>
        <w:t xml:space="preserve">Mundadan, Mathias M. </w:t>
      </w:r>
      <w:r>
        <w:rPr>
          <w:i/>
          <w:iCs/>
        </w:rPr>
        <w:t xml:space="preserve">Indian Christians: Search for Identity and Struggle for Autonomy</w:t>
      </w:r>
      <w:r>
        <w:rPr/>
        <w:t xml:space="preserve">. Bangalore: Dharmaram Publications, 1984.</w:t>
      </w:r>
    </w:p>
    <w:p>
      <w:pPr>
        <w:spacing w:after="120"/>
        <w:ind w:left="720" w:hanging="720"/>
      </w:pPr>
      <w:r>
        <w:rPr/>
        <w:t xml:space="preserve">Mundadan, Mathias M. </w:t>
      </w:r>
      <w:r>
        <w:rPr>
          <w:i/>
          <w:iCs/>
        </w:rPr>
        <w:t xml:space="preserve">Paths of Indian Theology</w:t>
      </w:r>
      <w:r>
        <w:rPr/>
        <w:t xml:space="preserve">. Bangalore: Dharmaram Publications, 1998.</w:t>
      </w:r>
    </w:p>
    <w:p>
      <w:pPr>
        <w:spacing w:after="120"/>
        <w:ind w:left="720" w:hanging="720"/>
      </w:pPr>
      <w:r>
        <w:rPr/>
        <w:t xml:space="preserve">Nirmal, A., ed. </w:t>
      </w:r>
      <w:r>
        <w:rPr>
          <w:i/>
          <w:iCs/>
        </w:rPr>
        <w:t xml:space="preserve">A Reader in Dalit Theology</w:t>
      </w:r>
      <w:r>
        <w:rPr/>
        <w:t xml:space="preserve">. Madras: Gurukul Lutheran Theological College and Research Institute, 1991.</w:t>
      </w:r>
    </w:p>
    <w:p>
      <w:pPr>
        <w:spacing w:after="120"/>
        <w:ind w:left="720" w:hanging="720"/>
      </w:pPr>
      <w:r>
        <w:rPr/>
        <w:t xml:space="preserve">Pathil, Kuncheria, ed. </w:t>
      </w:r>
      <w:r>
        <w:rPr>
          <w:i/>
          <w:iCs/>
        </w:rPr>
        <w:t xml:space="preserve">Religious Pluralism: An Indian Christian Perspective</w:t>
      </w:r>
      <w:r>
        <w:rPr/>
        <w:t xml:space="preserve">. Delhi: ISPCK, 1991.</w:t>
      </w:r>
    </w:p>
    <w:p>
      <w:pPr>
        <w:spacing w:after="120"/>
        <w:ind w:left="720" w:hanging="720"/>
      </w:pPr>
      <w:r>
        <w:rPr/>
        <w:t xml:space="preserve">Pathil, Kuncheria, ed. </w:t>
      </w:r>
      <w:r>
        <w:rPr>
          <w:i/>
          <w:iCs/>
        </w:rPr>
        <w:t xml:space="preserve">Socio-Cultural Analysis in Theologizing</w:t>
      </w:r>
      <w:r>
        <w:rPr/>
        <w:t xml:space="preserve">. Bangalore: Indian Theological Association, 1987.</w:t>
      </w:r>
    </w:p>
    <w:p>
      <w:pPr>
        <w:spacing w:after="120"/>
        <w:ind w:left="720" w:hanging="720"/>
      </w:pPr>
      <w:r>
        <w:rPr/>
        <w:t xml:space="preserve">Pathil, Kuncheria, and Dominic Veliath. </w:t>
      </w:r>
      <w:r>
        <w:rPr>
          <w:i/>
          <w:iCs/>
        </w:rPr>
        <w:t xml:space="preserve">An Introduction to Theology</w:t>
      </w:r>
      <w:r>
        <w:rPr/>
        <w:t xml:space="preserve">. Indian Theological Series. Publisher and year not verified in the source scan; confirm against the printed edition.</w:t>
      </w:r>
    </w:p>
    <w:p>
      <w:pPr>
        <w:spacing w:after="120"/>
        <w:ind w:left="720" w:hanging="720"/>
      </w:pPr>
      <w:r>
        <w:rPr/>
        <w:t xml:space="preserve">Prabhakar, M., ed. </w:t>
      </w:r>
      <w:r>
        <w:rPr>
          <w:i/>
          <w:iCs/>
        </w:rPr>
        <w:t xml:space="preserve">Towards a Dalit Theology</w:t>
      </w:r>
      <w:r>
        <w:rPr/>
        <w:t xml:space="preserve">. Delhi: ISPCK, 1989.</w:t>
      </w:r>
    </w:p>
    <w:p>
      <w:pPr>
        <w:spacing w:after="120"/>
        <w:ind w:left="720" w:hanging="720"/>
      </w:pPr>
      <w:r>
        <w:rPr/>
        <w:t xml:space="preserve">Thomas, M.M. </w:t>
      </w:r>
      <w:r>
        <w:rPr>
          <w:i/>
          <w:iCs/>
        </w:rPr>
        <w:t xml:space="preserve">The Acknowledged Christ of the Indian Renaissance</w:t>
      </w:r>
      <w:r>
        <w:rPr/>
        <w:t xml:space="preserve">. Madras: CLS, 1970.</w:t>
      </w:r>
    </w:p>
    <w:p>
      <w:pPr>
        <w:spacing w:after="120"/>
        <w:ind w:left="720" w:hanging="720"/>
      </w:pPr>
      <w:r>
        <w:rPr/>
        <w:t xml:space="preserve">Wilfred, Felix. </w:t>
      </w:r>
      <w:r>
        <w:rPr>
          <w:i/>
          <w:iCs/>
        </w:rPr>
        <w:t xml:space="preserve">Beyond Settled Foundations: The Journey of Indian Theology</w:t>
      </w:r>
      <w:r>
        <w:rPr/>
        <w:t xml:space="preserve">. Madras: University of Madras, 1993.</w:t>
      </w:r>
    </w:p>
    <w:p>
      <w:pPr>
        <w:pBdr>
          <w:left w:val="single" w:color="6A1B9A" w:sz="24"/>
        </w:pBdr>
        <w:shd w:fill="F3E5F5" w:val="clear"/>
        <w:spacing w:before="160" w:after="160"/>
        <w:ind w:left="240"/>
      </w:pPr>
      <w:r>
        <w:rPr>
          <w:b/>
          <w:bCs/>
          <w:color w:val="6A1B9A"/>
        </w:rPr>
        <w:t xml:space="preserve">A NOTE FOR THE CLASSROOM: </w:t>
      </w:r>
      <w:r>
        <w:t xml:space="preserve">This is the final Chapter of the book. A short closing section, “Towards the Articulation of a Curriculum of Theology for India,” follows Chapter 6 as the book’s overall conclusion, outside the outline requested for these notes.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Kuncheria Pathil and Dominic Veliath, </w:t>
      </w:r>
      <w:r>
        <w:rPr>
          <w:i/>
          <w:iCs/>
          <w:sz w:val="20"/>
          <w:szCs w:val="20"/>
        </w:rPr>
        <w:t xml:space="preserve">An Introduction to Theology</w:t>
      </w:r>
      <w:r>
        <w:rPr>
          <w:sz w:val="20"/>
          <w:szCs w:val="20"/>
        </w:rPr>
        <w:t xml:space="preserve">, Indian Theological Series, chap. 6.</w:t>
      </w:r>
    </w:p>
  </w:footnote>
  <w:footnote w:id="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A.1.</w:t>
      </w:r>
    </w:p>
  </w:footnote>
  <w:footnote w:id="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A.1.</w:t>
      </w:r>
    </w:p>
  </w:footnote>
  <w:footnote w:id="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A.2.</w:t>
      </w:r>
    </w:p>
  </w:footnote>
  <w:footnote w:id="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A.2.</w:t>
      </w:r>
    </w:p>
  </w:footnote>
  <w:footnote w:id="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A.3.</w:t>
      </w:r>
    </w:p>
  </w:footnote>
  <w:footnote w:id="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A.3.</w:t>
      </w:r>
    </w:p>
  </w:footnote>
  <w:footnote w:id="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A.4.</w:t>
      </w:r>
    </w:p>
  </w:footnote>
  <w:footnote w:id="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w:t>
      </w:r>
    </w:p>
  </w:footnote>
  <w:footnote w:id="1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B.1.</w:t>
      </w:r>
    </w:p>
  </w:footnote>
  <w:footnote w:id="1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B.1.</w:t>
      </w:r>
    </w:p>
  </w:footnote>
  <w:footnote w:id="1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B.2.</w:t>
      </w:r>
    </w:p>
  </w:footnote>
  <w:footnote w:id="1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B.2.</w:t>
      </w:r>
    </w:p>
  </w:footnote>
  <w:footnote w:id="1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B.3.</w:t>
      </w:r>
    </w:p>
  </w:footnote>
  <w:footnote w:id="1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B.3.</w:t>
      </w:r>
    </w:p>
  </w:footnote>
  <w:footnote w:id="1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B.4.</w:t>
      </w:r>
    </w:p>
  </w:footnote>
  <w:footnote w:id="17">
    <w:p>
      <w:r>
        <w:rPr>
          <w:rStyle w:val="FootnoteReference"/>
        </w:rPr>
        <w:footnoteRef/>
      </w:r>
      <w:r>
        <w:rPr>
          <w:sz w:val="20"/>
          <w:szCs w:val="20"/>
        </w:rPr>
        <w:t xml:space="preserve">Mathias Mundadan, </w:t>
      </w:r>
      <w:r>
        <w:rPr>
          <w:i/>
          <w:iCs/>
          <w:sz w:val="20"/>
          <w:szCs w:val="20"/>
        </w:rPr>
        <w:t xml:space="preserve">Paths of Indian Theology</w:t>
      </w:r>
      <w:r>
        <w:rPr>
          <w:sz w:val="20"/>
          <w:szCs w:val="20"/>
        </w:rPr>
        <w:t xml:space="preserve"> (Bangalore: Dharmaram Publications, 1998), 40-42, cited in Pathil and Veliath, </w:t>
      </w:r>
      <w:r>
        <w:rPr>
          <w:i/>
          <w:iCs/>
          <w:sz w:val="20"/>
          <w:szCs w:val="20"/>
        </w:rPr>
        <w:t xml:space="preserve">An Introduction to Theology</w:t>
      </w:r>
      <w:r>
        <w:rPr>
          <w:sz w:val="20"/>
          <w:szCs w:val="20"/>
        </w:rPr>
        <w:t xml:space="preserve">, chap. 6, sec. B.4.</w:t>
      </w:r>
    </w:p>
  </w:footnote>
  <w:footnote w:id="1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B.5.</w:t>
      </w:r>
    </w:p>
  </w:footnote>
  <w:footnote w:id="1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B.6.</w:t>
      </w:r>
    </w:p>
  </w:footnote>
  <w:footnote w:id="2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B.7.</w:t>
      </w:r>
    </w:p>
  </w:footnote>
  <w:footnote w:id="2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B.8.</w:t>
      </w:r>
    </w:p>
  </w:footnote>
  <w:footnote w:id="2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B.9.</w:t>
      </w:r>
    </w:p>
  </w:footnote>
  <w:footnote w:id="23">
    <w:p>
      <w:r>
        <w:rPr>
          <w:rStyle w:val="FootnoteReference"/>
        </w:rPr>
        <w:footnoteRef/>
      </w:r>
      <w:r>
        <w:rPr>
          <w:sz w:val="20"/>
          <w:szCs w:val="20"/>
        </w:rPr>
        <w:t xml:space="preserve">UN Human Development Report, 1997, cited in Pathil and Veliath, </w:t>
      </w:r>
      <w:r>
        <w:rPr>
          <w:i/>
          <w:iCs/>
          <w:sz w:val="20"/>
          <w:szCs w:val="20"/>
        </w:rPr>
        <w:t xml:space="preserve">An Introduction to Theology</w:t>
      </w:r>
      <w:r>
        <w:rPr>
          <w:sz w:val="20"/>
          <w:szCs w:val="20"/>
        </w:rPr>
        <w:t xml:space="preserve">, chap. 6, sec. C.1.</w:t>
      </w:r>
    </w:p>
  </w:footnote>
  <w:footnote w:id="2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C.2.</w:t>
      </w:r>
    </w:p>
  </w:footnote>
  <w:footnote w:id="2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C.2.</w:t>
      </w:r>
    </w:p>
  </w:footnote>
  <w:footnote w:id="2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C.3.</w:t>
      </w:r>
    </w:p>
  </w:footnote>
  <w:footnote w:id="2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C.4.</w:t>
      </w:r>
    </w:p>
  </w:footnote>
  <w:footnote w:id="2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C.4.</w:t>
      </w:r>
    </w:p>
  </w:footnote>
  <w:footnote w:id="2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C.5.</w:t>
      </w:r>
    </w:p>
  </w:footnote>
  <w:footnote w:id="3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C.6.</w:t>
      </w:r>
    </w:p>
  </w:footnote>
  <w:footnote w:id="3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C.6.</w:t>
      </w:r>
    </w:p>
  </w:footnote>
  <w:footnote w:id="32">
    <w:p>
      <w:r>
        <w:rPr>
          <w:rStyle w:val="FootnoteReference"/>
        </w:rPr>
        <w:footnoteRef/>
      </w:r>
      <w:r>
        <w:rPr>
          <w:sz w:val="20"/>
          <w:szCs w:val="20"/>
        </w:rPr>
        <w:t xml:space="preserve">M. Amaladoss, </w:t>
      </w:r>
      <w:r>
        <w:rPr>
          <w:i/>
          <w:iCs/>
          <w:sz w:val="20"/>
          <w:szCs w:val="20"/>
        </w:rPr>
        <w:t xml:space="preserve">Life in Freedom: Liberation Theologies from Asia</w:t>
      </w:r>
      <w:r>
        <w:rPr>
          <w:sz w:val="20"/>
          <w:szCs w:val="20"/>
        </w:rPr>
        <w:t xml:space="preserve"> (Anand: Gujarat Sahitya Prakash, 1997), cited in Pathil and Veliath, </w:t>
      </w:r>
      <w:r>
        <w:rPr>
          <w:i/>
          <w:iCs/>
          <w:sz w:val="20"/>
          <w:szCs w:val="20"/>
        </w:rPr>
        <w:t xml:space="preserve">An Introduction to Theology</w:t>
      </w:r>
      <w:r>
        <w:rPr>
          <w:sz w:val="20"/>
          <w:szCs w:val="20"/>
        </w:rPr>
        <w:t xml:space="preserve">, chap. 6, sec. C.7.</w:t>
      </w:r>
    </w:p>
  </w:footnote>
  <w:footnote w:id="3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C.7.</w:t>
      </w:r>
    </w:p>
  </w:footnote>
  <w:footnote w:id="3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C.8.</w:t>
      </w:r>
    </w:p>
  </w:footnote>
  <w:footnote w:id="3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C.9.</w:t>
      </w:r>
    </w:p>
  </w:footnote>
  <w:footnote w:id="3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C.9.</w:t>
      </w:r>
    </w:p>
  </w:footnote>
  <w:footnote w:id="3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D.</w:t>
      </w:r>
    </w:p>
  </w:footnote>
  <w:footnote w:id="3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D.</w:t>
      </w:r>
    </w:p>
  </w:footnote>
  <w:footnote w:id="3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D.</w:t>
      </w:r>
    </w:p>
  </w:footnote>
  <w:footnote w:id="4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sec. D.</w:t>
      </w:r>
    </w:p>
  </w:footnote>
  <w:footnote w:id="4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6, end of chapter.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2026-07-15T20:29:06.811Z</dcterms:created>
  <dcterms:modified xsi:type="dcterms:W3CDTF">2026-07-15T20:29:06.812Z</dcterms:modified>
</cp:coreProperties>
</file>

<file path=docProps/custom.xml><?xml version="1.0" encoding="utf-8"?>
<Properties xmlns="http://schemas.openxmlformats.org/officeDocument/2006/custom-properties" xmlns:vt="http://schemas.openxmlformats.org/officeDocument/2006/docPropsVTypes"/>
</file>