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06B"/>
          <w:sz w:val="56"/>
        </w:rPr>
        <w:t>FCRA HANDBOOK</w:t>
      </w:r>
    </w:p>
    <w:p>
      <w:pPr>
        <w:jc w:val="center"/>
      </w:pPr>
      <w:r>
        <w:rPr>
          <w:i/>
          <w:sz w:val="30"/>
        </w:rPr>
        <w:t>Expenditure Classification and Compliance Guide</w:t>
      </w:r>
    </w:p>
    <w:p>
      <w:pPr>
        <w:jc w:val="center"/>
      </w:pPr>
      <w:r>
        <w:rPr>
          <w:color w:val="7A705C"/>
          <w:sz w:val="22"/>
        </w:rPr>
        <w:t>The Schedule of Approved Purposes under the Amendment Rules 2026 · Bengal Catholic Priests' Training Institute</w:t>
      </w:r>
    </w:p>
    <w:p>
      <w:r>
        <w:br w:type="page"/>
      </w:r>
    </w:p>
    <w:p>
      <w:r>
        <w:rPr>
          <w:b/>
          <w:sz w:val="32"/>
        </w:rPr>
        <w:t>Contents</w:t>
      </w:r>
    </w:p>
    <w:p>
      <w:r>
        <w:rPr>
          <w:b/>
        </w:rPr>
        <w:t xml:space="preserve">Part 1  </w:t>
      </w:r>
      <w:r>
        <w:t>How to Classify Any Expenditure</w:t>
      </w:r>
    </w:p>
    <w:p>
      <w:r>
        <w:rPr>
          <w:b/>
        </w:rPr>
        <w:t xml:space="preserve">Part 2  </w:t>
      </w:r>
      <w:r>
        <w:t>Worked Examples</w:t>
      </w:r>
    </w:p>
    <w:p>
      <w:r>
        <w:rPr>
          <w:b/>
        </w:rPr>
        <w:t xml:space="preserve">Part 3  </w:t>
      </w:r>
      <w:r>
        <w:t>The Schedule of Approved Purposes</w:t>
      </w:r>
    </w:p>
    <w:p>
      <w:r>
        <w:rPr>
          <w:b/>
        </w:rPr>
        <w:t xml:space="preserve">Part 4  </w:t>
      </w:r>
      <w:r>
        <w:t>Administrative Expenses and Prohibitions</w:t>
      </w:r>
    </w:p>
    <w:p>
      <w:r>
        <w:rPr>
          <w:b/>
        </w:rPr>
        <w:t xml:space="preserve">Part 5  </w:t>
      </w:r>
      <w:r>
        <w:t>Compliance Essentials</w:t>
      </w:r>
    </w:p>
    <w:p>
      <w:r>
        <w:rPr>
          <w:b/>
        </w:rPr>
        <w:t xml:space="preserve">Part 6  </w:t>
      </w:r>
      <w:r>
        <w:t>The 2026 Framework Shift</w:t>
      </w:r>
    </w:p>
    <w:p>
      <w:r>
        <w:rPr>
          <w:b/>
        </w:rPr>
        <w:t xml:space="preserve">Part 7  </w:t>
      </w:r>
      <w:r>
        <w:t>BCPTI — Position and Action Points</w:t>
      </w:r>
    </w:p>
    <w:p>
      <w:r>
        <w:br w:type="page"/>
      </w:r>
    </w:p>
    <w:p>
      <w:r>
        <w:rPr>
          <w:b/>
          <w:color w:val="9C7A2E"/>
          <w:sz w:val="22"/>
        </w:rPr>
        <w:t>PART 1</w:t>
      </w:r>
    </w:p>
    <w:p>
      <w:r>
        <w:rPr>
          <w:b/>
          <w:color w:val="24406B"/>
          <w:sz w:val="40"/>
        </w:rPr>
        <w:t>How to Classify Any Expenditure</w:t>
      </w:r>
    </w:p>
    <w:p>
      <w:r>
        <w:t xml:space="preserve">This handbook exists to answer one question reliably: </w:t>
      </w:r>
      <w:r>
        <w:rPr>
          <w:b/>
        </w:rPr>
        <w:t>given a proposed item of spending, may foreign contribution pay for it, and under what heading?</w:t>
      </w:r>
    </w:p>
    <w:p>
      <w:r>
        <w:t>Work through five steps in order. Step 0 is the one most often skipped, and it is the one with financial consequences.</w:t>
      </w:r>
    </w:p>
    <w:p>
      <w:pPr>
        <w:spacing w:before="280"/>
      </w:pPr>
      <w:r>
        <w:rPr>
          <w:b/>
          <w:color w:val="24406B"/>
          <w:sz w:val="34"/>
        </w:rPr>
        <w:t>Step 0 — Programme or administrative?</w:t>
      </w:r>
    </w:p>
    <w:p>
      <w:r>
        <w:t xml:space="preserve">This decides whether the spend counts against the </w:t>
      </w:r>
      <w:r>
        <w:rPr>
          <w:b/>
        </w:rPr>
        <w:t>20% cap</w:t>
      </w:r>
      <w:r>
        <w:t xml:space="preserve"> on administrative expenses (Section 8(1)(b); Rule 5, FCRR 2011). Exceeding the cap is compoundable at 5% of the excess or ₹1,00,000, whichever is higher.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If yes</w:t>
            </w:r>
          </w:p>
        </w:tc>
      </w:tr>
      <w:tr>
        <w:tc>
          <w:tcPr>
            <w:tcW w:type="dxa" w:w="4320"/>
          </w:tcPr>
          <w:p>
            <w:r/>
            <w:r>
              <w:t>Is this directly in furtherance of a stated objective?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Programme</w:t>
            </w:r>
            <w:r>
              <w:t xml:space="preserve"> — classify under a Schedule item; outside the cap</w:t>
            </w:r>
          </w:p>
        </w:tc>
      </w:tr>
      <w:tr>
        <w:tc>
          <w:tcPr>
            <w:tcW w:type="dxa" w:w="4320"/>
          </w:tcPr>
          <w:p>
            <w:r/>
            <w:r>
              <w:t>Is it running the organisation rather than delivering the work?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Administrative</w:t>
            </w:r>
            <w:r>
              <w:t xml:space="preserve"> — inside the cap</w:t>
            </w:r>
          </w:p>
        </w:tc>
      </w:tr>
    </w:tbl>
    <w:p>
      <w:pPr>
        <w:spacing w:after="80"/>
      </w:pPr>
    </w:p>
    <w:p>
      <w:r>
        <w:rPr>
          <w:b/>
        </w:rPr>
        <w:t>Two statutory exclusions rescue an expense from the cap:</w:t>
      </w:r>
    </w:p>
    <w:p>
      <w:pPr>
        <w:pStyle w:val="ListBullet"/>
      </w:pPr>
      <w:r>
        <w:t xml:space="preserve">Salaries of personnel engaged in </w:t>
      </w:r>
      <w:r>
        <w:rPr>
          <w:b/>
        </w:rPr>
        <w:t>training</w:t>
      </w:r>
      <w:r>
        <w:t xml:space="preserve">, or in </w:t>
      </w:r>
      <w:r>
        <w:rPr>
          <w:b/>
        </w:rPr>
        <w:t>collection and analysis of field data</w:t>
      </w:r>
      <w:r>
        <w:t>, where the association is primarily engaged in research or training</w:t>
      </w:r>
    </w:p>
    <w:p>
      <w:pPr>
        <w:pStyle w:val="ListBullet"/>
      </w:pPr>
      <w:r>
        <w:t xml:space="preserve">Expenses incurred </w:t>
      </w:r>
      <w:r>
        <w:rPr>
          <w:b/>
        </w:rPr>
        <w:t>directly in furtherance of the stated objectives</w:t>
      </w:r>
      <w:r>
        <w:t xml:space="preserve"> — the Rule's own examples are </w:t>
      </w:r>
      <w:r>
        <w:rPr>
          <w:i/>
        </w:rPr>
        <w:t>salaries to doctors of a hospital</w:t>
      </w:r>
      <w:r>
        <w:t xml:space="preserve"> and </w:t>
      </w:r>
      <w:r>
        <w:rPr>
          <w:i/>
        </w:rPr>
        <w:t>salaries to teachers of a school</w:t>
      </w:r>
    </w:p>
    <w:p>
      <w:r>
        <w:rPr>
          <w:b/>
        </w:rPr>
        <w:t>The test is FUNCTION, not the label on the invoice.</w:t>
      </w:r>
      <w:r>
        <w:t xml:space="preserve"> The same "repairs" line is administrative for the office block and programme for the classroom.</w:t>
      </w:r>
    </w:p>
    <w:p>
      <w:pPr>
        <w:spacing w:before="280"/>
      </w:pPr>
      <w:r>
        <w:rPr>
          <w:b/>
          <w:color w:val="24406B"/>
          <w:sz w:val="34"/>
        </w:rPr>
        <w:t>Step 1 — Which of the five statutory categories?</w:t>
      </w:r>
    </w:p>
    <w:p>
      <w:r>
        <w:rPr>
          <w:b/>
        </w:rPr>
        <w:t>Religious · Cultural · Economic · Educational · Social.</w:t>
      </w:r>
      <w:r>
        <w:t xml:space="preserve"> There are no others (Section 11(1); Rule 9(1B)(b)(i)).</w:t>
      </w:r>
    </w:p>
    <w:p>
      <w:pPr>
        <w:spacing w:before="280"/>
      </w:pPr>
      <w:r>
        <w:rPr>
          <w:b/>
          <w:color w:val="24406B"/>
          <w:sz w:val="34"/>
        </w:rPr>
        <w:t>Step 2 — Which numbered Schedule item?</w:t>
      </w:r>
    </w:p>
    <w:p>
      <w:r>
        <w:t>Match to the Schedule reproduced in Part 3. Cite the ID, not merely the category.</w:t>
      </w:r>
    </w:p>
    <w:p>
      <w:pPr>
        <w:spacing w:before="280"/>
      </w:pPr>
      <w:r>
        <w:rPr>
          <w:b/>
          <w:color w:val="24406B"/>
          <w:sz w:val="34"/>
        </w:rPr>
        <w:t>Step 3 — Three gating checks</w:t>
      </w:r>
    </w:p>
    <w:p>
      <w:r>
        <w:t>A correct classification is not by itself authority to spend. All three must pass:</w:t>
      </w:r>
    </w:p>
    <w:p>
      <w:pPr>
        <w:pStyle w:val="ListNumber"/>
      </w:pPr>
      <w:r>
        <w:rPr>
          <w:b/>
        </w:rPr>
        <w:t>Is that purpose on your registration certificate?</w:t>
      </w:r>
      <w:r>
        <w:t xml:space="preserve"> Since 22 June 2026 the certificate names specific approved purposes. Unapproved purpose: </w:t>
      </w:r>
      <w:r>
        <w:rPr>
          <w:b/>
        </w:rPr>
        <w:t>30% of the amount or ₹1,00,000, whichever is higher.</w:t>
      </w:r>
    </w:p>
    <w:p>
      <w:pPr>
        <w:pStyle w:val="ListNumber"/>
      </w:pPr>
      <w:r>
        <w:rPr>
          <w:b/>
        </w:rPr>
        <w:t>Is the State on your certificate?</w:t>
      </w:r>
      <w:r>
        <w:t xml:space="preserve"> Registration is now geography-specific. Same penalty.</w:t>
      </w:r>
    </w:p>
    <w:p>
      <w:pPr>
        <w:pStyle w:val="ListNumber"/>
      </w:pPr>
      <w:r>
        <w:rPr>
          <w:b/>
        </w:rPr>
        <w:t>Is it within your own Memorandum and Bye-laws?</w:t>
      </w:r>
      <w:r>
        <w:t xml:space="preserve"> FCRA approval does not override your objects clause. Both must permit it.</w:t>
      </w:r>
    </w:p>
    <w:p>
      <w:pPr>
        <w:spacing w:before="280"/>
      </w:pPr>
      <w:r>
        <w:rPr>
          <w:b/>
          <w:color w:val="24406B"/>
          <w:sz w:val="34"/>
        </w:rPr>
        <w:t>Step 4 — Prohibition screen</w:t>
      </w:r>
    </w:p>
    <w:p>
      <w:r>
        <w:t>Speculative investment · transfer or sub-granting · activity outside India · personal gain · assets in personal names · proselytisation (for the three Religious items that exclude it) · cash above ₹2,000 per day.</w:t>
      </w:r>
    </w:p>
    <w:p>
      <w:pPr>
        <w:spacing w:before="280"/>
      </w:pPr>
      <w:r>
        <w:rPr>
          <w:b/>
          <w:color w:val="24406B"/>
          <w:sz w:val="34"/>
        </w:rPr>
        <w:t>The answer format</w:t>
      </w:r>
    </w:p>
    <w:p>
      <w:r>
        <w:rPr>
          <w:b/>
          <w:i/>
        </w:rPr>
        <w:t>Classification:</w:t>
      </w:r>
      <w:r>
        <w:rPr>
          <w:i/>
        </w:rPr>
        <w:t xml:space="preserve"> Category — ID "Schedule item text"</w:t>
      </w:r>
    </w:p>
    <w:p>
      <w:r>
        <w:rPr>
          <w:b/>
          <w:i/>
        </w:rPr>
        <w:t>Type:</w:t>
      </w:r>
      <w:r>
        <w:rPr>
          <w:i/>
        </w:rPr>
        <w:t xml:space="preserve"> Programme / Administrative — counts against 20% cap: yes/no</w:t>
      </w:r>
    </w:p>
    <w:p>
      <w:r>
        <w:rPr>
          <w:b/>
          <w:i/>
        </w:rPr>
        <w:t>Conditions:</w:t>
      </w:r>
      <w:r>
        <w:rPr>
          <w:i/>
        </w:rPr>
        <w:t xml:space="preserve"> any provisos</w:t>
      </w:r>
    </w:p>
    <w:p>
      <w:r>
        <w:rPr>
          <w:b/>
          <w:i/>
        </w:rPr>
        <w:t>Gating checks:</w:t>
      </w:r>
      <w:r>
        <w:rPr>
          <w:i/>
        </w:rPr>
        <w:t xml:space="preserve"> purpose on certificate? State on certificate? within objects?</w:t>
      </w:r>
    </w:p>
    <w:p>
      <w:r>
        <w:rPr>
          <w:b/>
          <w:i/>
        </w:rPr>
        <w:t>Verdict:</w:t>
      </w:r>
      <w:r>
        <w:rPr>
          <w:i/>
        </w:rPr>
        <w:t xml:space="preserve"> Permissible / Permissible with conditions / Not permissible, and why</w:t>
      </w:r>
    </w:p>
    <w:p>
      <w:r>
        <w:br w:type="page"/>
      </w:r>
    </w:p>
    <w:p>
      <w:r>
        <w:rPr>
          <w:b/>
          <w:color w:val="9C7A2E"/>
          <w:sz w:val="22"/>
        </w:rPr>
        <w:t>PART 2</w:t>
      </w:r>
    </w:p>
    <w:p>
      <w:r>
        <w:rPr>
          <w:b/>
          <w:color w:val="24406B"/>
          <w:sz w:val="40"/>
        </w:rPr>
        <w:t>Worked Examples</w:t>
      </w:r>
    </w:p>
    <w:p>
      <w:pPr>
        <w:spacing w:before="280"/>
      </w:pPr>
      <w:r>
        <w:rPr>
          <w:b/>
          <w:color w:val="24406B"/>
          <w:sz w:val="34"/>
        </w:rPr>
        <w:t>The instructive case: "maintenance of the seminary building"</w:t>
      </w:r>
    </w:p>
    <w:p>
      <w:r>
        <w:t xml:space="preserve">Genuinely ambiguous, and the answer turns on </w:t>
      </w:r>
      <w:r>
        <w:rPr>
          <w:b/>
        </w:rPr>
        <w:t>function</w:t>
      </w:r>
      <w:r>
        <w:t>.</w:t>
      </w:r>
    </w:p>
    <w:p>
      <w:r>
        <w:rPr>
          <w:b/>
        </w:rPr>
        <w:t>If the space is where formation and teaching happen</w:t>
      </w:r>
      <w:r>
        <w:t xml:space="preserve"> — classrooms, chapel, library, student residence:</w:t>
      </w:r>
    </w:p>
    <w:p>
      <w:pPr>
        <w:pStyle w:val="ListBullet"/>
      </w:pPr>
      <w:r>
        <w:rPr>
          <w:b/>
        </w:rPr>
        <w:t>Educational EDU-01</w:t>
      </w:r>
      <w:r>
        <w:t xml:space="preserve"> — "Establishment and management of educational institutions and facilities, including… hostels, libraries…"</w:t>
      </w:r>
    </w:p>
    <w:p>
      <w:pPr>
        <w:pStyle w:val="ListBullet"/>
      </w:pPr>
      <w:r>
        <w:rPr>
          <w:b/>
        </w:rPr>
        <w:t>Religious REL-03</w:t>
      </w:r>
      <w:r>
        <w:t xml:space="preserve"> — "Preservation and support of institutions engaged in the study, documentation, and preservation of religious philosophy, theology and religious history." A seminary is squarely this</w:t>
      </w:r>
    </w:p>
    <w:p>
      <w:pPr>
        <w:pStyle w:val="ListBullet"/>
      </w:pPr>
      <w:r>
        <w:t xml:space="preserve">For the chapel specifically, </w:t>
      </w:r>
      <w:r>
        <w:rPr>
          <w:b/>
        </w:rPr>
        <w:t>Religious REL-01</w:t>
      </w:r>
      <w:r>
        <w:t xml:space="preserve"> — "Construction, renovation, and maintenance of… churches… and other places of worship"</w:t>
      </w:r>
    </w:p>
    <w:p>
      <w:pPr>
        <w:pStyle w:val="ListBullet"/>
      </w:pPr>
      <w:r>
        <w:rPr>
          <w:b/>
        </w:rPr>
        <w:t>Programme.</w:t>
      </w:r>
      <w:r>
        <w:t xml:space="preserve"> Outside the 20% cap</w:t>
      </w:r>
    </w:p>
    <w:p>
      <w:r>
        <w:rPr>
          <w:b/>
        </w:rPr>
        <w:t>If the portion maintained is the administrative office block:</w:t>
      </w:r>
    </w:p>
    <w:p>
      <w:pPr>
        <w:pStyle w:val="ListBullet"/>
      </w:pPr>
      <w:r>
        <w:rPr>
          <w:b/>
        </w:rPr>
        <w:t>ADM-iii</w:t>
      </w:r>
      <w:r>
        <w:t xml:space="preserve"> — "repairs to premise(s) from where the organisation or Association is functioning"</w:t>
      </w:r>
    </w:p>
    <w:p>
      <w:pPr>
        <w:pStyle w:val="ListBullet"/>
      </w:pPr>
      <w:r>
        <w:rPr>
          <w:b/>
        </w:rPr>
        <w:t>Administrative.</w:t>
      </w:r>
      <w:r>
        <w:t xml:space="preserve"> Inside the cap</w:t>
      </w:r>
    </w:p>
    <w:p>
      <w:r>
        <w:rPr>
          <w:b/>
        </w:rPr>
        <w:t>The practical answer is apportionment.</w:t>
      </w:r>
      <w:r>
        <w:t xml:space="preserve"> Adopt a floor-area or usage basis, document it, apply it consistently. If 80% of the building is formation space and 20% administration, book the repair 80:20. Auditors accept a documented, consistent basis. They do not accept an undocumented assertion.</w:t>
      </w:r>
    </w:p>
    <w:p>
      <w:pPr>
        <w:spacing w:before="280"/>
      </w:pPr>
      <w:r>
        <w:rPr>
          <w:b/>
          <w:color w:val="24406B"/>
          <w:sz w:val="34"/>
        </w:rPr>
        <w:t>A classification table for common items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Classification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Cap?</w:t>
            </w:r>
          </w:p>
        </w:tc>
      </w:tr>
      <w:tr>
        <w:tc>
          <w:tcPr>
            <w:tcW w:type="dxa" w:w="2880"/>
          </w:tcPr>
          <w:p>
            <w:r/>
            <w:r>
              <w:t>Salary of a school teacher</w:t>
            </w:r>
          </w:p>
        </w:tc>
        <w:tc>
          <w:tcPr>
            <w:tcW w:type="dxa" w:w="2880"/>
          </w:tcPr>
          <w:p>
            <w:r/>
            <w:r>
              <w:t>EDU-01, programme — Rule 5 names teachers expressly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Salary of the office accountant</w:t>
            </w:r>
          </w:p>
        </w:tc>
        <w:tc>
          <w:tcPr>
            <w:tcW w:type="dxa" w:w="2880"/>
          </w:tcPr>
          <w:p>
            <w:r/>
            <w:r>
              <w:t>ADM-iv, cost of administering funds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Salary of a field trainer (research/training body)</w:t>
            </w:r>
          </w:p>
        </w:tc>
        <w:tc>
          <w:tcPr>
            <w:tcW w:type="dxa" w:w="2880"/>
          </w:tcPr>
          <w:p>
            <w:r/>
            <w:r>
              <w:t>Programme — Rule 5 training exclusion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Honorarium to a board member for attending meetings</w:t>
            </w:r>
          </w:p>
        </w:tc>
        <w:tc>
          <w:tcPr>
            <w:tcW w:type="dxa" w:w="2880"/>
          </w:tcPr>
          <w:p>
            <w:r/>
            <w:r>
              <w:t>ADM-i — and disallowed outright if merely for holding office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Building a village toilet block</w:t>
            </w:r>
          </w:p>
        </w:tc>
        <w:tc>
          <w:tcPr>
            <w:tcW w:type="dxa" w:w="2880"/>
          </w:tcPr>
          <w:p>
            <w:r/>
            <w:r>
              <w:t>SOC-06, sanitation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Toilet renovation in the institute's office</w:t>
            </w:r>
          </w:p>
        </w:tc>
        <w:tc>
          <w:tcPr>
            <w:tcW w:type="dxa" w:w="2880"/>
          </w:tcPr>
          <w:p>
            <w:r/>
            <w:r>
              <w:t>ADM-iii, premises repair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Printing the annual report</w:t>
            </w:r>
          </w:p>
        </w:tc>
        <w:tc>
          <w:tcPr>
            <w:tcW w:type="dxa" w:w="2880"/>
          </w:tcPr>
          <w:p>
            <w:r/>
            <w:r>
              <w:t>ADM-vi, cost of writing and filing reports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Printing a catechetical textbook</w:t>
            </w:r>
          </w:p>
        </w:tc>
        <w:tc>
          <w:tcPr>
            <w:tcW w:type="dxa" w:w="2880"/>
          </w:tcPr>
          <w:p>
            <w:r/>
            <w:r>
              <w:t>REL-02 / REL-12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Scholarship to a poor student</w:t>
            </w:r>
          </w:p>
        </w:tc>
        <w:tc>
          <w:tcPr>
            <w:tcW w:type="dxa" w:w="2880"/>
          </w:tcPr>
          <w:p>
            <w:r/>
            <w:r>
              <w:t>EDU-02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Audit fees</w:t>
            </w:r>
          </w:p>
        </w:tc>
        <w:tc>
          <w:tcPr>
            <w:tcW w:type="dxa" w:w="2880"/>
          </w:tcPr>
          <w:p>
            <w:r/>
            <w:r>
              <w:t>ADM-vii, legal and professional charges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Fuel for the director's car</w:t>
            </w:r>
          </w:p>
        </w:tc>
        <w:tc>
          <w:tcPr>
            <w:tcW w:type="dxa" w:w="2880"/>
          </w:tcPr>
          <w:p>
            <w:r/>
            <w:r>
              <w:t>ADM-v, vehicle running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Ambulance running cost</w:t>
            </w:r>
          </w:p>
        </w:tc>
        <w:tc>
          <w:tcPr>
            <w:tcW w:type="dxa" w:w="2880"/>
          </w:tcPr>
          <w:p>
            <w:r/>
            <w:r>
              <w:t>SOC-01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Hostel electricity</w:t>
            </w:r>
          </w:p>
        </w:tc>
        <w:tc>
          <w:tcPr>
            <w:tcW w:type="dxa" w:w="2880"/>
          </w:tcPr>
          <w:p>
            <w:r/>
            <w:r>
              <w:t>EDU-01 if programme facility; ADM-iii if office</w:t>
            </w:r>
          </w:p>
        </w:tc>
        <w:tc>
          <w:tcPr>
            <w:tcW w:type="dxa" w:w="2880"/>
          </w:tcPr>
          <w:p>
            <w:r/>
            <w:r>
              <w:t>Depends</w:t>
            </w:r>
          </w:p>
        </w:tc>
      </w:tr>
      <w:tr>
        <w:tc>
          <w:tcPr>
            <w:tcW w:type="dxa" w:w="2880"/>
          </w:tcPr>
          <w:p>
            <w:r/>
            <w:r>
              <w:t>Retreat for the formation community</w:t>
            </w:r>
          </w:p>
        </w:tc>
        <w:tc>
          <w:tcPr>
            <w:tcW w:type="dxa" w:w="2880"/>
          </w:tcPr>
          <w:p>
            <w:r/>
            <w:r>
              <w:t>REL-06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Interfaith seminar</w:t>
            </w:r>
          </w:p>
        </w:tc>
        <w:tc>
          <w:tcPr>
            <w:tcW w:type="dxa" w:w="2880"/>
          </w:tcPr>
          <w:p>
            <w:r/>
            <w:r>
              <w:t>REL-11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Land purchase for a school</w:t>
            </w:r>
          </w:p>
        </w:tc>
        <w:tc>
          <w:tcPr>
            <w:tcW w:type="dxa" w:w="2880"/>
          </w:tcPr>
          <w:p>
            <w:r/>
            <w:r>
              <w:t xml:space="preserve">EDU-01 — </w:t>
            </w:r>
            <w:r>
              <w:rPr>
                <w:b/>
              </w:rPr>
              <w:t>must be in the association's name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Fixed deposit, nationalised bank</w:t>
            </w:r>
          </w:p>
        </w:tc>
        <w:tc>
          <w:tcPr>
            <w:tcW w:type="dxa" w:w="2880"/>
          </w:tcPr>
          <w:p>
            <w:r/>
            <w:r>
              <w:t xml:space="preserve">Permitted — but </w:t>
            </w:r>
            <w:r>
              <w:rPr>
                <w:b/>
              </w:rPr>
              <w:t>interest is itself FC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Mutual fund investment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PRO-01 — prohibited</w:t>
            </w:r>
            <w:r>
              <w:t>, speculative under Rule 4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Grant to a partner NGO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PRO-02 — prohibited absolutely</w:t>
            </w:r>
            <w:r>
              <w:t xml:space="preserve"> since 2020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The two that catch well-meaning organisations</w:t>
      </w:r>
    </w:p>
    <w:p>
      <w:r>
        <w:rPr>
          <w:b/>
        </w:rPr>
        <w:t>Sub-granting.</w:t>
      </w:r>
      <w:r>
        <w:t xml:space="preserve"> Section 7 bars transferring foreign contribution to </w:t>
      </w:r>
      <w:r>
        <w:rPr>
          <w:b/>
        </w:rPr>
        <w:t>any</w:t>
      </w:r>
      <w:r>
        <w:t xml:space="preserve"> other person or organisation, whether or not they hold FCRA registration. There is no exception for partners, dioceses, congregations, or bodies in the same family.</w:t>
      </w:r>
    </w:p>
    <w:p>
      <w:r>
        <w:rPr>
          <w:b/>
        </w:rPr>
        <w:t>Interest.</w:t>
      </w:r>
      <w:r>
        <w:t xml:space="preserve"> Explanation 2 to Section 2(1)(h) makes interest on FC — and any income derived from FC — </w:t>
      </w:r>
      <w:r>
        <w:rPr>
          <w:b/>
        </w:rPr>
        <w:t>itself foreign contribution</w:t>
      </w:r>
      <w:r>
        <w:t>. It must be credited to the FC account and spent only on approved purposes.</w:t>
      </w:r>
    </w:p>
    <w:p>
      <w:r>
        <w:br w:type="page"/>
      </w:r>
    </w:p>
    <w:p>
      <w:r>
        <w:rPr>
          <w:b/>
          <w:color w:val="9C7A2E"/>
          <w:sz w:val="22"/>
        </w:rPr>
        <w:t>PART 3</w:t>
      </w:r>
    </w:p>
    <w:p>
      <w:r>
        <w:rPr>
          <w:b/>
          <w:color w:val="24406B"/>
          <w:sz w:val="40"/>
        </w:rPr>
        <w:t>The Schedule of Approved Purposes</w:t>
      </w:r>
    </w:p>
    <w:p>
      <w:r>
        <w:t xml:space="preserve">The Foreign Contribution (Regulation) Amendment Rules 2026 abolished narrative, self-described aims. An applicant must now select purposes </w:t>
      </w:r>
      <w:r>
        <w:rPr>
          <w:b/>
        </w:rPr>
        <w:t>strictly from this Schedule</w:t>
      </w:r>
      <w:r>
        <w:t>, and the registration certificate names the approved purposes and States.</w:t>
      </w:r>
    </w:p>
    <w:p>
      <w:pPr>
        <w:spacing w:before="280"/>
      </w:pPr>
      <w:r>
        <w:rPr>
          <w:b/>
          <w:color w:val="24406B"/>
          <w:sz w:val="34"/>
        </w:rPr>
        <w:t>Citing the authority correctly</w:t>
      </w:r>
    </w:p>
    <w:p>
      <w:r>
        <w:t>Two distinct provisions are involved, and conflating them is a common error:</w:t>
      </w:r>
    </w:p>
    <w:p>
      <w:pPr>
        <w:pStyle w:val="ListBullet"/>
      </w:pPr>
      <w:r>
        <w:rPr>
          <w:b/>
        </w:rPr>
        <w:t>Rule 11</w:t>
      </w:r>
      <w:r>
        <w:t xml:space="preserve"> of the Amendment Rules 2026 </w:t>
      </w:r>
      <w:r>
        <w:rPr>
          <w:b/>
        </w:rPr>
        <w:t>inserted</w:t>
      </w:r>
      <w:r>
        <w:t xml:space="preserve"> this Schedule into the FCRR 2011</w:t>
      </w:r>
    </w:p>
    <w:p>
      <w:pPr>
        <w:pStyle w:val="ListBullet"/>
      </w:pPr>
      <w:r>
        <w:rPr>
          <w:b/>
        </w:rPr>
        <w:t>Rule 9(1B)(b)(i)</w:t>
      </w:r>
      <w:r>
        <w:t xml:space="preserve"> is the </w:t>
      </w:r>
      <w:r>
        <w:rPr>
          <w:b/>
        </w:rPr>
        <w:t>operative provision obliging</w:t>
      </w:r>
      <w:r>
        <w:t xml:space="preserve"> an applicant to select activities exclusively from it</w:t>
      </w:r>
    </w:p>
    <w:p>
      <w:r>
        <w:t>For a formal compliance document — the FC-6F filing above all — cite both:</w:t>
      </w:r>
    </w:p>
    <w:p>
      <w:r>
        <w:rPr>
          <w:i/>
        </w:rPr>
        <w:t>Schedule inserted by Rule 11, FCRR (Amendment) Rules 2026 [S.O. 3272(E), 22 June 2026]; selection from the Schedule mandated by Rule 9(1B)(b)(i).</w:t>
      </w:r>
    </w:p>
    <w:p>
      <w:r>
        <w:rPr>
          <w:b/>
        </w:rPr>
        <w:t>105 approved purposes across five categories.</w:t>
      </w:r>
    </w:p>
    <w:p>
      <w:r>
        <w:rPr>
          <w:b/>
        </w:rPr>
        <w:t>Note the proselytisation exclusion</w:t>
      </w:r>
      <w:r>
        <w:t xml:space="preserve"> attached to Religious items </w:t>
      </w:r>
      <w:r>
        <w:rPr>
          <w:b/>
        </w:rPr>
        <w:t>REL-03, REL-06 and REL-08</w:t>
      </w:r>
      <w:r>
        <w:t>. For a seminary this is a drafting discipline as much as an activity one: formation and education must be described, in records and in FC-4, as institutional and academic rather than evangelistic.</w:t>
      </w:r>
    </w:p>
    <w:p>
      <w:pPr>
        <w:spacing w:before="280"/>
      </w:pPr>
      <w:r>
        <w:rPr>
          <w:b/>
          <w:color w:val="24406B"/>
          <w:sz w:val="34"/>
        </w:rPr>
        <w:t>Religious — 16 approved purposes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Approved 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REL-01</w:t>
            </w:r>
          </w:p>
        </w:tc>
        <w:tc>
          <w:tcPr>
            <w:tcW w:type="dxa" w:w="4320"/>
          </w:tcPr>
          <w:p>
            <w:r/>
            <w:r>
              <w:t>Construction, renovation, and maintenance of temples, mosques, churches, gurudwaras, monasteries, synagogues, and other places of worship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REL-02</w:t>
            </w:r>
          </w:p>
        </w:tc>
        <w:tc>
          <w:tcPr>
            <w:tcW w:type="dxa" w:w="4320"/>
          </w:tcPr>
          <w:p>
            <w:r/>
            <w:r>
              <w:t>Preservation, printing, translation, and digitisation of sacred scriptures and commentaries used in liturgy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REL-03</w:t>
            </w:r>
          </w:p>
        </w:tc>
        <w:tc>
          <w:tcPr>
            <w:tcW w:type="dxa" w:w="4320"/>
          </w:tcPr>
          <w:p>
            <w:r/>
            <w:r>
              <w:t>Preservation and support of institutions engaged in the study, documentation, and preservation of religious philosophy, theology and religious history (excluding proselytisation)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REL-04</w:t>
            </w:r>
          </w:p>
        </w:tc>
        <w:tc>
          <w:tcPr>
            <w:tcW w:type="dxa" w:w="4320"/>
          </w:tcPr>
          <w:p>
            <w:r/>
            <w:r>
              <w:t>Provision of amenities for pilgrims at heritage religious sites (drinking water, sanitation, shelter)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REL-05</w:t>
            </w:r>
          </w:p>
        </w:tc>
        <w:tc>
          <w:tcPr>
            <w:tcW w:type="dxa" w:w="4320"/>
          </w:tcPr>
          <w:p>
            <w:r/>
            <w:r>
              <w:t>Setting up of dharamshalas, langars, annadans, and community kitchens under religious auspices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REL-06</w:t>
            </w:r>
          </w:p>
        </w:tc>
        <w:tc>
          <w:tcPr>
            <w:tcW w:type="dxa" w:w="4320"/>
          </w:tcPr>
          <w:p>
            <w:r/>
            <w:r>
              <w:t>Conduct of religious education, moral instruction, satsangs, discourses, and meditation retreats (excluding proselytisation)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REL-07</w:t>
            </w:r>
          </w:p>
        </w:tc>
        <w:tc>
          <w:tcPr>
            <w:tcW w:type="dxa" w:w="4320"/>
          </w:tcPr>
          <w:p>
            <w:r/>
            <w:r>
              <w:t>Promotion of devotional music, chants, theatre, and liturgical arts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REL-08</w:t>
            </w:r>
          </w:p>
        </w:tc>
        <w:tc>
          <w:tcPr>
            <w:tcW w:type="dxa" w:w="4320"/>
          </w:tcPr>
          <w:p>
            <w:r/>
            <w:r>
              <w:t>Documentation, preservation, and revival of indigenous and tribal faith practices, rituals and systems of worship (excluding proselytisation)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REL-09</w:t>
            </w:r>
          </w:p>
        </w:tc>
        <w:tc>
          <w:tcPr>
            <w:tcW w:type="dxa" w:w="4320"/>
          </w:tcPr>
          <w:p>
            <w:r/>
            <w:r>
              <w:t>Protection of sacred relics, shrines, places of worship, and archaeological religious heritage primarily associated with religious practice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REL-10</w:t>
            </w:r>
          </w:p>
        </w:tc>
        <w:tc>
          <w:tcPr>
            <w:tcW w:type="dxa" w:w="4320"/>
          </w:tcPr>
          <w:p>
            <w:r/>
            <w:r>
              <w:t>Archiving, digitization, and oral-history recording of religious rituals, festivals, and traditions of faith communities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REL-11</w:t>
            </w:r>
          </w:p>
        </w:tc>
        <w:tc>
          <w:tcPr>
            <w:tcW w:type="dxa" w:w="4320"/>
          </w:tcPr>
          <w:p>
            <w:r/>
            <w:r>
              <w:t>Inter-faith dialogue, harmony-building programmes, and peace initiatives through religious institutions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REL-12</w:t>
            </w:r>
          </w:p>
        </w:tc>
        <w:tc>
          <w:tcPr>
            <w:tcW w:type="dxa" w:w="4320"/>
          </w:tcPr>
          <w:p>
            <w:r/>
            <w:r>
              <w:t>Religious publications, journals, and faith-based research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REL-13</w:t>
            </w:r>
          </w:p>
        </w:tc>
        <w:tc>
          <w:tcPr>
            <w:tcW w:type="dxa" w:w="4320"/>
          </w:tcPr>
          <w:p>
            <w:r/>
            <w:r>
              <w:t>Establishment of religious libraries, museums, and archives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REL-14</w:t>
            </w:r>
          </w:p>
        </w:tc>
        <w:tc>
          <w:tcPr>
            <w:tcW w:type="dxa" w:w="4320"/>
          </w:tcPr>
          <w:p>
            <w:r/>
            <w:r>
              <w:t>Faith-based counselling centres, de-addiction centres, and social care programmes operated through religious organisations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REL-15</w:t>
            </w:r>
          </w:p>
        </w:tc>
        <w:tc>
          <w:tcPr>
            <w:tcW w:type="dxa" w:w="4320"/>
          </w:tcPr>
          <w:p>
            <w:r/>
            <w:r>
              <w:t>Training in traditional sacred crafts: idol-making, church art, calligraphy of scriptures, iconography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REL-16</w:t>
            </w:r>
          </w:p>
        </w:tc>
        <w:tc>
          <w:tcPr>
            <w:tcW w:type="dxa" w:w="4320"/>
          </w:tcPr>
          <w:p>
            <w:r/>
            <w:r>
              <w:t>Burial/cremation ground development and maintenance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Cultural — 18 approved purposes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Approved 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CUL-01</w:t>
            </w:r>
          </w:p>
        </w:tc>
        <w:tc>
          <w:tcPr>
            <w:tcW w:type="dxa" w:w="4320"/>
          </w:tcPr>
          <w:p>
            <w:r/>
            <w:r>
              <w:t>Archaeological exploration, excavation, conservation, and restoration of monuments, heritage sites, forts, and palaces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CUL-02</w:t>
            </w:r>
          </w:p>
        </w:tc>
        <w:tc>
          <w:tcPr>
            <w:tcW w:type="dxa" w:w="4320"/>
          </w:tcPr>
          <w:p>
            <w:r/>
            <w:r>
              <w:t>Establishment and maintenance of museums, archives, libraries, cultural interpretation centres, and heritage walks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CUL-03</w:t>
            </w:r>
          </w:p>
        </w:tc>
        <w:tc>
          <w:tcPr>
            <w:tcW w:type="dxa" w:w="4320"/>
          </w:tcPr>
          <w:p>
            <w:r/>
            <w:r>
              <w:t>Documentation, preservation, and promotion of folk songs, dances, oral epics, storytelling, and puppetry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CUL-04</w:t>
            </w:r>
          </w:p>
        </w:tc>
        <w:tc>
          <w:tcPr>
            <w:tcW w:type="dxa" w:w="4320"/>
          </w:tcPr>
          <w:p>
            <w:r/>
            <w:r>
              <w:t>Support for classical performing arts (Bharatanatyam, Kathak, Odissi, Carnatic, Hindustani, Yakshagana)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CUL-05</w:t>
            </w:r>
          </w:p>
        </w:tc>
        <w:tc>
          <w:tcPr>
            <w:tcW w:type="dxa" w:w="4320"/>
          </w:tcPr>
          <w:p>
            <w:r/>
            <w:r>
              <w:t>Promotion of contemporary arts inspired by Indian traditions (excluding political/ideological content)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CUL-06</w:t>
            </w:r>
          </w:p>
        </w:tc>
        <w:tc>
          <w:tcPr>
            <w:tcW w:type="dxa" w:w="4320"/>
          </w:tcPr>
          <w:p>
            <w:r/>
            <w:r>
              <w:t>Training and capacity-building for artisans, craftspersons, handloom weavers, potters, woodworkers, metal workers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CUL-07</w:t>
            </w:r>
          </w:p>
        </w:tc>
        <w:tc>
          <w:tcPr>
            <w:tcW w:type="dxa" w:w="4320"/>
          </w:tcPr>
          <w:p>
            <w:r/>
            <w:r>
              <w:t>Preservation of non-religious manuscripts, palm-leaf texts, paintings, frescoes, and rare cultural artefacts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CUL-08</w:t>
            </w:r>
          </w:p>
        </w:tc>
        <w:tc>
          <w:tcPr>
            <w:tcW w:type="dxa" w:w="4320"/>
          </w:tcPr>
          <w:p>
            <w:r/>
            <w:r>
              <w:t>Promotion and preservation of regional languages, dialects, and scripts, including translation projects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CUL-09</w:t>
            </w:r>
          </w:p>
        </w:tc>
        <w:tc>
          <w:tcPr>
            <w:tcW w:type="dxa" w:w="4320"/>
          </w:tcPr>
          <w:p>
            <w:r/>
            <w:r>
              <w:t>Establishment of literary academies, support to writers, poets, translators, book fairs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CUL-10</w:t>
            </w:r>
          </w:p>
        </w:tc>
        <w:tc>
          <w:tcPr>
            <w:tcW w:type="dxa" w:w="4320"/>
          </w:tcPr>
          <w:p>
            <w:r/>
            <w:r>
              <w:t>Support to tribal and indigenous cultural heritage — festivals, crafts, oral traditions, languages, customs (excluding religious rituals and worship)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CUL-11</w:t>
            </w:r>
          </w:p>
        </w:tc>
        <w:tc>
          <w:tcPr>
            <w:tcW w:type="dxa" w:w="4320"/>
          </w:tcPr>
          <w:p>
            <w:r/>
            <w:r>
              <w:t>Organisation of national and international cultural festivals, fairs, and exhibitions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CUL-12</w:t>
            </w:r>
          </w:p>
        </w:tc>
        <w:tc>
          <w:tcPr>
            <w:tcW w:type="dxa" w:w="4320"/>
          </w:tcPr>
          <w:p>
            <w:r/>
            <w:r>
              <w:t>Development of craft villages, heritage circuits, art hubs, and cultural tourism facilities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CUL-13</w:t>
            </w:r>
          </w:p>
        </w:tc>
        <w:tc>
          <w:tcPr>
            <w:tcW w:type="dxa" w:w="4320"/>
          </w:tcPr>
          <w:p>
            <w:r/>
            <w:r>
              <w:t>Promotion of traditional culinary practices, traditional sports, food festivals, and culinary heritage preservation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CUL-14</w:t>
            </w:r>
          </w:p>
        </w:tc>
        <w:tc>
          <w:tcPr>
            <w:tcW w:type="dxa" w:w="4320"/>
          </w:tcPr>
          <w:p>
            <w:r/>
            <w:r>
              <w:t>Research in cultural anthropology, ethnography, and folk studies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CUL-15</w:t>
            </w:r>
          </w:p>
        </w:tc>
        <w:tc>
          <w:tcPr>
            <w:tcW w:type="dxa" w:w="4320"/>
          </w:tcPr>
          <w:p>
            <w:r/>
            <w:r>
              <w:t>Archiving and digitisation of films, radio programmes, theatre scripts, and photographs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CUL-16</w:t>
            </w:r>
          </w:p>
        </w:tc>
        <w:tc>
          <w:tcPr>
            <w:tcW w:type="dxa" w:w="4320"/>
          </w:tcPr>
          <w:p>
            <w:r/>
            <w:r>
              <w:t>Documentation and preservation of traditional knowledge systems as intangible cultural heritage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CUL-17</w:t>
            </w:r>
          </w:p>
        </w:tc>
        <w:tc>
          <w:tcPr>
            <w:tcW w:type="dxa" w:w="4320"/>
          </w:tcPr>
          <w:p>
            <w:r/>
            <w:r>
              <w:t>Preservation of scientific and knowledge heritage (astronomy, mathematics, metallurgy manuscripts, traditional technologies)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CUL-18</w:t>
            </w:r>
          </w:p>
        </w:tc>
        <w:tc>
          <w:tcPr>
            <w:tcW w:type="dxa" w:w="4320"/>
          </w:tcPr>
          <w:p>
            <w:r/>
            <w:r>
              <w:t>Documentation and archiving of modern historical movements and oral histories of national importance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Economic — 19 approved purposes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Approved 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ECO-01</w:t>
            </w:r>
          </w:p>
        </w:tc>
        <w:tc>
          <w:tcPr>
            <w:tcW w:type="dxa" w:w="4320"/>
          </w:tcPr>
          <w:p>
            <w:r/>
            <w:r>
              <w:t>Agricultural development programmes: farmer training, non-commercial input support, organic farming promotion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ECO-02</w:t>
            </w:r>
          </w:p>
        </w:tc>
        <w:tc>
          <w:tcPr>
            <w:tcW w:type="dxa" w:w="4320"/>
          </w:tcPr>
          <w:p>
            <w:r/>
            <w:r>
              <w:t>Allied activities: dairy farming, animal husbandry, poultry, fisheries, sericulture, apiculture (non-commercial)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ECO-03</w:t>
            </w:r>
          </w:p>
        </w:tc>
        <w:tc>
          <w:tcPr>
            <w:tcW w:type="dxa" w:w="4320"/>
          </w:tcPr>
          <w:p>
            <w:r/>
            <w:r>
              <w:t>Formation and strengthening of farmer-producer organisations, cooperatives, and self-help groups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ECO-04</w:t>
            </w:r>
          </w:p>
        </w:tc>
        <w:tc>
          <w:tcPr>
            <w:tcW w:type="dxa" w:w="4320"/>
          </w:tcPr>
          <w:p>
            <w:r/>
            <w:r>
              <w:t>Microfinance, microcredit, and community savings institutions for poor households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ECO-05</w:t>
            </w:r>
          </w:p>
        </w:tc>
        <w:tc>
          <w:tcPr>
            <w:tcW w:type="dxa" w:w="4320"/>
          </w:tcPr>
          <w:p>
            <w:r/>
            <w:r>
              <w:t>Vocational training and livelihood-linked short-term skilling (non-formal, not leading to recognised qualifications)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ECO-06</w:t>
            </w:r>
          </w:p>
        </w:tc>
        <w:tc>
          <w:tcPr>
            <w:tcW w:type="dxa" w:w="4320"/>
          </w:tcPr>
          <w:p>
            <w:r/>
            <w:r>
              <w:t>Promotion of rural and cottage industries (weaving, pottery, handicrafts, agro-processing) with non-profit orientation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ECO-07</w:t>
            </w:r>
          </w:p>
        </w:tc>
        <w:tc>
          <w:tcPr>
            <w:tcW w:type="dxa" w:w="4320"/>
          </w:tcPr>
          <w:p>
            <w:r/>
            <w:r>
              <w:t>Support for socially-oriented micro, small, and medium enterprises on non-profit or community-benefit basis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ECO-08</w:t>
            </w:r>
          </w:p>
        </w:tc>
        <w:tc>
          <w:tcPr>
            <w:tcW w:type="dxa" w:w="4320"/>
          </w:tcPr>
          <w:p>
            <w:r/>
            <w:r>
              <w:t>Women's entrepreneurship promotion: tailoring, food processing, handicrafts, small-scale manufacturing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ECO-09</w:t>
            </w:r>
          </w:p>
        </w:tc>
        <w:tc>
          <w:tcPr>
            <w:tcW w:type="dxa" w:w="4320"/>
          </w:tcPr>
          <w:p>
            <w:r/>
            <w:r>
              <w:t>Skill incubation centres and employability-oriented digital skilling for youth (IT, coding, electronics)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ECO-10</w:t>
            </w:r>
          </w:p>
        </w:tc>
        <w:tc>
          <w:tcPr>
            <w:tcW w:type="dxa" w:w="4320"/>
          </w:tcPr>
          <w:p>
            <w:r/>
            <w:r>
              <w:t>Infrastructure creation for livelihoods: rural haats, cold storages, community processing units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ECO-11</w:t>
            </w:r>
          </w:p>
        </w:tc>
        <w:tc>
          <w:tcPr>
            <w:tcW w:type="dxa" w:w="4320"/>
          </w:tcPr>
          <w:p>
            <w:r/>
            <w:r>
              <w:t>Promotion of fair-trade, ethical supply chains, and eco-friendly businesses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ECO-12</w:t>
            </w:r>
          </w:p>
        </w:tc>
        <w:tc>
          <w:tcPr>
            <w:tcW w:type="dxa" w:w="4320"/>
          </w:tcPr>
          <w:p>
            <w:r/>
            <w:r>
              <w:t>Sustainable community livelihood models in eco-tourism and homestays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ECO-13</w:t>
            </w:r>
          </w:p>
        </w:tc>
        <w:tc>
          <w:tcPr>
            <w:tcW w:type="dxa" w:w="4320"/>
          </w:tcPr>
          <w:p>
            <w:r/>
            <w:r>
              <w:t>Fisheries and aquaculture livelihood training for coastal and inland communities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ECO-14</w:t>
            </w:r>
          </w:p>
        </w:tc>
        <w:tc>
          <w:tcPr>
            <w:tcW w:type="dxa" w:w="4320"/>
          </w:tcPr>
          <w:p>
            <w:r/>
            <w:r>
              <w:t>Green economy livelihoods: solar technicians, e-waste handlers, recycling units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ECO-15</w:t>
            </w:r>
          </w:p>
        </w:tc>
        <w:tc>
          <w:tcPr>
            <w:tcW w:type="dxa" w:w="4320"/>
          </w:tcPr>
          <w:p>
            <w:r/>
            <w:r>
              <w:t>Job placement services, employment exchanges, and market linkages for trained youth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ECO-16</w:t>
            </w:r>
          </w:p>
        </w:tc>
        <w:tc>
          <w:tcPr>
            <w:tcW w:type="dxa" w:w="4320"/>
          </w:tcPr>
          <w:p>
            <w:r/>
            <w:r>
              <w:t>Food processing and value addition units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ECO-17</w:t>
            </w:r>
          </w:p>
        </w:tc>
        <w:tc>
          <w:tcPr>
            <w:tcW w:type="dxa" w:w="4320"/>
          </w:tcPr>
          <w:p>
            <w:r/>
            <w:r>
              <w:t>Digital literacy, financial literacy, technology access, and digital inclusion for livelihood enhancement and economic inclusion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ECO-18</w:t>
            </w:r>
          </w:p>
        </w:tc>
        <w:tc>
          <w:tcPr>
            <w:tcW w:type="dxa" w:w="4320"/>
          </w:tcPr>
          <w:p>
            <w:r/>
            <w:r>
              <w:t>Livelihood support for migrant workers and vulnerable groups, including temporary shelter-linked employment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ECO-19</w:t>
            </w:r>
          </w:p>
        </w:tc>
        <w:tc>
          <w:tcPr>
            <w:tcW w:type="dxa" w:w="4320"/>
          </w:tcPr>
          <w:p>
            <w:r/>
            <w:r>
              <w:t>Community renewable energy enterprises (solar, biogas, micro-grids) generating local jobs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Educational — 22 approved purposes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Approved 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EDU-01</w:t>
            </w:r>
          </w:p>
        </w:tc>
        <w:tc>
          <w:tcPr>
            <w:tcW w:type="dxa" w:w="4320"/>
          </w:tcPr>
          <w:p>
            <w:r/>
            <w:r>
              <w:t>Establishment and management of educational institutions and facilities, including early childhood education centres, schools, colleges, universities, hostels, libraries, reading rooms, and community learning centres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EDU-02</w:t>
            </w:r>
          </w:p>
        </w:tc>
        <w:tc>
          <w:tcPr>
            <w:tcW w:type="dxa" w:w="4320"/>
          </w:tcPr>
          <w:p>
            <w:r/>
            <w:r>
              <w:t>Scholarships, fellowships, stipends, and financial aid for disadvantaged students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EDU-03</w:t>
            </w:r>
          </w:p>
        </w:tc>
        <w:tc>
          <w:tcPr>
            <w:tcW w:type="dxa" w:w="4320"/>
          </w:tcPr>
          <w:p>
            <w:r/>
            <w:r>
              <w:t>Adult literacy, continuing education, and night schools for workers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EDU-04</w:t>
            </w:r>
          </w:p>
        </w:tc>
        <w:tc>
          <w:tcPr>
            <w:tcW w:type="dxa" w:w="4320"/>
          </w:tcPr>
          <w:p>
            <w:r/>
            <w:r>
              <w:t>Inclusive education for marginalized and differently-abled children with Braille, sign language, assistive technologies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EDU-05</w:t>
            </w:r>
          </w:p>
        </w:tc>
        <w:tc>
          <w:tcPr>
            <w:tcW w:type="dxa" w:w="4320"/>
          </w:tcPr>
          <w:p>
            <w:r/>
            <w:r>
              <w:t>Teacher training institutes, refresher courses, and academic fellowships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EDU-06</w:t>
            </w:r>
          </w:p>
        </w:tc>
        <w:tc>
          <w:tcPr>
            <w:tcW w:type="dxa" w:w="4320"/>
          </w:tcPr>
          <w:p>
            <w:r/>
            <w:r>
              <w:t>Establishment and running of technical, industrial, and vocational education institutions leading to recognized certification, diploma, degree, or accreditation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EDU-07</w:t>
            </w:r>
          </w:p>
        </w:tc>
        <w:tc>
          <w:tcPr>
            <w:tcW w:type="dxa" w:w="4320"/>
          </w:tcPr>
          <w:p>
            <w:r/>
            <w:r>
              <w:t>Research institutions, think-tanks, innovation labs, and academic chairs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EDU-08</w:t>
            </w:r>
          </w:p>
        </w:tc>
        <w:tc>
          <w:tcPr>
            <w:tcW w:type="dxa" w:w="4320"/>
          </w:tcPr>
          <w:p>
            <w:r/>
            <w:r>
              <w:t>Digital education platforms, smart classrooms, e-libraries, and distance learning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EDU-09</w:t>
            </w:r>
          </w:p>
        </w:tc>
        <w:tc>
          <w:tcPr>
            <w:tcW w:type="dxa" w:w="4320"/>
          </w:tcPr>
          <w:p>
            <w:r/>
            <w:r>
              <w:t>Girls' education initiatives: residential schools, hostels, scholarships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EDU-10</w:t>
            </w:r>
          </w:p>
        </w:tc>
        <w:tc>
          <w:tcPr>
            <w:tcW w:type="dxa" w:w="4320"/>
          </w:tcPr>
          <w:p>
            <w:r/>
            <w:r>
              <w:t>Education for children of migrant workers, refugees, and nomadic tribes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EDU-11</w:t>
            </w:r>
          </w:p>
        </w:tc>
        <w:tc>
          <w:tcPr>
            <w:tcW w:type="dxa" w:w="4320"/>
          </w:tcPr>
          <w:p>
            <w:r/>
            <w:r>
              <w:t>Bridge courses, remedial coaching, and dropout reintegration programmes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EDU-12</w:t>
            </w:r>
          </w:p>
        </w:tc>
        <w:tc>
          <w:tcPr>
            <w:tcW w:type="dxa" w:w="4320"/>
          </w:tcPr>
          <w:p>
            <w:r/>
            <w:r>
              <w:t>Environmental education programmes in schools and colleges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EDU-13</w:t>
            </w:r>
          </w:p>
        </w:tc>
        <w:tc>
          <w:tcPr>
            <w:tcW w:type="dxa" w:w="4320"/>
          </w:tcPr>
          <w:p>
            <w:r/>
            <w:r>
              <w:t>STEM education programmes, science clubs, and innovation fairs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EDU-14</w:t>
            </w:r>
          </w:p>
        </w:tc>
        <w:tc>
          <w:tcPr>
            <w:tcW w:type="dxa" w:w="4320"/>
          </w:tcPr>
          <w:p>
            <w:r/>
            <w:r>
              <w:t>Structured sports education and training academies attached to schools/colleges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EDU-15</w:t>
            </w:r>
          </w:p>
        </w:tc>
        <w:tc>
          <w:tcPr>
            <w:tcW w:type="dxa" w:w="4320"/>
          </w:tcPr>
          <w:p>
            <w:r/>
            <w:r>
              <w:t>Language teaching, translation studies, and linguistic training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EDU-16</w:t>
            </w:r>
          </w:p>
        </w:tc>
        <w:tc>
          <w:tcPr>
            <w:tcW w:type="dxa" w:w="4320"/>
          </w:tcPr>
          <w:p>
            <w:r/>
            <w:r>
              <w:t>Career counselling centres, mentorship programmes, and educational placement cells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EDU-17</w:t>
            </w:r>
          </w:p>
        </w:tc>
        <w:tc>
          <w:tcPr>
            <w:tcW w:type="dxa" w:w="4320"/>
          </w:tcPr>
          <w:p>
            <w:r/>
            <w:r>
              <w:t>Higher academic fellowships abroad in government-recognised institutions for meritorious students from disadvantaged backgrounds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EDU-18</w:t>
            </w:r>
          </w:p>
        </w:tc>
        <w:tc>
          <w:tcPr>
            <w:tcW w:type="dxa" w:w="4320"/>
          </w:tcPr>
          <w:p>
            <w:r/>
            <w:r>
              <w:t>Value-based and ethics education in schools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EDU-19</w:t>
            </w:r>
          </w:p>
        </w:tc>
        <w:tc>
          <w:tcPr>
            <w:tcW w:type="dxa" w:w="4320"/>
          </w:tcPr>
          <w:p>
            <w:r/>
            <w:r>
              <w:t>Awareness programmes on constitutional rights, fundamental duties, and civic responsibilities, strictly non-political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EDU-20</w:t>
            </w:r>
          </w:p>
        </w:tc>
        <w:tc>
          <w:tcPr>
            <w:tcW w:type="dxa" w:w="4320"/>
          </w:tcPr>
          <w:p>
            <w:r/>
            <w:r>
              <w:t>Disaster preparedness education: mock drills, safety training, community insurance literacy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EDU-21</w:t>
            </w:r>
          </w:p>
        </w:tc>
        <w:tc>
          <w:tcPr>
            <w:tcW w:type="dxa" w:w="4320"/>
          </w:tcPr>
          <w:p>
            <w:r/>
            <w:r>
              <w:t>Digital inclusion initiatives: assistive technologies for differently-abled students, rural e-learning hubs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EDU-22</w:t>
            </w:r>
          </w:p>
        </w:tc>
        <w:tc>
          <w:tcPr>
            <w:tcW w:type="dxa" w:w="4320"/>
          </w:tcPr>
          <w:p>
            <w:r/>
            <w:r>
              <w:t>Youth leadership and civic engagement programmes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Social — 30 approved purposes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Approved 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SOC-01</w:t>
            </w:r>
          </w:p>
        </w:tc>
        <w:tc>
          <w:tcPr>
            <w:tcW w:type="dxa" w:w="4320"/>
          </w:tcPr>
          <w:p>
            <w:r/>
            <w:r>
              <w:t>Establishment and operation of hospitals, community health centres, dispensaries, mobile health clinics, ambulance services, patient transport, emergency medical response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SOC-02</w:t>
            </w:r>
          </w:p>
        </w:tc>
        <w:tc>
          <w:tcPr>
            <w:tcW w:type="dxa" w:w="4320"/>
          </w:tcPr>
          <w:p>
            <w:r/>
            <w:r>
              <w:t>Preventive healthcare: vaccination drives, health awareness camps, vector-borne disease control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SOC-03</w:t>
            </w:r>
          </w:p>
        </w:tc>
        <w:tc>
          <w:tcPr>
            <w:tcW w:type="dxa" w:w="4320"/>
          </w:tcPr>
          <w:p>
            <w:r/>
            <w:r>
              <w:t>Maternal and child healthcare, maternity homes, neonatal care, nutrition supplementation, community-based management of malnutrition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SOC-04</w:t>
            </w:r>
          </w:p>
        </w:tc>
        <w:tc>
          <w:tcPr>
            <w:tcW w:type="dxa" w:w="4320"/>
          </w:tcPr>
          <w:p>
            <w:r/>
            <w:r>
              <w:t>Nutrition and food security programmes: midday meals, community kitchens, feeding programmes, grain banks, ration support, hunger relief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SOC-05</w:t>
            </w:r>
          </w:p>
        </w:tc>
        <w:tc>
          <w:tcPr>
            <w:tcW w:type="dxa" w:w="4320"/>
          </w:tcPr>
          <w:p>
            <w:r/>
            <w:r>
              <w:t>Drinking water supply projects, community RO plants, piped water schemes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SOC-06</w:t>
            </w:r>
          </w:p>
        </w:tc>
        <w:tc>
          <w:tcPr>
            <w:tcW w:type="dxa" w:w="4320"/>
          </w:tcPr>
          <w:p>
            <w:r/>
            <w:r>
              <w:t>Sanitation: construction of toilets, hygiene awareness, menstrual health initiatives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SOC-07</w:t>
            </w:r>
          </w:p>
        </w:tc>
        <w:tc>
          <w:tcPr>
            <w:tcW w:type="dxa" w:w="4320"/>
          </w:tcPr>
          <w:p>
            <w:r/>
            <w:r>
              <w:t>Orphanages, foster care, adoption support, and child protection homes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SOC-08</w:t>
            </w:r>
          </w:p>
        </w:tc>
        <w:tc>
          <w:tcPr>
            <w:tcW w:type="dxa" w:w="4320"/>
          </w:tcPr>
          <w:p>
            <w:r/>
            <w:r>
              <w:t>Old-age homes, day-care centres, geriatric clinics, pensions facilitation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SOC-09</w:t>
            </w:r>
          </w:p>
        </w:tc>
        <w:tc>
          <w:tcPr>
            <w:tcW w:type="dxa" w:w="4320"/>
          </w:tcPr>
          <w:p>
            <w:r/>
            <w:r>
              <w:t>Disability care: assistive devices, rehabilitation, therapy, vocational support, caregiver support, community inclusion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SOC-10</w:t>
            </w:r>
          </w:p>
        </w:tc>
        <w:tc>
          <w:tcPr>
            <w:tcW w:type="dxa" w:w="4320"/>
          </w:tcPr>
          <w:p>
            <w:r/>
            <w:r>
              <w:t>Rehabilitation centres for drug addicts, alcoholics, and substance abusers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SOC-11</w:t>
            </w:r>
          </w:p>
        </w:tc>
        <w:tc>
          <w:tcPr>
            <w:tcW w:type="dxa" w:w="4320"/>
          </w:tcPr>
          <w:p>
            <w:r/>
            <w:r>
              <w:t>Mental health counselling centres, suicide prevention helplines, community psychiatry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SOC-12</w:t>
            </w:r>
          </w:p>
        </w:tc>
        <w:tc>
          <w:tcPr>
            <w:tcW w:type="dxa" w:w="4320"/>
          </w:tcPr>
          <w:p>
            <w:r/>
            <w:r>
              <w:t>Women's safety and empowerment: shelters, legal aid, self-defence training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SOC-13</w:t>
            </w:r>
          </w:p>
        </w:tc>
        <w:tc>
          <w:tcPr>
            <w:tcW w:type="dxa" w:w="4320"/>
          </w:tcPr>
          <w:p>
            <w:r/>
            <w:r>
              <w:t>Anti-trafficking programmes: rescue, rehabilitation, vocational reintegration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SOC-14</w:t>
            </w:r>
          </w:p>
        </w:tc>
        <w:tc>
          <w:tcPr>
            <w:tcW w:type="dxa" w:w="4320"/>
          </w:tcPr>
          <w:p>
            <w:r/>
            <w:r>
              <w:t>Homeless shelters, night shelters, low-cost housing, rehabilitation facilities for homeless, destitute, abandoned, and vulnerable persons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SOC-15</w:t>
            </w:r>
          </w:p>
        </w:tc>
        <w:tc>
          <w:tcPr>
            <w:tcW w:type="dxa" w:w="4320"/>
          </w:tcPr>
          <w:p>
            <w:r/>
            <w:r>
              <w:t>Legal aid clinics, paralegal training, access-to-justice programmes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SOC-16</w:t>
            </w:r>
          </w:p>
        </w:tc>
        <w:tc>
          <w:tcPr>
            <w:tcW w:type="dxa" w:w="4320"/>
          </w:tcPr>
          <w:p>
            <w:r/>
            <w:r>
              <w:t>Disaster relief, emergency response, and post-disaster rehabilitation (floods, earthquakes, cyclones, pandemics)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SOC-17</w:t>
            </w:r>
          </w:p>
        </w:tc>
        <w:tc>
          <w:tcPr>
            <w:tcW w:type="dxa" w:w="4320"/>
          </w:tcPr>
          <w:p>
            <w:r/>
            <w:r>
              <w:t>Provision of basic civic and community infrastructure — electrification, rural roads, solar lighting, community halls — strictly non-commercial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SOC-18</w:t>
            </w:r>
          </w:p>
        </w:tc>
        <w:tc>
          <w:tcPr>
            <w:tcW w:type="dxa" w:w="4320"/>
          </w:tcPr>
          <w:p>
            <w:r/>
            <w:r>
              <w:t>Community-based environmental protection and restoration (afforestation, biodiversity parks, mangrove projects)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SOC-19</w:t>
            </w:r>
          </w:p>
        </w:tc>
        <w:tc>
          <w:tcPr>
            <w:tcW w:type="dxa" w:w="4320"/>
          </w:tcPr>
          <w:p>
            <w:r/>
            <w:r>
              <w:t>Water harvesting and watershed management for community welfare and drinking water security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SOC-20</w:t>
            </w:r>
          </w:p>
        </w:tc>
        <w:tc>
          <w:tcPr>
            <w:tcW w:type="dxa" w:w="4320"/>
          </w:tcPr>
          <w:p>
            <w:r/>
            <w:r>
              <w:t>Waste management at community level (solid waste, e-waste, plastic-free campaigns, recycling units)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SOC-21</w:t>
            </w:r>
          </w:p>
        </w:tc>
        <w:tc>
          <w:tcPr>
            <w:tcW w:type="dxa" w:w="4320"/>
          </w:tcPr>
          <w:p>
            <w:r/>
            <w:r>
              <w:t>Road safety: awareness, trauma-care centres, first-aid training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SOC-22</w:t>
            </w:r>
          </w:p>
        </w:tc>
        <w:tc>
          <w:tcPr>
            <w:tcW w:type="dxa" w:w="4320"/>
          </w:tcPr>
          <w:p>
            <w:r/>
            <w:r>
              <w:t>Operation of community radio stations, helplines, and awareness platforms, subject to broadcasting/telecom/IT regulations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SOC-23</w:t>
            </w:r>
          </w:p>
        </w:tc>
        <w:tc>
          <w:tcPr>
            <w:tcW w:type="dxa" w:w="4320"/>
          </w:tcPr>
          <w:p>
            <w:r/>
            <w:r>
              <w:t>Rehabilitation and reintegration of released prisoners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SOC-24</w:t>
            </w:r>
          </w:p>
        </w:tc>
        <w:tc>
          <w:tcPr>
            <w:tcW w:type="dxa" w:w="4320"/>
          </w:tcPr>
          <w:p>
            <w:r/>
            <w:r>
              <w:t>Support to victims of domestic violence, dowry harassment, and acid attacks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SOC-25</w:t>
            </w:r>
          </w:p>
        </w:tc>
        <w:tc>
          <w:tcPr>
            <w:tcW w:type="dxa" w:w="4320"/>
          </w:tcPr>
          <w:p>
            <w:r/>
            <w:r>
              <w:t>Community-level sports and recreation facilities for underprivileged children and youth (non-institutional)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SOC-26</w:t>
            </w:r>
          </w:p>
        </w:tc>
        <w:tc>
          <w:tcPr>
            <w:tcW w:type="dxa" w:w="4320"/>
          </w:tcPr>
          <w:p>
            <w:r/>
            <w:r>
              <w:t>Animal protection, rescue and rehabilitation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SOC-27</w:t>
            </w:r>
          </w:p>
        </w:tc>
        <w:tc>
          <w:tcPr>
            <w:tcW w:type="dxa" w:w="4320"/>
          </w:tcPr>
          <w:p>
            <w:r/>
            <w:r>
              <w:t>Public health research: disease mapping, epidemiology, health data systems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SOC-28</w:t>
            </w:r>
          </w:p>
        </w:tc>
        <w:tc>
          <w:tcPr>
            <w:tcW w:type="dxa" w:w="4320"/>
          </w:tcPr>
          <w:p>
            <w:r/>
            <w:r>
              <w:t>Palliative care and hospice services for terminally ill patients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SOC-29</w:t>
            </w:r>
          </w:p>
        </w:tc>
        <w:tc>
          <w:tcPr>
            <w:tcW w:type="dxa" w:w="4320"/>
          </w:tcPr>
          <w:p>
            <w:r/>
            <w:r>
              <w:t>Community blood banks, eye banks, and organ donation awareness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SOC-30</w:t>
            </w:r>
          </w:p>
        </w:tc>
        <w:tc>
          <w:tcPr>
            <w:tcW w:type="dxa" w:w="4320"/>
          </w:tcPr>
          <w:p>
            <w:r/>
            <w:r>
              <w:t>Pre-disaster risk reduction, mitigation, preparedness, and resilience — flood control works, cyclone shelters, early-warning, community drills, emergency response teams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b/>
          <w:color w:val="9C7A2E"/>
          <w:sz w:val="22"/>
        </w:rPr>
        <w:t>PART 4</w:t>
      </w:r>
    </w:p>
    <w:p>
      <w:r>
        <w:rPr>
          <w:b/>
          <w:color w:val="24406B"/>
          <w:sz w:val="40"/>
        </w:rPr>
        <w:t>Administrative Expenses and Prohibitions</w:t>
      </w:r>
    </w:p>
    <w:p>
      <w:pPr>
        <w:spacing w:before="280"/>
      </w:pPr>
      <w:r>
        <w:rPr>
          <w:b/>
          <w:color w:val="24406B"/>
          <w:sz w:val="34"/>
        </w:rPr>
        <w:t>Administrative expenses — Rule 5, FCRR 2011</w:t>
      </w:r>
    </w:p>
    <w:p>
      <w:r>
        <w:t xml:space="preserve">Capped at </w:t>
      </w:r>
      <w:r>
        <w:rPr>
          <w:b/>
        </w:rPr>
        <w:t>20% of foreign contribution received during the financial year</w:t>
      </w:r>
      <w:r>
        <w:t xml:space="preserve"> (Section 8(1)(b)).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ADM-i</w:t>
            </w:r>
          </w:p>
        </w:tc>
        <w:tc>
          <w:tcPr>
            <w:tcW w:type="dxa" w:w="4320"/>
          </w:tcPr>
          <w:p>
            <w:r/>
            <w:r>
              <w:t>Salaries, wages, travel expenses or any remuneration realised by Members of the Executive Committee or Governing Council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ADM-ii</w:t>
            </w:r>
          </w:p>
        </w:tc>
        <w:tc>
          <w:tcPr>
            <w:tcW w:type="dxa" w:w="4320"/>
          </w:tcPr>
          <w:p>
            <w:r/>
            <w:r>
              <w:t>All expenses towards hiring of personnel for management of activities, and salaries/wages/remuneration including travel paid to such personnel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ADM-iii</w:t>
            </w:r>
          </w:p>
        </w:tc>
        <w:tc>
          <w:tcPr>
            <w:tcW w:type="dxa" w:w="4320"/>
          </w:tcPr>
          <w:p>
            <w:r/>
            <w:r>
              <w:t>Consumables: electricity and water charges, telephone charges, postal charges, repairs to premises from where the organisation functions, stationery and printing, transport and travel by Committee members, expenditure on office equipment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ADM-iv</w:t>
            </w:r>
          </w:p>
        </w:tc>
        <w:tc>
          <w:tcPr>
            <w:tcW w:type="dxa" w:w="4320"/>
          </w:tcPr>
          <w:p>
            <w:r/>
            <w:r>
              <w:t>Cost of accounting for and administering funds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ADM-v</w:t>
            </w:r>
          </w:p>
        </w:tc>
        <w:tc>
          <w:tcPr>
            <w:tcW w:type="dxa" w:w="4320"/>
          </w:tcPr>
          <w:p>
            <w:r/>
            <w:r>
              <w:t>Expenses towards running and maintenance of vehicles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ADM-vi</w:t>
            </w:r>
          </w:p>
        </w:tc>
        <w:tc>
          <w:tcPr>
            <w:tcW w:type="dxa" w:w="4320"/>
          </w:tcPr>
          <w:p>
            <w:r/>
            <w:r>
              <w:t>Cost of writing and filing 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ADM-vii</w:t>
            </w:r>
          </w:p>
        </w:tc>
        <w:tc>
          <w:tcPr>
            <w:tcW w:type="dxa" w:w="4320"/>
          </w:tcPr>
          <w:p>
            <w:r/>
            <w:r>
              <w:t>Legal and professional charges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ADM-viii</w:t>
            </w:r>
          </w:p>
        </w:tc>
        <w:tc>
          <w:tcPr>
            <w:tcW w:type="dxa" w:w="4320"/>
          </w:tcPr>
          <w:p>
            <w:r/>
            <w:r>
              <w:t>Rent of premises, repairs to premises and expenses on other utilities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b/>
          <w:color w:val="9C7A2E"/>
          <w:sz w:val="28"/>
        </w:rPr>
        <w:t>Excluded from the cap</w:t>
      </w:r>
    </w:p>
    <w:p>
      <w:pPr>
        <w:pStyle w:val="ListBullet"/>
      </w:pPr>
      <w:r>
        <w:t>Salaries/remuneration of personnel engaged in TRAINING or in COLLECTION/ANALYSIS OF FIELD DATA, where the association is primarily engaged in research or training — NOT administrative.</w:t>
      </w:r>
    </w:p>
    <w:p>
      <w:pPr>
        <w:pStyle w:val="ListBullet"/>
      </w:pPr>
      <w:r>
        <w:t>Expenses incurred DIRECTLY in furtherance of stated objectives — e.g. salaries to doctors of a hospital, salaries to teachers of a school — NOT administrative.</w:t>
      </w:r>
    </w:p>
    <w:p>
      <w:pPr>
        <w:spacing w:before="280"/>
      </w:pPr>
      <w:r>
        <w:rPr>
          <w:b/>
          <w:color w:val="24406B"/>
          <w:sz w:val="34"/>
        </w:rPr>
        <w:t>Prohibitions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Prohibition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Authority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PRO-01</w:t>
            </w:r>
          </w:p>
        </w:tc>
        <w:tc>
          <w:tcPr>
            <w:tcW w:type="dxa" w:w="2880"/>
          </w:tcPr>
          <w:p>
            <w:r/>
            <w:r>
              <w:t>Speculative activities — any investment with risk of appreciation/depreciation linked to market forces, including mutual funds and shares; schemes promising high returns such as chits or land not directly linked to declared objects</w:t>
            </w:r>
          </w:p>
        </w:tc>
        <w:tc>
          <w:tcPr>
            <w:tcW w:type="dxa" w:w="2880"/>
          </w:tcPr>
          <w:p>
            <w:r/>
            <w:r>
              <w:t>Rule 4 FCRR 2011; Sec 8(1)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PRO-02</w:t>
            </w:r>
          </w:p>
        </w:tc>
        <w:tc>
          <w:tcPr>
            <w:tcW w:type="dxa" w:w="2880"/>
          </w:tcPr>
          <w:p>
            <w:r/>
            <w:r>
              <w:t>Transfer or sub-granting of foreign contribution to ANY other person or organisation, whether or not that body holds FCRA registration</w:t>
            </w:r>
          </w:p>
        </w:tc>
        <w:tc>
          <w:tcPr>
            <w:tcW w:type="dxa" w:w="2880"/>
          </w:tcPr>
          <w:p>
            <w:r/>
            <w:r>
              <w:t>Sec 7 (as amended 2020)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PRO-03</w:t>
            </w:r>
          </w:p>
        </w:tc>
        <w:tc>
          <w:tcPr>
            <w:tcW w:type="dxa" w:w="2880"/>
          </w:tcPr>
          <w:p>
            <w:r/>
            <w:r>
              <w:t>Any purpose, activity, or State/UT not explicitly specified and approved on the Registration Certificate</w:t>
            </w:r>
          </w:p>
        </w:tc>
        <w:tc>
          <w:tcPr>
            <w:tcW w:type="dxa" w:w="2880"/>
          </w:tcPr>
          <w:p>
            <w:r/>
            <w:r>
              <w:t>Rule 9(1B); Sec 8(1)(a)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PRO-04</w:t>
            </w:r>
          </w:p>
        </w:tc>
        <w:tc>
          <w:tcPr>
            <w:tcW w:type="dxa" w:w="2880"/>
          </w:tcPr>
          <w:p>
            <w:r/>
            <w:r>
              <w:t>Activities carried out outside India</w:t>
            </w:r>
          </w:p>
        </w:tc>
        <w:tc>
          <w:tcPr>
            <w:tcW w:type="dxa" w:w="2880"/>
          </w:tcPr>
          <w:p>
            <w:r/>
            <w:r>
              <w:t>Rule 9(5) Explanation 2 (2026)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PRO-05</w:t>
            </w:r>
          </w:p>
        </w:tc>
        <w:tc>
          <w:tcPr>
            <w:tcW w:type="dxa" w:w="2880"/>
          </w:tcPr>
          <w:p>
            <w:r/>
            <w:r>
              <w:t>Administrative expenses exceeding 20% of FC received in the financial year</w:t>
            </w:r>
          </w:p>
        </w:tc>
        <w:tc>
          <w:tcPr>
            <w:tcW w:type="dxa" w:w="2880"/>
          </w:tcPr>
          <w:p>
            <w:r/>
            <w:r>
              <w:t>Sec 8(1)(b); Rule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PRO-06</w:t>
            </w:r>
          </w:p>
        </w:tc>
        <w:tc>
          <w:tcPr>
            <w:tcW w:type="dxa" w:w="2880"/>
          </w:tcPr>
          <w:p>
            <w:r/>
            <w:r>
              <w:t>Personal gain; diversion to personal accounts or relatives of trustees/office bearers</w:t>
            </w:r>
          </w:p>
        </w:tc>
        <w:tc>
          <w:tcPr>
            <w:tcW w:type="dxa" w:w="2880"/>
          </w:tcPr>
          <w:p>
            <w:r/>
            <w:r>
              <w:t>Sec 12(4)(a)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PRO-07</w:t>
            </w:r>
          </w:p>
        </w:tc>
        <w:tc>
          <w:tcPr>
            <w:tcW w:type="dxa" w:w="2880"/>
          </w:tcPr>
          <w:p>
            <w:r/>
            <w:r>
              <w:t>Propagation of sedition or advocacy of violent methods; activity detrimental to national interest</w:t>
            </w:r>
          </w:p>
        </w:tc>
        <w:tc>
          <w:tcPr>
            <w:tcW w:type="dxa" w:w="2880"/>
          </w:tcPr>
          <w:p>
            <w:r/>
            <w:r>
              <w:t>Sec 12(4)(a)-(b)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PRO-08</w:t>
            </w:r>
          </w:p>
        </w:tc>
        <w:tc>
          <w:tcPr>
            <w:tcW w:type="dxa" w:w="2880"/>
          </w:tcPr>
          <w:p>
            <w:r/>
            <w:r>
              <w:t>Acquisition of assets in the personal name of office bearers rather than the association</w:t>
            </w:r>
          </w:p>
        </w:tc>
        <w:tc>
          <w:tcPr>
            <w:tcW w:type="dxa" w:w="2880"/>
          </w:tcPr>
          <w:p>
            <w:r/>
            <w:r>
              <w:t>Rule 4 / asset ownership mandate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PRO-09</w:t>
            </w:r>
          </w:p>
        </w:tc>
        <w:tc>
          <w:tcPr>
            <w:tcW w:type="dxa" w:w="2880"/>
          </w:tcPr>
          <w:p>
            <w:r/>
            <w:r>
              <w:t>Proselytisation — expressly excluded from Religious Schedule items 3, 6 and 8</w:t>
            </w:r>
          </w:p>
        </w:tc>
        <w:tc>
          <w:tcPr>
            <w:tcW w:type="dxa" w:w="2880"/>
          </w:tcPr>
          <w:p>
            <w:r/>
            <w:r>
              <w:t>Schedule, Religious category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PRO-10</w:t>
            </w:r>
          </w:p>
        </w:tc>
        <w:tc>
          <w:tcPr>
            <w:tcW w:type="dxa" w:w="2880"/>
          </w:tcPr>
          <w:p>
            <w:r/>
            <w:r>
              <w:t>Cash payments exceeding Rs 2,000 per day from FC funds (advisory practice limit; IT Act permits Rs 10,000)</w:t>
            </w:r>
          </w:p>
        </w:tc>
        <w:tc>
          <w:tcPr>
            <w:tcW w:type="dxa" w:w="2880"/>
          </w:tcPr>
          <w:p>
            <w:r/>
            <w:r>
              <w:t>FCRA advisory practice</w:t>
            </w:r>
          </w:p>
        </w:tc>
      </w:tr>
    </w:tbl>
    <w:p>
      <w:pPr>
        <w:spacing w:after="80"/>
      </w:pPr>
    </w:p>
    <w:p>
      <w:r>
        <w:br w:type="page"/>
      </w:r>
    </w:p>
    <w:p>
      <w:r>
        <w:rPr>
          <w:b/>
          <w:color w:val="9C7A2E"/>
          <w:sz w:val="22"/>
        </w:rPr>
        <w:t>PART 5</w:t>
      </w:r>
    </w:p>
    <w:p>
      <w:r>
        <w:rPr>
          <w:b/>
          <w:color w:val="24406B"/>
          <w:sz w:val="40"/>
        </w:rPr>
        <w:t>Compliance Essentials</w:t>
      </w:r>
    </w:p>
    <w:p>
      <w:pPr>
        <w:spacing w:before="280"/>
      </w:pPr>
      <w:r>
        <w:rPr>
          <w:b/>
          <w:color w:val="24406B"/>
          <w:sz w:val="34"/>
        </w:rPr>
        <w:t>What counts as foreign contribution</w:t>
      </w:r>
    </w:p>
    <w:p>
      <w:r>
        <w:t xml:space="preserve">Section 2(1)(h): donation, delivery or transfer by a </w:t>
      </w:r>
      <w:r>
        <w:rPr>
          <w:b/>
        </w:rPr>
        <w:t>foreign source</w:t>
      </w:r>
      <w:r>
        <w:t xml:space="preserve"> of any article (personal gift exempt up to </w:t>
      </w:r>
      <w:r>
        <w:rPr>
          <w:b/>
        </w:rPr>
        <w:t>₹1,00,000</w:t>
      </w:r>
      <w:r>
        <w:t>, Rule 6A), any currency, or any security.</w:t>
      </w:r>
    </w:p>
    <w:p>
      <w:pPr>
        <w:pStyle w:val="ListBullet"/>
      </w:pPr>
      <w:r>
        <w:rPr>
          <w:b/>
        </w:rPr>
        <w:t>Explanation 2</w:t>
      </w:r>
      <w:r>
        <w:t xml:space="preserve"> — interest on FC, and any income derived from FC, </w:t>
      </w:r>
      <w:r>
        <w:rPr>
          <w:b/>
        </w:rPr>
        <w:t>is itself FC</w:t>
      </w:r>
    </w:p>
    <w:p>
      <w:pPr>
        <w:pStyle w:val="ListBullet"/>
      </w:pPr>
      <w:r>
        <w:rPr>
          <w:b/>
        </w:rPr>
        <w:t>Explanation 3</w:t>
      </w:r>
      <w:r>
        <w:t xml:space="preserve"> — fees for goods or services in the ordinary course of business are </w:t>
      </w:r>
      <w:r>
        <w:rPr>
          <w:b/>
        </w:rPr>
        <w:t>excluded</w:t>
      </w:r>
      <w:r>
        <w:t>, including fees charged by an Indian educational institution to a foreign student</w:t>
      </w:r>
    </w:p>
    <w:p>
      <w:pPr>
        <w:pStyle w:val="ListBullet"/>
      </w:pPr>
      <w:r>
        <w:rPr>
          <w:b/>
        </w:rPr>
        <w:t>NRI vs OCI</w:t>
      </w:r>
      <w:r>
        <w:t xml:space="preserve"> — donations from an Indian citizen abroad from personal savings through banking channels are </w:t>
      </w:r>
      <w:r>
        <w:rPr>
          <w:b/>
        </w:rPr>
        <w:t>not</w:t>
      </w:r>
      <w:r>
        <w:t xml:space="preserve"> FC. Donations from persons of Indian origin holding </w:t>
      </w:r>
      <w:r>
        <w:rPr>
          <w:b/>
        </w:rPr>
        <w:t>foreign citizenship, including PIO and OCI, ARE</w:t>
      </w:r>
      <w:r>
        <w:t xml:space="preserve"> FC</w:t>
      </w:r>
    </w:p>
    <w:p>
      <w:pPr>
        <w:pStyle w:val="ListBullet"/>
      </w:pPr>
      <w:r>
        <w:rPr>
          <w:b/>
        </w:rPr>
        <w:t>Relative remittance</w:t>
      </w:r>
      <w:r>
        <w:t xml:space="preserve"> — not FC, but above </w:t>
      </w:r>
      <w:r>
        <w:rPr>
          <w:b/>
        </w:rPr>
        <w:t>₹10 lakh</w:t>
      </w:r>
      <w:r>
        <w:t xml:space="preserve"> in a financial year must be intimated in </w:t>
      </w:r>
      <w:r>
        <w:rPr>
          <w:b/>
        </w:rPr>
        <w:t>Form FC-1 within 3 months</w:t>
      </w:r>
    </w:p>
    <w:p>
      <w:pPr>
        <w:pStyle w:val="ListBullet"/>
      </w:pPr>
      <w:r>
        <w:rPr>
          <w:b/>
        </w:rPr>
        <w:t>Delegate fees</w:t>
      </w:r>
      <w:r>
        <w:t xml:space="preserve"> from foreign participants at a conference are not FC if used to meet the event's costs</w:t>
      </w:r>
    </w:p>
    <w:p>
      <w:pPr>
        <w:spacing w:before="280"/>
      </w:pPr>
      <w:r>
        <w:rPr>
          <w:b/>
          <w:color w:val="24406B"/>
          <w:sz w:val="34"/>
        </w:rPr>
        <w:t>The designated account — Section 17</w:t>
      </w:r>
    </w:p>
    <w:p>
      <w:r>
        <w:t xml:space="preserve">All foreign contribution must be received into a single designated account at </w:t>
      </w:r>
      <w:r>
        <w:rPr>
          <w:b/>
        </w:rPr>
        <w:t>State Bank of India, Sansad Marg / New Delhi Main Branch</w:t>
      </w:r>
      <w:r>
        <w:t>. No other bank may credit a foreign inward remittance.</w:t>
      </w:r>
    </w:p>
    <w:p>
      <w:r>
        <w:t xml:space="preserve">You may additionally hold one secondary FCRA account and one or more </w:t>
      </w:r>
      <w:r>
        <w:rPr>
          <w:b/>
        </w:rPr>
        <w:t>utilisation accounts</w:t>
      </w:r>
      <w:r>
        <w:t xml:space="preserve"> in scheduled, PFMS-integrated banks. </w:t>
      </w:r>
      <w:r>
        <w:rPr>
          <w:b/>
        </w:rPr>
        <w:t>No non-FC money may ever enter any of them.</w:t>
      </w:r>
      <w:r>
        <w:t xml:space="preserve"> A new utilisation account must be reported in </w:t>
      </w:r>
      <w:r>
        <w:rPr>
          <w:b/>
        </w:rPr>
        <w:t>FC-6D within 45 days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Registration versus prior permission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Registration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Prior permission</w:t>
            </w:r>
          </w:p>
        </w:tc>
      </w:tr>
      <w:tr>
        <w:tc>
          <w:tcPr>
            <w:tcW w:type="dxa" w:w="2880"/>
          </w:tcPr>
          <w:p>
            <w:r/>
            <w:r>
              <w:t>For</w:t>
            </w:r>
          </w:p>
        </w:tc>
        <w:tc>
          <w:tcPr>
            <w:tcW w:type="dxa" w:w="2880"/>
          </w:tcPr>
          <w:p>
            <w:r/>
            <w:r>
              <w:t>Established bodies</w:t>
            </w:r>
          </w:p>
        </w:tc>
        <w:tc>
          <w:tcPr>
            <w:tcW w:type="dxa" w:w="2880"/>
          </w:tcPr>
          <w:p>
            <w:r/>
            <w:r>
              <w:t>Formative stage</w:t>
            </w:r>
          </w:p>
        </w:tc>
      </w:tr>
      <w:tr>
        <w:tc>
          <w:tcPr>
            <w:tcW w:type="dxa" w:w="2880"/>
          </w:tcPr>
          <w:p>
            <w:r/>
            <w:r>
              <w:t>Existence required</w:t>
            </w:r>
          </w:p>
        </w:tc>
        <w:tc>
          <w:tcPr>
            <w:tcW w:type="dxa" w:w="2880"/>
          </w:tcPr>
          <w:p>
            <w:r/>
            <w:r>
              <w:t>3 years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Spend threshold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₹15 lakh</w:t>
            </w:r>
            <w:r>
              <w:t xml:space="preserve"> over 3 years on objects, excluding admin</w:t>
            </w:r>
          </w:p>
        </w:tc>
        <w:tc>
          <w:tcPr>
            <w:tcW w:type="dxa" w:w="2880"/>
          </w:tcPr>
          <w:p>
            <w:r/>
            <w:r>
              <w:t>None — donor commitment letter instead</w:t>
            </w:r>
          </w:p>
        </w:tc>
      </w:tr>
      <w:tr>
        <w:tc>
          <w:tcPr>
            <w:tcW w:type="dxa" w:w="2880"/>
          </w:tcPr>
          <w:p>
            <w:r/>
            <w:r>
              <w:t>Scope</w:t>
            </w:r>
          </w:p>
        </w:tc>
        <w:tc>
          <w:tcPr>
            <w:tcW w:type="dxa" w:w="2880"/>
          </w:tcPr>
          <w:p>
            <w:r/>
            <w:r>
              <w:t>Multiple donors; approved purposes and States</w:t>
            </w:r>
          </w:p>
        </w:tc>
        <w:tc>
          <w:tcPr>
            <w:tcW w:type="dxa" w:w="2880"/>
          </w:tcPr>
          <w:p>
            <w:r/>
            <w:r>
              <w:t>One donor, one amount, one project</w:t>
            </w:r>
          </w:p>
        </w:tc>
      </w:tr>
      <w:tr>
        <w:tc>
          <w:tcPr>
            <w:tcW w:type="dxa" w:w="2880"/>
          </w:tcPr>
          <w:p>
            <w:r/>
            <w:r>
              <w:t>Validity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 years</w:t>
            </w:r>
            <w:r>
              <w:t>; renew via FC-3C within 6 months before expiry</w:t>
            </w:r>
          </w:p>
        </w:tc>
        <w:tc>
          <w:tcPr>
            <w:tcW w:type="dxa" w:w="2880"/>
          </w:tcPr>
          <w:p>
            <w:r/>
            <w:r>
              <w:t>Until that contribution is fully utilised</w:t>
            </w:r>
          </w:p>
        </w:tc>
      </w:tr>
      <w:tr>
        <w:tc>
          <w:tcPr>
            <w:tcW w:type="dxa" w:w="2880"/>
          </w:tcPr>
          <w:p>
            <w:r/>
            <w:r>
              <w:t>Renewal threshold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₹10 lakh</w:t>
            </w:r>
            <w:r>
              <w:t xml:space="preserve"> FC utilised over preceding 2 FYs (Rule 14A)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Instalments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Next tranche only after </w:t>
            </w:r>
            <w:r>
              <w:rPr>
                <w:b/>
              </w:rPr>
              <w:t>75%</w:t>
            </w:r>
            <w:r>
              <w:t xml:space="preserve"> utilised </w:t>
            </w:r>
            <w:r>
              <w:rPr>
                <w:b/>
              </w:rPr>
              <w:t>plus MHA field inquiry</w:t>
            </w:r>
            <w:r>
              <w:t xml:space="preserve"> (Rule 9A)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Forms and deadlines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2880"/>
          </w:tcPr>
          <w:p>
            <w:r/>
            <w:r>
              <w:t>FC-1</w:t>
            </w:r>
          </w:p>
        </w:tc>
        <w:tc>
          <w:tcPr>
            <w:tcW w:type="dxa" w:w="2880"/>
          </w:tcPr>
          <w:p>
            <w:r/>
            <w:r>
              <w:t>Relative remittance above ₹10 lakh</w:t>
            </w:r>
          </w:p>
        </w:tc>
        <w:tc>
          <w:tcPr>
            <w:tcW w:type="dxa" w:w="2880"/>
          </w:tcPr>
          <w:p>
            <w:r/>
            <w:r>
              <w:t>3 months</w:t>
            </w:r>
          </w:p>
        </w:tc>
      </w:tr>
      <w:tr>
        <w:tc>
          <w:tcPr>
            <w:tcW w:type="dxa" w:w="2880"/>
          </w:tcPr>
          <w:p>
            <w:r/>
            <w:r>
              <w:t>FC-2</w:t>
            </w:r>
          </w:p>
        </w:tc>
        <w:tc>
          <w:tcPr>
            <w:tcW w:type="dxa" w:w="2880"/>
          </w:tcPr>
          <w:p>
            <w:r/>
            <w:r>
              <w:t>Foreign hospitality</w:t>
            </w:r>
          </w:p>
        </w:tc>
        <w:tc>
          <w:tcPr>
            <w:tcW w:type="dxa" w:w="2880"/>
          </w:tcPr>
          <w:p>
            <w:r/>
            <w:r>
              <w:t>About 2 weeks before travel</w:t>
            </w:r>
          </w:p>
        </w:tc>
      </w:tr>
      <w:tr>
        <w:tc>
          <w:tcPr>
            <w:tcW w:type="dxa" w:w="2880"/>
          </w:tcPr>
          <w:p>
            <w:r/>
            <w:r>
              <w:t>FC-3A / FC-3B</w:t>
            </w:r>
          </w:p>
        </w:tc>
        <w:tc>
          <w:tcPr>
            <w:tcW w:type="dxa" w:w="2880"/>
          </w:tcPr>
          <w:p>
            <w:r/>
            <w:r>
              <w:t>Registration / prior permission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FC-3BB</w:t>
            </w:r>
          </w:p>
        </w:tc>
        <w:tc>
          <w:tcPr>
            <w:tcW w:type="dxa" w:w="2880"/>
          </w:tcPr>
          <w:p>
            <w:r/>
            <w:r>
              <w:t>Next instalment under prior permission</w:t>
            </w:r>
          </w:p>
        </w:tc>
        <w:tc>
          <w:tcPr>
            <w:tcW w:type="dxa" w:w="2880"/>
          </w:tcPr>
          <w:p>
            <w:r/>
            <w:r>
              <w:t>After 75% utilised and field inquiry</w:t>
            </w:r>
          </w:p>
        </w:tc>
      </w:tr>
      <w:tr>
        <w:tc>
          <w:tcPr>
            <w:tcW w:type="dxa" w:w="2880"/>
          </w:tcPr>
          <w:p>
            <w:r/>
            <w:r>
              <w:t>FC-3C</w:t>
            </w:r>
          </w:p>
        </w:tc>
        <w:tc>
          <w:tcPr>
            <w:tcW w:type="dxa" w:w="2880"/>
          </w:tcPr>
          <w:p>
            <w:r/>
            <w:r>
              <w:t>Renewal</w:t>
            </w:r>
          </w:p>
        </w:tc>
        <w:tc>
          <w:tcPr>
            <w:tcW w:type="dxa" w:w="2880"/>
          </w:tcPr>
          <w:p>
            <w:r/>
            <w:r>
              <w:t xml:space="preserve">Within </w:t>
            </w:r>
            <w:r>
              <w:rPr>
                <w:b/>
              </w:rPr>
              <w:t>6 months before expiry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FC-4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Annual return — NIL return mandatory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Within 9 months of FY close: 31 December</w:t>
            </w:r>
          </w:p>
        </w:tc>
      </w:tr>
      <w:tr>
        <w:tc>
          <w:tcPr>
            <w:tcW w:type="dxa" w:w="2880"/>
          </w:tcPr>
          <w:p>
            <w:r/>
            <w:r>
              <w:t>FC-6A</w:t>
            </w:r>
          </w:p>
        </w:tc>
        <w:tc>
          <w:tcPr>
            <w:tcW w:type="dxa" w:w="2880"/>
          </w:tcPr>
          <w:p>
            <w:r/>
            <w:r>
              <w:t>Change of name or address</w:t>
            </w:r>
          </w:p>
        </w:tc>
        <w:tc>
          <w:tcPr>
            <w:tcW w:type="dxa" w:w="2880"/>
          </w:tcPr>
          <w:p>
            <w:r/>
            <w:r>
              <w:t>45 days</w:t>
            </w:r>
          </w:p>
        </w:tc>
      </w:tr>
      <w:tr>
        <w:tc>
          <w:tcPr>
            <w:tcW w:type="dxa" w:w="2880"/>
          </w:tcPr>
          <w:p>
            <w:r/>
            <w:r>
              <w:t>FC-6B</w:t>
            </w:r>
          </w:p>
        </w:tc>
        <w:tc>
          <w:tcPr>
            <w:tcW w:type="dxa" w:w="2880"/>
          </w:tcPr>
          <w:p>
            <w:r/>
            <w:r>
              <w:t>Change of aims and objects</w:t>
            </w:r>
          </w:p>
        </w:tc>
        <w:tc>
          <w:tcPr>
            <w:tcW w:type="dxa" w:w="2880"/>
          </w:tcPr>
          <w:p>
            <w:r/>
            <w:r>
              <w:t>45 days</w:t>
            </w:r>
          </w:p>
        </w:tc>
      </w:tr>
      <w:tr>
        <w:tc>
          <w:tcPr>
            <w:tcW w:type="dxa" w:w="2880"/>
          </w:tcPr>
          <w:p>
            <w:r/>
            <w:r>
              <w:t>FC-6D</w:t>
            </w:r>
          </w:p>
        </w:tc>
        <w:tc>
          <w:tcPr>
            <w:tcW w:type="dxa" w:w="2880"/>
          </w:tcPr>
          <w:p>
            <w:r/>
            <w:r>
              <w:t>Change of utilisation account</w:t>
            </w:r>
          </w:p>
        </w:tc>
        <w:tc>
          <w:tcPr>
            <w:tcW w:type="dxa" w:w="2880"/>
          </w:tcPr>
          <w:p>
            <w:r/>
            <w:r>
              <w:t>45 days</w:t>
            </w:r>
          </w:p>
        </w:tc>
      </w:tr>
      <w:tr>
        <w:tc>
          <w:tcPr>
            <w:tcW w:type="dxa" w:w="2880"/>
          </w:tcPr>
          <w:p>
            <w:r/>
            <w:r>
              <w:t>FC-6E</w:t>
            </w:r>
          </w:p>
        </w:tc>
        <w:tc>
          <w:tcPr>
            <w:tcW w:type="dxa" w:w="2880"/>
          </w:tcPr>
          <w:p>
            <w:r/>
            <w:r>
              <w:t>Change of governing body</w:t>
            </w:r>
          </w:p>
        </w:tc>
        <w:tc>
          <w:tcPr>
            <w:tcW w:type="dxa" w:w="2880"/>
          </w:tcPr>
          <w:p>
            <w:r/>
            <w:r>
              <w:t>45 days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FC-6F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Migration to purpose-and-State framework; later scope changes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By 22 June 2027</w:t>
            </w:r>
          </w:p>
        </w:tc>
      </w:tr>
      <w:tr>
        <w:tc>
          <w:tcPr>
            <w:tcW w:type="dxa" w:w="2880"/>
          </w:tcPr>
          <w:p>
            <w:r/>
            <w:r>
              <w:t>FC-7</w:t>
            </w:r>
          </w:p>
        </w:tc>
        <w:tc>
          <w:tcPr>
            <w:tcW w:type="dxa" w:w="2880"/>
          </w:tcPr>
          <w:p>
            <w:r/>
            <w:r>
              <w:t>Surrender of registration</w:t>
            </w:r>
          </w:p>
        </w:tc>
        <w:tc>
          <w:tcPr>
            <w:tcW w:type="dxa" w:w="2880"/>
          </w:tcPr>
          <w:p>
            <w:r/>
            <w:r>
              <w:t>Any time</w:t>
            </w:r>
          </w:p>
        </w:tc>
      </w:tr>
    </w:tbl>
    <w:p>
      <w:pPr>
        <w:spacing w:after="80"/>
      </w:pPr>
    </w:p>
    <w:p>
      <w:r>
        <w:rPr>
          <w:b/>
        </w:rPr>
        <w:t>A correction worth recording.</w:t>
      </w:r>
      <w:r>
        <w:t xml:space="preserve"> Oral training material in circulation states that FC-4 is due </w:t>
      </w:r>
      <w:r>
        <w:rPr>
          <w:b/>
        </w:rPr>
        <w:t>31 July</w:t>
      </w:r>
      <w:r>
        <w:t xml:space="preserve">. That is wrong — it confuses FC-4 with the income-tax audit date. The Rules require filing </w:t>
      </w:r>
      <w:r>
        <w:rPr>
          <w:b/>
        </w:rPr>
        <w:t>within nine months of the close of the financial year, i.e. 31 December</w:t>
      </w:r>
      <w:r>
        <w:t>.</w:t>
      </w:r>
    </w:p>
    <w:p>
      <w:pPr>
        <w:spacing w:before="280"/>
      </w:pPr>
      <w:r>
        <w:rPr>
          <w:b/>
          <w:color w:val="24406B"/>
          <w:sz w:val="34"/>
        </w:rPr>
        <w:t>Suspension, cancellation, refusal</w:t>
      </w:r>
    </w:p>
    <w:p>
      <w:pPr>
        <w:pStyle w:val="ListBullet"/>
      </w:pPr>
      <w:r>
        <w:rPr>
          <w:b/>
        </w:rPr>
        <w:t>Suspension (Section 13)</w:t>
      </w:r>
      <w:r>
        <w:t xml:space="preserve"> — up to 180 days, extendable to 360. During suspension at most </w:t>
      </w:r>
      <w:r>
        <w:rPr>
          <w:b/>
        </w:rPr>
        <w:t>25%</w:t>
      </w:r>
      <w:r>
        <w:t xml:space="preserve"> of unutilised FC may be spent, with prior MHA approval; </w:t>
      </w:r>
      <w:r>
        <w:rPr>
          <w:b/>
        </w:rPr>
        <w:t>75% is frozen</w:t>
      </w:r>
    </w:p>
    <w:p>
      <w:pPr>
        <w:pStyle w:val="ListBullet"/>
      </w:pPr>
      <w:r>
        <w:rPr>
          <w:b/>
        </w:rPr>
        <w:t>Cancellation (Section 14)</w:t>
      </w:r>
      <w:r>
        <w:t xml:space="preserve"> — barred from applying afresh for </w:t>
      </w:r>
      <w:r>
        <w:rPr>
          <w:b/>
        </w:rPr>
        <w:t>3 years</w:t>
      </w:r>
    </w:p>
    <w:p>
      <w:pPr>
        <w:pStyle w:val="ListBullet"/>
      </w:pPr>
      <w:r>
        <w:rPr>
          <w:b/>
        </w:rPr>
        <w:t>Refused renewal</w:t>
      </w:r>
      <w:r>
        <w:t xml:space="preserve"> — reapply after </w:t>
      </w:r>
      <w:r>
        <w:rPr>
          <w:b/>
        </w:rPr>
        <w:t>180 days</w:t>
      </w:r>
    </w:p>
    <w:p>
      <w:pPr>
        <w:spacing w:before="280"/>
      </w:pPr>
      <w:r>
        <w:rPr>
          <w:b/>
          <w:color w:val="24406B"/>
          <w:sz w:val="34"/>
        </w:rPr>
        <w:t>Penalties — S.O. 3287(E) compounding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Violation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Penalty</w:t>
            </w:r>
          </w:p>
        </w:tc>
      </w:tr>
      <w:tr>
        <w:tc>
          <w:tcPr>
            <w:tcW w:type="dxa" w:w="4320"/>
          </w:tcPr>
          <w:p>
            <w:r/>
            <w:r>
              <w:t>Unapproved purpose or State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30%</w:t>
            </w:r>
            <w:r>
              <w:t xml:space="preserve"> of amount, or ₹1,00,000</w:t>
            </w:r>
          </w:p>
        </w:tc>
      </w:tr>
      <w:tr>
        <w:tc>
          <w:tcPr>
            <w:tcW w:type="dxa" w:w="4320"/>
          </w:tcPr>
          <w:p>
            <w:r/>
            <w:r>
              <w:t>Speculative investment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30%</w:t>
            </w:r>
            <w:r>
              <w:t xml:space="preserve"> invested + 10% of returns, or ₹1,00,000</w:t>
            </w:r>
          </w:p>
        </w:tc>
      </w:tr>
      <w:tr>
        <w:tc>
          <w:tcPr>
            <w:tcW w:type="dxa" w:w="4320"/>
          </w:tcPr>
          <w:p>
            <w:r/>
            <w:r>
              <w:t>Accepting FC without registration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30%</w:t>
            </w:r>
            <w:r>
              <w:t xml:space="preserve"> of FC, or ₹1,00,000</w:t>
            </w:r>
          </w:p>
        </w:tc>
      </w:tr>
      <w:tr>
        <w:tc>
          <w:tcPr>
            <w:tcW w:type="dxa" w:w="4320"/>
          </w:tcPr>
          <w:p>
            <w:r/>
            <w:r>
              <w:t>Transfer or sub-granting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10%</w:t>
            </w:r>
            <w:r>
              <w:t xml:space="preserve"> of amount, or ₹1,00,000 — compoundable </w:t>
            </w:r>
            <w:r>
              <w:rPr>
                <w:b/>
              </w:rPr>
              <w:t>once only</w:t>
            </w:r>
          </w:p>
        </w:tc>
      </w:tr>
      <w:tr>
        <w:tc>
          <w:tcPr>
            <w:tcW w:type="dxa" w:w="4320"/>
          </w:tcPr>
          <w:p>
            <w:r/>
            <w:r>
              <w:t>Admin expenses above 20%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5%</w:t>
            </w:r>
            <w:r>
              <w:t xml:space="preserve"> of the excess, or ₹1,00,000</w:t>
            </w:r>
          </w:p>
        </w:tc>
      </w:tr>
      <w:tr>
        <w:tc>
          <w:tcPr>
            <w:tcW w:type="dxa" w:w="4320"/>
          </w:tcPr>
          <w:p>
            <w:r/>
            <w:r>
              <w:t>FC into a non-designated account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5%</w:t>
            </w:r>
            <w:r>
              <w:t>, or ₹1,00,000</w:t>
            </w:r>
          </w:p>
        </w:tc>
      </w:tr>
      <w:tr>
        <w:tc>
          <w:tcPr>
            <w:tcW w:type="dxa" w:w="4320"/>
          </w:tcPr>
          <w:p>
            <w:r/>
            <w:r>
              <w:t>Local funds into an FC account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2%</w:t>
            </w:r>
            <w:r>
              <w:t>, or ₹1,00,000</w:t>
            </w:r>
          </w:p>
        </w:tc>
      </w:tr>
      <w:tr>
        <w:tc>
          <w:tcPr>
            <w:tcW w:type="dxa" w:w="4320"/>
          </w:tcPr>
          <w:p>
            <w:r/>
            <w:r>
              <w:t>Failure to report or maintain accounts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5%</w:t>
            </w:r>
            <w:r>
              <w:t xml:space="preserve"> of FC for the period, or ₹1,00,000</w:t>
            </w:r>
          </w:p>
        </w:tc>
      </w:tr>
      <w:tr>
        <w:tc>
          <w:tcPr>
            <w:tcW w:type="dxa" w:w="4320"/>
          </w:tcPr>
          <w:p>
            <w:r/>
            <w:r>
              <w:t>Utilisation account not intimated in 45 days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₹10,000</w:t>
            </w:r>
            <w:r>
              <w:t xml:space="preserve"> per account</w:t>
            </w:r>
          </w:p>
        </w:tc>
      </w:tr>
      <w:tr>
        <w:tc>
          <w:tcPr>
            <w:tcW w:type="dxa" w:w="4320"/>
          </w:tcPr>
          <w:p>
            <w:r/>
            <w:r>
              <w:t>Quarterly website disclosure failure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₹10,000</w:t>
            </w:r>
            <w:r>
              <w:t xml:space="preserve"> each</w:t>
            </w:r>
          </w:p>
        </w:tc>
      </w:tr>
    </w:tbl>
    <w:p>
      <w:pPr>
        <w:spacing w:after="80"/>
      </w:pPr>
    </w:p>
    <w:p>
      <w:r>
        <w:t>Maximum penalty in any instance is capped at the value of the foreign contribution received.</w:t>
      </w:r>
    </w:p>
    <w:p>
      <w:r>
        <w:br w:type="page"/>
      </w:r>
    </w:p>
    <w:p>
      <w:r>
        <w:rPr>
          <w:b/>
          <w:color w:val="9C7A2E"/>
          <w:sz w:val="22"/>
        </w:rPr>
        <w:t>PART 6</w:t>
      </w:r>
    </w:p>
    <w:p>
      <w:r>
        <w:rPr>
          <w:b/>
          <w:color w:val="24406B"/>
          <w:sz w:val="40"/>
        </w:rPr>
        <w:t>The 2026 Framework Shift</w:t>
      </w:r>
    </w:p>
    <w:p>
      <w:r>
        <w:t xml:space="preserve">The </w:t>
      </w:r>
      <w:r>
        <w:rPr>
          <w:b/>
        </w:rPr>
        <w:t>Foreign Contribution (Regulation) Amendment Rules 2026</w:t>
      </w:r>
      <w:r>
        <w:t xml:space="preserve">, notified as </w:t>
      </w:r>
      <w:r>
        <w:rPr>
          <w:b/>
        </w:rPr>
        <w:t>S.O. 3272(E) on 22 June 2026</w:t>
      </w:r>
      <w:r>
        <w:t xml:space="preserve"> with compounding notification </w:t>
      </w:r>
      <w:r>
        <w:rPr>
          <w:b/>
        </w:rPr>
        <w:t>S.O. 3287(E)</w:t>
      </w:r>
      <w:r>
        <w:t xml:space="preserve">, changed registration from an organisation-centric licence to a </w:t>
      </w:r>
      <w:r>
        <w:rPr>
          <w:b/>
        </w:rPr>
        <w:t>purpose-based and geography-specific</w:t>
      </w:r>
      <w:r>
        <w:t xml:space="preserve"> one.</w:t>
      </w:r>
    </w:p>
    <w:p>
      <w:pPr>
        <w:spacing w:before="280"/>
      </w:pPr>
      <w:r>
        <w:rPr>
          <w:b/>
          <w:color w:val="24406B"/>
          <w:sz w:val="34"/>
        </w:rPr>
        <w:t>What changed</w:t>
      </w:r>
    </w:p>
    <w:p>
      <w:pPr>
        <w:pStyle w:val="ListNumber"/>
      </w:pPr>
      <w:r>
        <w:rPr>
          <w:b/>
        </w:rPr>
        <w:t>The certificate names purposes and States</w:t>
      </w:r>
      <w:r>
        <w:t xml:space="preserve"> (Rule 9(1B)(a)). Utilising FC for an unlisted purpose, or in an unlisted State or UT, is a compoundable offence.</w:t>
      </w:r>
    </w:p>
    <w:p>
      <w:pPr>
        <w:pStyle w:val="ListNumber"/>
      </w:pPr>
      <w:r>
        <w:rPr>
          <w:b/>
        </w:rPr>
        <w:t>Narrative aims abolished</w:t>
      </w:r>
      <w:r>
        <w:t xml:space="preserve"> (Rule 9(1B)(b)(i)). Purposes must come from the prescribed Schedule.</w:t>
      </w:r>
    </w:p>
    <w:p>
      <w:pPr>
        <w:pStyle w:val="ListNumber"/>
      </w:pPr>
      <w:r>
        <w:rPr>
          <w:b/>
        </w:rPr>
        <w:t>Form FC-6F migration</w:t>
      </w:r>
      <w:r>
        <w:t xml:space="preserve"> (Rule 9(1B)(c)) — every association registered before 22 June 2026 must declare its purposes and States </w:t>
      </w:r>
      <w:r>
        <w:rPr>
          <w:b/>
        </w:rPr>
        <w:t>within one year: by 22 June 2027</w:t>
      </w:r>
      <w:r>
        <w:t>.</w:t>
      </w:r>
    </w:p>
    <w:p>
      <w:pPr>
        <w:pStyle w:val="ListNumber"/>
      </w:pPr>
      <w:r>
        <w:rPr>
          <w:b/>
        </w:rPr>
        <w:t>"Key functionary" defined</w:t>
      </w:r>
      <w:r>
        <w:t xml:space="preserve"> (Rule 2(1)(ca)) — anyone exercising control or responsible for management. Scrutiny moves from every committee member to those actually in control, </w:t>
      </w:r>
      <w:r>
        <w:rPr>
          <w:b/>
        </w:rPr>
        <w:t>concentrating personal liability on them</w:t>
      </w:r>
      <w:r>
        <w:t xml:space="preserve">. A </w:t>
      </w:r>
      <w:r>
        <w:rPr>
          <w:b/>
        </w:rPr>
        <w:t>reverse burden of proof</w:t>
      </w:r>
      <w:r>
        <w:t xml:space="preserve"> applies: key functionaries are presumed liable for diversion unless they show due diligence and good faith.</w:t>
      </w:r>
    </w:p>
    <w:p>
      <w:pPr>
        <w:pStyle w:val="ListNumber"/>
      </w:pPr>
      <w:r>
        <w:rPr>
          <w:b/>
        </w:rPr>
        <w:t>Fees</w:t>
      </w:r>
      <w:r>
        <w:t xml:space="preserve"> (Rule 9(4)) — the base fee covers one purpose and one State; </w:t>
      </w:r>
      <w:r>
        <w:rPr>
          <w:b/>
        </w:rPr>
        <w:t>₹300</w:t>
      </w:r>
      <w:r>
        <w:t xml:space="preserve"> for each additional purpose or State.</w:t>
      </w:r>
    </w:p>
    <w:p>
      <w:pPr>
        <w:pStyle w:val="ListNumber"/>
      </w:pPr>
      <w:r>
        <w:rPr>
          <w:b/>
        </w:rPr>
        <w:t>Foreign citizens</w:t>
      </w:r>
      <w:r>
        <w:t xml:space="preserve"> (Rule 9(5) Expl. 1) — associations with foreign citizens as key functionaries are ordinarily ineligible absent a specific order.</w:t>
      </w:r>
    </w:p>
    <w:p>
      <w:pPr>
        <w:pStyle w:val="ListNumber"/>
      </w:pPr>
      <w:r>
        <w:rPr>
          <w:b/>
        </w:rPr>
        <w:t>Activities outside India excluded</w:t>
      </w:r>
      <w:r>
        <w:t xml:space="preserve"> (Rule 9(5) Expl. 2).</w:t>
      </w:r>
    </w:p>
    <w:p>
      <w:pPr>
        <w:pStyle w:val="ListNumber"/>
      </w:pPr>
      <w:r>
        <w:rPr>
          <w:b/>
        </w:rPr>
        <w:t>Prior permission instalments</w:t>
      </w:r>
      <w:r>
        <w:t xml:space="preserve"> (Rule 9A) — released only after </w:t>
      </w:r>
      <w:r>
        <w:rPr>
          <w:b/>
        </w:rPr>
        <w:t>75% utilisation</w:t>
      </w:r>
      <w:r>
        <w:t xml:space="preserve"> and MHA field verification.</w:t>
      </w:r>
    </w:p>
    <w:p>
      <w:pPr>
        <w:pStyle w:val="ListNumber"/>
      </w:pPr>
      <w:r>
        <w:rPr>
          <w:b/>
        </w:rPr>
        <w:t>Renewal threshold</w:t>
      </w:r>
      <w:r>
        <w:t xml:space="preserve"> (Rule 14A) — </w:t>
      </w:r>
      <w:r>
        <w:rPr>
          <w:b/>
        </w:rPr>
        <w:t>₹10 lakh</w:t>
      </w:r>
      <w:r>
        <w:t xml:space="preserve"> FC utilised over the preceding two financial years.</w:t>
      </w:r>
    </w:p>
    <w:p>
      <w:pPr>
        <w:pStyle w:val="ListNumber"/>
      </w:pPr>
      <w:r>
        <w:rPr>
          <w:b/>
        </w:rPr>
        <w:t>Scope change</w:t>
      </w:r>
      <w:r>
        <w:t xml:space="preserve"> (Rule 17B) — adding or deleting a purpose or State requires FC-6F, a governing body resolution, and ₹300 per item.</w:t>
      </w:r>
    </w:p>
    <w:p>
      <w:pPr>
        <w:pStyle w:val="ListNumber"/>
      </w:pPr>
      <w:r>
        <w:rPr>
          <w:b/>
        </w:rPr>
        <w:t>Reporting deepened</w:t>
      </w:r>
      <w:r>
        <w:t xml:space="preserve"> — FC-3C renewal needs a three-year activity report; FC-4 needs project-wise and location-wise utilisation, asset creation, publications, website and social media accounts, and </w:t>
      </w:r>
      <w:r>
        <w:rPr>
          <w:b/>
        </w:rPr>
        <w:t>ultimate donor disclosure</w:t>
      </w:r>
      <w:r>
        <w:t xml:space="preserve"> where funds arrive through Donor Advised Funds.</w:t>
      </w:r>
    </w:p>
    <w:p>
      <w:pPr>
        <w:spacing w:before="280"/>
      </w:pPr>
      <w:r>
        <w:rPr>
          <w:b/>
          <w:color w:val="24406B"/>
          <w:sz w:val="34"/>
        </w:rPr>
        <w:t>⚠ Notified Rules versus the pending Bill</w:t>
      </w:r>
    </w:p>
    <w:p>
      <w:r>
        <w:t xml:space="preserve">Everything above is </w:t>
      </w:r>
      <w:r>
        <w:rPr>
          <w:b/>
        </w:rPr>
        <w:t>notified and in force</w:t>
      </w:r>
      <w:r>
        <w:t xml:space="preserve"> — S.O. 3272(E) and S.O. 3287(E), both dated 22 June 2026. Plan compliance against it.</w:t>
      </w:r>
    </w:p>
    <w:p>
      <w:r>
        <w:t xml:space="preserve">What follows sits in the </w:t>
      </w:r>
      <w:r>
        <w:rPr>
          <w:b/>
        </w:rPr>
        <w:t>FCRA Amendment Bill 2026</w:t>
      </w:r>
      <w:r>
        <w:t xml:space="preserve">, which is a </w:t>
      </w:r>
      <w:r>
        <w:rPr>
          <w:b/>
        </w:rPr>
        <w:t>Bill and not yet law</w:t>
      </w:r>
      <w:r>
        <w:t xml:space="preserve">. It should </w:t>
      </w:r>
      <w:r>
        <w:rPr>
          <w:b/>
        </w:rPr>
        <w:t>not</w:t>
      </w:r>
      <w:r>
        <w:t xml:space="preserve"> be relied on for planning:</w:t>
      </w:r>
    </w:p>
    <w:p>
      <w:pPr>
        <w:pStyle w:val="ListBullet"/>
      </w:pPr>
      <w:r>
        <w:rPr>
          <w:b/>
        </w:rPr>
        <w:t>Appeal to the District Judge</w:t>
      </w:r>
      <w:r>
        <w:t xml:space="preserve"> against MHA orders</w:t>
      </w:r>
    </w:p>
    <w:p>
      <w:pPr>
        <w:pStyle w:val="ListBullet"/>
      </w:pPr>
      <w:r>
        <w:rPr>
          <w:b/>
        </w:rPr>
        <w:t>Imprisonment capped at 1 year</w:t>
      </w:r>
      <w:r>
        <w:t>, reduced from 5</w:t>
      </w:r>
    </w:p>
    <w:p>
      <w:pPr>
        <w:pStyle w:val="ListBullet"/>
      </w:pPr>
      <w:r>
        <w:rPr>
          <w:b/>
        </w:rPr>
        <w:t>Provisional asset vesting</w:t>
      </w:r>
      <w:r>
        <w:t xml:space="preserve"> — assets created with FC vest in a government custodian if registration ceases, with </w:t>
      </w:r>
      <w:r>
        <w:rPr>
          <w:b/>
        </w:rPr>
        <w:t>full restoration on re-registration</w:t>
      </w:r>
      <w:r>
        <w:t>; places of worship retain their religious character throughout</w:t>
      </w:r>
    </w:p>
    <w:p>
      <w:pPr>
        <w:pStyle w:val="ListBullet"/>
      </w:pPr>
      <w:r>
        <w:rPr>
          <w:b/>
        </w:rPr>
        <w:t>State agencies may not investigate</w:t>
      </w:r>
      <w:r>
        <w:t xml:space="preserve"> FCRA matters without central coordination</w:t>
      </w:r>
    </w:p>
    <w:p>
      <w:r>
        <w:t xml:space="preserve">The asset-restoration and places-of-worship provisions are the ones that would matter most to a seminary. </w:t>
      </w:r>
      <w:r>
        <w:rPr>
          <w:b/>
        </w:rPr>
        <w:t>Until enactment, assume the harsher position:</w:t>
      </w:r>
      <w:r>
        <w:t xml:space="preserve"> if registration lapses, FC-created assets — the seminary buildings among them — are exposed without a guaranteed restoration route.</w:t>
      </w:r>
    </w:p>
    <w:p>
      <w:r>
        <w:t>That is an argument for treating the FC-6F deadline and the Rule 14A ₹10 lakh threshold as hard operational priorities rather than paperwork.</w:t>
      </w:r>
    </w:p>
    <w:p>
      <w:r>
        <w:br w:type="page"/>
      </w:r>
    </w:p>
    <w:p>
      <w:r>
        <w:rPr>
          <w:b/>
          <w:color w:val="9C7A2E"/>
          <w:sz w:val="22"/>
        </w:rPr>
        <w:t>PART 7</w:t>
      </w:r>
    </w:p>
    <w:p>
      <w:r>
        <w:rPr>
          <w:b/>
          <w:color w:val="24406B"/>
          <w:sz w:val="40"/>
        </w:rPr>
        <w:t>BCPTI — Position and Action Points</w:t>
      </w:r>
    </w:p>
    <w:p>
      <w:pPr>
        <w:spacing w:before="280"/>
      </w:pPr>
      <w:r>
        <w:rPr>
          <w:b/>
          <w:color w:val="24406B"/>
          <w:sz w:val="34"/>
        </w:rPr>
        <w:t>Registration</w:t>
      </w:r>
    </w:p>
    <w:p>
      <w:r>
        <w:rPr>
          <w:b/>
        </w:rPr>
        <w:t>Bengal Catholic Priests' Training Institute</w:t>
      </w:r>
      <w:r>
        <w:t xml:space="preserve">, Reg. No. </w:t>
      </w:r>
      <w:r>
        <w:rPr>
          <w:b/>
        </w:rPr>
        <w:t>S/23735 of 1978-79</w:t>
      </w:r>
      <w:r>
        <w:t xml:space="preserve">, registered </w:t>
      </w:r>
      <w:r>
        <w:rPr>
          <w:b/>
        </w:rPr>
        <w:t>10 January 1979</w:t>
      </w:r>
      <w:r>
        <w:t xml:space="preserve"> under the West Bengal Societies Registration Act 1961 (WB Act XXVI of 1961), Barrackpore (Sewli, Telinipara), 24-Parganas, West Bengal 743101. Operates </w:t>
      </w:r>
      <w:r>
        <w:rPr>
          <w:b/>
        </w:rPr>
        <w:t>Morning Star Regional Seminary</w:t>
      </w:r>
      <w:r>
        <w:t xml:space="preserve"> and </w:t>
      </w:r>
      <w:r>
        <w:rPr>
          <w:b/>
        </w:rPr>
        <w:t>Morning Star College</w:t>
      </w:r>
      <w:r>
        <w:t>.</w:t>
      </w:r>
    </w:p>
    <w:p>
      <w:r>
        <w:rPr>
          <w:i/>
        </w:rPr>
        <w:t>(The original Memorandum misspells the name in Section 1 as "Bengal Cath8lic"; the registration certificate is correct.)</w:t>
      </w:r>
    </w:p>
    <w:p>
      <w:pPr>
        <w:spacing w:before="280"/>
      </w:pPr>
      <w:r>
        <w:rPr>
          <w:b/>
          <w:color w:val="24406B"/>
          <w:sz w:val="34"/>
        </w:rPr>
        <w:t>The ten objects and their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Object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Substance</w:t>
            </w:r>
          </w:p>
        </w:tc>
        <w:tc>
          <w:tcPr>
            <w:tcW w:type="dxa" w:w="288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FCRA category</w:t>
            </w:r>
          </w:p>
        </w:tc>
      </w:tr>
      <w:tr>
        <w:tc>
          <w:tcPr>
            <w:tcW w:type="dxa" w:w="2880"/>
          </w:tcPr>
          <w:p>
            <w:r/>
            <w:r>
              <w:t>(a)</w:t>
            </w:r>
          </w:p>
        </w:tc>
        <w:tc>
          <w:tcPr>
            <w:tcW w:type="dxa" w:w="2880"/>
          </w:tcPr>
          <w:p>
            <w:r/>
            <w:r>
              <w:t>Train future priests and ministers for the Roman Catholic Church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Educational + Religious</w:t>
            </w:r>
          </w:p>
        </w:tc>
      </w:tr>
      <w:tr>
        <w:tc>
          <w:tcPr>
            <w:tcW w:type="dxa" w:w="2880"/>
          </w:tcPr>
          <w:p>
            <w:r/>
            <w:r>
              <w:t>(b)</w:t>
            </w:r>
          </w:p>
        </w:tc>
        <w:tc>
          <w:tcPr>
            <w:tcW w:type="dxa" w:w="2880"/>
          </w:tcPr>
          <w:p>
            <w:r/>
            <w:r>
              <w:t>Diffuse religious, social, secular and scientific knowledge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Educational + Religious</w:t>
            </w:r>
          </w:p>
        </w:tc>
      </w:tr>
      <w:tr>
        <w:tc>
          <w:tcPr>
            <w:tcW w:type="dxa" w:w="2880"/>
          </w:tcPr>
          <w:p>
            <w:r/>
            <w:r>
              <w:t>(c)</w:t>
            </w:r>
          </w:p>
        </w:tc>
        <w:tc>
          <w:tcPr>
            <w:tcW w:type="dxa" w:w="2880"/>
          </w:tcPr>
          <w:p>
            <w:r/>
            <w:r>
              <w:t>Take over management and properties of Morning Star Seminary and College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Educational + Religious</w:t>
            </w:r>
          </w:p>
        </w:tc>
      </w:tr>
      <w:tr>
        <w:tc>
          <w:tcPr>
            <w:tcW w:type="dxa" w:w="2880"/>
          </w:tcPr>
          <w:p>
            <w:r/>
            <w:r>
              <w:t>(d)</w:t>
            </w:r>
          </w:p>
        </w:tc>
        <w:tc>
          <w:tcPr>
            <w:tcW w:type="dxa" w:w="2880"/>
          </w:tcPr>
          <w:p>
            <w:r/>
            <w:r>
              <w:t>Establish new institutions; develop existing; hold property in trust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Educational + Religious</w:t>
            </w:r>
          </w:p>
        </w:tc>
      </w:tr>
      <w:tr>
        <w:tc>
          <w:tcPr>
            <w:tcW w:type="dxa" w:w="2880"/>
          </w:tcPr>
          <w:p>
            <w:r/>
            <w:r>
              <w:t>(e)</w:t>
            </w:r>
          </w:p>
        </w:tc>
        <w:tc>
          <w:tcPr>
            <w:tcW w:type="dxa" w:w="2880"/>
          </w:tcPr>
          <w:p>
            <w:r/>
            <w:r>
              <w:t>Seek recognition and affiliation; send students for public examinations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Educational</w:t>
            </w:r>
          </w:p>
        </w:tc>
      </w:tr>
      <w:tr>
        <w:tc>
          <w:tcPr>
            <w:tcW w:type="dxa" w:w="2880"/>
          </w:tcPr>
          <w:p>
            <w:r/>
            <w:r>
              <w:t>(f)</w:t>
            </w:r>
          </w:p>
        </w:tc>
        <w:tc>
          <w:tcPr>
            <w:tcW w:type="dxa" w:w="2880"/>
          </w:tcPr>
          <w:p>
            <w:r/>
            <w:r>
              <w:t>Acquire and alienate property; raise funds</w:t>
            </w:r>
          </w:p>
        </w:tc>
        <w:tc>
          <w:tcPr>
            <w:tcW w:type="dxa" w:w="2880"/>
          </w:tcPr>
          <w:p>
            <w:r/>
            <w:r>
              <w:t xml:space="preserve">Incidental power — assets </w:t>
            </w:r>
            <w:r>
              <w:rPr>
                <w:b/>
              </w:rPr>
              <w:t>in the Institute's name</w:t>
            </w:r>
          </w:p>
        </w:tc>
      </w:tr>
      <w:tr>
        <w:tc>
          <w:tcPr>
            <w:tcW w:type="dxa" w:w="2880"/>
          </w:tcPr>
          <w:p>
            <w:r/>
            <w:r>
              <w:t>(g)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Donations and aid to any other charity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⚠ barred for FC</w:t>
            </w:r>
          </w:p>
        </w:tc>
      </w:tr>
      <w:tr>
        <w:tc>
          <w:tcPr>
            <w:tcW w:type="dxa" w:w="2880"/>
          </w:tcPr>
          <w:p>
            <w:r/>
            <w:r>
              <w:t>(h)</w:t>
            </w:r>
          </w:p>
        </w:tc>
        <w:tc>
          <w:tcPr>
            <w:tcW w:type="dxa" w:w="2880"/>
          </w:tcPr>
          <w:p>
            <w:r/>
            <w:r>
              <w:t>Use all income for objects; no distribution of profits</w:t>
            </w:r>
          </w:p>
        </w:tc>
        <w:tc>
          <w:tcPr>
            <w:tcW w:type="dxa" w:w="2880"/>
          </w:tcPr>
          <w:p>
            <w:r/>
            <w:r>
              <w:t>Financial discipline — engages the 20% cap</w:t>
            </w:r>
          </w:p>
        </w:tc>
      </w:tr>
      <w:tr>
        <w:tc>
          <w:tcPr>
            <w:tcW w:type="dxa" w:w="2880"/>
          </w:tcPr>
          <w:p>
            <w:r/>
            <w:r>
              <w:t>(i)</w:t>
            </w:r>
          </w:p>
        </w:tc>
        <w:tc>
          <w:tcPr>
            <w:tcW w:type="dxa" w:w="2880"/>
          </w:tcPr>
          <w:p>
            <w:r/>
            <w:r>
              <w:t>Attain objects in accordance with the Laws of the Church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Religious</w:t>
            </w:r>
          </w:p>
        </w:tc>
      </w:tr>
      <w:tr>
        <w:tc>
          <w:tcPr>
            <w:tcW w:type="dxa" w:w="2880"/>
          </w:tcPr>
          <w:p>
            <w:r/>
            <w:r>
              <w:t>(j)</w:t>
            </w:r>
          </w:p>
        </w:tc>
        <w:tc>
          <w:tcPr>
            <w:tcW w:type="dxa" w:w="2880"/>
          </w:tcPr>
          <w:p>
            <w:r/>
            <w:r>
              <w:t>Acts conducive and incidental</w:t>
            </w:r>
          </w:p>
        </w:tc>
        <w:tc>
          <w:tcPr>
            <w:tcW w:type="dxa" w:w="2880"/>
          </w:tcPr>
          <w:p>
            <w:r/>
            <w:r>
              <w:t>Incidental</w:t>
            </w:r>
          </w:p>
        </w:tc>
      </w:tr>
    </w:tbl>
    <w:p>
      <w:pPr>
        <w:spacing w:after="80"/>
      </w:pPr>
    </w:p>
    <w:p>
      <w:pPr>
        <w:spacing w:before="280"/>
      </w:pPr>
      <w:r>
        <w:rPr>
          <w:b/>
          <w:color w:val="24406B"/>
          <w:sz w:val="34"/>
        </w:rPr>
        <w:t>⚠ The live barrier — Object (g)</w:t>
      </w:r>
    </w:p>
    <w:p>
      <w:r>
        <w:t xml:space="preserve">The charter authorises </w:t>
      </w:r>
      <w:r>
        <w:rPr>
          <w:b/>
        </w:rPr>
        <w:t>donations and aid to any other charity</w:t>
      </w:r>
      <w:r>
        <w:t xml:space="preserve">. Section 7, as amended in 2020, </w:t>
      </w:r>
      <w:r>
        <w:rPr>
          <w:b/>
        </w:rPr>
        <w:t>absolutely prohibits transferring foreign contribution to any other person or organisation</w:t>
      </w:r>
      <w:r>
        <w:t xml:space="preserve"> — including one that itself holds FCRA registration.</w:t>
      </w:r>
    </w:p>
    <w:p>
      <w:r>
        <w:rPr>
          <w:b/>
        </w:rPr>
        <w:t>Object (g) is exercisable with local funds only.</w:t>
      </w:r>
      <w:r>
        <w:t xml:space="preserve"> Any proposal to give FC as a grant, subvention, or assistance to another society, parish, congregation, or NGO — including within the same diocese or religious family — must be refused. Penalty: </w:t>
      </w:r>
      <w:r>
        <w:rPr>
          <w:b/>
        </w:rPr>
        <w:t>10% of the transferred amount or ₹1,00,000, whichever is higher, compoundable only once.</w:t>
      </w:r>
    </w:p>
    <w:p>
      <w:pPr>
        <w:spacing w:before="280"/>
      </w:pPr>
      <w:r>
        <w:rPr>
          <w:b/>
          <w:color w:val="24406B"/>
          <w:sz w:val="34"/>
        </w:rPr>
        <w:t>The two mapped purposes</w:t>
      </w:r>
    </w:p>
    <w:p>
      <w:pPr>
        <w:pStyle w:val="ListNumber"/>
      </w:pPr>
      <w:r>
        <w:rPr>
          <w:b/>
        </w:rPr>
        <w:t>EDUCATIONAL</w:t>
      </w:r>
      <w:r>
        <w:t xml:space="preserve"> — theological training of Roman Catholic priests and ministers for the Ecclesiastical Region of Bengal</w:t>
      </w:r>
    </w:p>
    <w:p>
      <w:pPr>
        <w:pStyle w:val="ListNumber"/>
      </w:pPr>
      <w:r>
        <w:rPr>
          <w:b/>
        </w:rPr>
        <w:t>RELIGIOUS</w:t>
      </w:r>
      <w:r>
        <w:t xml:space="preserve"> — religious education and formation </w:t>
      </w:r>
      <w:r>
        <w:rPr>
          <w:b/>
        </w:rPr>
        <w:t>without conversion</w:t>
      </w:r>
    </w:p>
    <w:p>
      <w:r>
        <w:rPr>
          <w:b/>
        </w:rPr>
        <w:t>Geography: West Bengal</w:t>
      </w:r>
      <w:r>
        <w:t xml:space="preserve"> — the Ecclesiastical Region of Bengal, comprising the Archdiocese of Calcutta with Krishnagar, Jalpaiguri, Baruipur and Raiganj. FC may not be utilised outside West Bengal without a Rule 17B amendment.</w:t>
      </w:r>
    </w:p>
    <w:p>
      <w:pPr>
        <w:spacing w:before="280"/>
      </w:pPr>
      <w:r>
        <w:rPr>
          <w:b/>
          <w:color w:val="24406B"/>
          <w:sz w:val="34"/>
        </w:rPr>
        <w:t>What this settles</w:t>
      </w:r>
    </w:p>
    <w:p>
      <w:r>
        <w:t xml:space="preserve">Because the approved purposes are Educational and Religious, </w:t>
      </w:r>
      <w:r>
        <w:rPr>
          <w:b/>
        </w:rPr>
        <w:t>seminary and college infrastructure is squarely in scope</w:t>
      </w:r>
      <w:r>
        <w:t xml:space="preserve"> — classroom smart boards, theological library archives, and seminary building repairs are all expressly justified. For any such item the only remaining question is </w:t>
      </w:r>
      <w:r>
        <w:rPr>
          <w:b/>
        </w:rPr>
        <w:t>programme or administrative</w:t>
      </w:r>
      <w:r>
        <w:t>.</w:t>
      </w:r>
    </w:p>
    <w:p>
      <w:r>
        <w:t xml:space="preserve">Conversely, anything falling under </w:t>
      </w:r>
      <w:r>
        <w:rPr>
          <w:b/>
        </w:rPr>
        <w:t>Social, Cultural, or Economic</w:t>
      </w:r>
      <w:r>
        <w:t xml:space="preserve"> — a destitute home, a livelihood project, a cultural festival — is </w:t>
      </w:r>
      <w:r>
        <w:rPr>
          <w:b/>
        </w:rPr>
        <w:t>outside BCPTI's registered purposes</w:t>
      </w:r>
      <w:r>
        <w:t>, however worthy, unless the certificate is first widened under Rule 17B.</w:t>
      </w:r>
    </w:p>
    <w:p>
      <w:pPr>
        <w:spacing w:before="280"/>
      </w:pPr>
      <w:r>
        <w:rPr>
          <w:b/>
          <w:color w:val="24406B"/>
          <w:sz w:val="34"/>
        </w:rPr>
        <w:t>Action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320"/>
            <w:shd w:val="clear" w:color="auto" w:fill="E4E9F1"/>
          </w:tcPr>
          <w:p>
            <w:r>
              <w:rPr>
                <w:b/>
              </w:rPr>
            </w:r>
            <w:r>
              <w:rPr>
                <w:b/>
              </w:rPr>
              <w:t>Deadline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File Form FC-6F</w:t>
            </w:r>
            <w:r>
              <w:t xml:space="preserve"> declaring purposes and States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22 June 2027</w:t>
            </w:r>
            <w:r>
              <w:t xml:space="preserve"> — file by </w:t>
            </w:r>
            <w:r>
              <w:rPr>
                <w:b/>
              </w:rPr>
              <w:t>31 March 2027</w:t>
            </w:r>
            <w:r>
              <w:t xml:space="preserve"> for buffer</w:t>
            </w:r>
          </w:p>
        </w:tc>
      </w:tr>
      <w:tr>
        <w:tc>
          <w:tcPr>
            <w:tcW w:type="dxa" w:w="4320"/>
          </w:tcPr>
          <w:p>
            <w:r/>
            <w:r>
              <w:t>Board resolution authorising the FC-6F filing</w:t>
            </w:r>
          </w:p>
        </w:tc>
        <w:tc>
          <w:tcPr>
            <w:tcW w:type="dxa" w:w="4320"/>
          </w:tcPr>
          <w:p>
            <w:r/>
            <w:r>
              <w:t>Before filing</w:t>
            </w:r>
          </w:p>
        </w:tc>
      </w:tr>
      <w:tr>
        <w:tc>
          <w:tcPr>
            <w:tcW w:type="dxa" w:w="4320"/>
          </w:tcPr>
          <w:p>
            <w:r/>
            <w:r>
              <w:t>Verify ₹10 lakh FC utilised over preceding two FYs (Rule 14A)</w:t>
            </w:r>
          </w:p>
        </w:tc>
        <w:tc>
          <w:tcPr>
            <w:tcW w:type="dxa" w:w="4320"/>
          </w:tcPr>
          <w:p>
            <w:r/>
            <w:r>
              <w:t>Before renewal</w:t>
            </w:r>
          </w:p>
        </w:tc>
      </w:tr>
      <w:tr>
        <w:tc>
          <w:tcPr>
            <w:tcW w:type="dxa" w:w="4320"/>
          </w:tcPr>
          <w:p>
            <w:r/>
            <w:r>
              <w:t>Maintain project-wise and location-wise ledgers for FC-4</w:t>
            </w:r>
          </w:p>
        </w:tc>
        <w:tc>
          <w:tcPr>
            <w:tcW w:type="dxa" w:w="4320"/>
          </w:tcPr>
          <w:p>
            <w:r/>
            <w:r>
              <w:t>Ongoing</w:t>
            </w:r>
          </w:p>
        </w:tc>
      </w:tr>
      <w:tr>
        <w:tc>
          <w:tcPr>
            <w:tcW w:type="dxa" w:w="4320"/>
          </w:tcPr>
          <w:p>
            <w:r/>
            <w:r>
              <w:t>Asset register distinguishing FC-funded from locally funded assets</w:t>
            </w:r>
          </w:p>
        </w:tc>
        <w:tc>
          <w:tcPr>
            <w:tcW w:type="dxa" w:w="4320"/>
          </w:tcPr>
          <w:p>
            <w:r/>
            <w:r>
              <w:t>Ongoing</w:t>
            </w:r>
          </w:p>
        </w:tc>
      </w:tr>
      <w:tr>
        <w:tc>
          <w:tcPr>
            <w:tcW w:type="dxa" w:w="4320"/>
          </w:tcPr>
          <w:p>
            <w:r/>
            <w:r>
              <w:t>Quarterly website disclosure of receipts and utilisation</w:t>
            </w:r>
          </w:p>
        </w:tc>
        <w:tc>
          <w:tcPr>
            <w:tcW w:type="dxa" w:w="4320"/>
          </w:tcPr>
          <w:p>
            <w:r/>
            <w:r>
              <w:t>Quarterly</w:t>
            </w:r>
          </w:p>
        </w:tc>
      </w:tr>
      <w:tr>
        <w:tc>
          <w:tcPr>
            <w:tcW w:type="dxa" w:w="4320"/>
          </w:tcPr>
          <w:p>
            <w:r/>
            <w:r>
              <w:t>Confirm no FC has been or will be applied under Object (g)</w:t>
            </w:r>
          </w:p>
        </w:tc>
        <w:tc>
          <w:tcPr>
            <w:tcW w:type="dxa" w:w="4320"/>
          </w:tcPr>
          <w:p>
            <w:r/>
            <w:r>
              <w:t>Immediate review</w:t>
            </w:r>
          </w:p>
        </w:tc>
      </w:tr>
    </w:tbl>
    <w:p>
      <w:pPr>
        <w:spacing w:after="80"/>
      </w:pP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