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The Self and the Absolute in Vedanta and the Christian Confession of God</w:t>
      </w:r>
    </w:p>
    <w:p>
      <w:pPr>
        <w:spacing w:after="60"/>
        <w:jc w:val="center"/>
      </w:pPr>
      <w:r>
        <w:rPr>
          <w:i/>
          <w:iCs/>
          <w:sz w:val="22"/>
          <w:szCs w:val="22"/>
        </w:rPr>
        <w:t xml:space="preserve">A Dialogical Reading of Advaita, Vishishtadvaita and Dvaita alongside Trinitarian and Grace Theology</w:t>
      </w:r>
    </w:p>
    <w:p>
      <w:pPr>
        <w:spacing w:after="240"/>
        <w:jc w:val="center"/>
      </w:pPr>
      <w:r>
        <w:rPr>
          <w:sz w:val="18"/>
          <w:szCs w:val="18"/>
        </w:rPr>
        <w:t xml:space="preserve">Morning Star Regional Seminary, Barrackpore — BTh Contextual Theology</w:t>
      </w:r>
    </w:p>
    <w:p>
      <w:pPr>
        <w:spacing w:after="120" w:line="260"/>
        <w:jc w:val="both"/>
      </w:pPr>
      <w:r>
        <w:rPr>
          <w:b/>
          <w:bCs/>
        </w:rPr>
        <w:t xml:space="preserve">Abstract. </w:t>
      </w:r>
      <w:r>
        <w:t xml:space="preserve">The three schools of Vedanta answer a single question in three ways: what is the relation between the individual self and the Absolute. This article sets that Vedantic question beside the Christian confession of God as Trinity and giver of grace. I proceed in four steps. I first state the shared question and the discipline that a comparison of this kind requires. I then place each school in turn beside a Christian locus: Sankara on non-duality beside the creator and creature distinction and the theology of grace; Ramanuja on the world as the body of God beside the Pauline body of Christ; and Madhva on eternal difference and loving dependence beside the bhakti strand of Christian mysticism. I read the encounter as one of mutual illumination rather than of conquest, while marking the points at which the two grammars resist each other. The aim is neither concordism nor refutation but a disciplined conversation useful for theology done in India.</w:t>
      </w:r>
    </w:p>
    <w:p>
      <w:pPr>
        <w:spacing w:after="220" w:line="260"/>
        <w:jc w:val="both"/>
      </w:pPr>
      <w:r>
        <w:rPr>
          <w:b/>
          <w:bCs/>
        </w:rPr>
        <w:t xml:space="preserve">Key words: </w:t>
      </w:r>
      <w:r>
        <w:t xml:space="preserve">Vedanta, Trinity, grace, advaita, body of Christ, bhakti, contextual theology, interreligious dialogue.</w:t>
      </w:r>
    </w:p>
    <w:p>
      <w:pPr>
        <w:pStyle w:val="Heading1"/>
        <w:spacing w:after="130" w:before="260"/>
      </w:pPr>
      <w:r>
        <w:t xml:space="preserve">The one question and the discipline it demands</w:t>
      </w:r>
    </w:p>
    <w:p>
      <w:pPr>
        <w:spacing w:after="160" w:line="276"/>
        <w:jc w:val="both"/>
      </w:pPr>
      <w:r>
        <w:rPr>
          <w:b w:val="false"/>
          <w:bCs w:val="false"/>
          <w:i w:val="false"/>
          <w:iCs w:val="false"/>
        </w:rPr>
        <w:t xml:space="preserve">Three teachers of the Vedanta read the same Upanishadic texts and confessed the same word for the Absolute, Brahman, and yet divided permanently on one point: the relation between the individual self, atman or jiva, and that Absolute. Sankara answered with identity, Ramanuja with distinction inside inseparable union, and Madhva with eternal separation in loving dependence. The tripartite mapping is now standard in the textbooks, and it is worth holding it exactly, because a careless gloss loses the argument.</w:t>
      </w:r>
      <w:r>
        <w:rPr>
          <w:rStyle w:val="FootnoteReference"/>
        </w:rPr>
        <w:footnoteReference w:id="1"/>
      </w:r>
    </w:p>
    <w:p>
      <w:pPr>
        <w:spacing w:after="160" w:line="276"/>
        <w:jc w:val="both"/>
      </w:pPr>
      <w:r>
        <w:t xml:space="preserve">A word of method is required before any bridge is built. A comparison of doctrines is not a search for hidden sameness. The Vedantic schools argue within a grammar in which liberation, moksha, is release from a beginningless round of birth and death, and in which the Absolute is finally impersonal for one school and personal for the other two. The Christian confession argues within a grammar in which God is triune, creation is from nothing, and salvation is the free self-gift of God in Christ. To force one grammar into the other is to lose both. The honest gain of a comparison lies elsewhere: each tradition, pressed by the questions of the other, is driven back to state its own claim with more precision. That is the sense in which the following pages speak of mutual illumination.</w:t>
      </w:r>
    </w:p>
    <w:p>
      <w:pPr>
        <w:pStyle w:val="Heading1"/>
        <w:spacing w:after="130" w:before="260"/>
      </w:pPr>
      <w:r>
        <w:t xml:space="preserve">Sankara and the Christian grammar of creator, creature and grace</w:t>
      </w:r>
    </w:p>
    <w:p>
      <w:pPr>
        <w:spacing w:after="160" w:line="276"/>
        <w:jc w:val="both"/>
      </w:pPr>
      <w:r>
        <w:rPr>
          <w:b w:val="false"/>
          <w:bCs w:val="false"/>
          <w:i w:val="false"/>
          <w:iCs w:val="false"/>
        </w:rPr>
        <w:t xml:space="preserve">Sankara teaches advaita, non-duality. Brahman alone is real; the self is not similar to Brahman but identical with it; and the appearance of a separate self and a plural world is the work of maya, a beginningless not-knowing that is removed, not by devotion or by works, but by saving knowledge, jnana. The seal of the teaching is the great saying, </w:t>
      </w:r>
      <w:r>
        <w:rPr>
          <w:b w:val="false"/>
          <w:bCs w:val="false"/>
          <w:i/>
          <w:iCs/>
        </w:rPr>
        <w:t xml:space="preserve">aham brahmasmi</w:t>
      </w:r>
      <w:r>
        <w:rPr>
          <w:b w:val="false"/>
          <w:bCs w:val="false"/>
          <w:i w:val="false"/>
          <w:iCs w:val="false"/>
        </w:rPr>
        <w:t xml:space="preserve">, I am Brahman. Liberation is therefore not the crossing of a distance but the waking from a mistake.</w:t>
      </w:r>
      <w:r>
        <w:rPr>
          <w:rStyle w:val="FootnoteReference"/>
        </w:rPr>
        <w:footnoteReference w:id="2"/>
      </w:r>
    </w:p>
    <w:p>
      <w:pPr>
        <w:spacing w:after="160" w:line="276"/>
        <w:jc w:val="both"/>
      </w:pPr>
      <w:r>
        <w:rPr>
          <w:b w:val="false"/>
          <w:bCs w:val="false"/>
          <w:i w:val="false"/>
          <w:iCs w:val="false"/>
        </w:rPr>
        <w:t xml:space="preserve">A precision must be added at once, because it governs everything that follows. The Brahman with which the self is identical is, at the highest level, </w:t>
      </w:r>
      <w:r>
        <w:rPr>
          <w:b w:val="false"/>
          <w:bCs w:val="false"/>
          <w:i/>
          <w:iCs/>
        </w:rPr>
        <w:t xml:space="preserve">nirguna</w:t>
      </w:r>
      <w:r>
        <w:rPr>
          <w:b w:val="false"/>
          <w:bCs w:val="false"/>
          <w:i w:val="false"/>
          <w:iCs w:val="false"/>
        </w:rPr>
        <w:t xml:space="preserve">, without qualities. A personal God endowed with attributes, </w:t>
      </w:r>
      <w:r>
        <w:rPr>
          <w:b w:val="false"/>
          <w:bCs w:val="false"/>
          <w:i/>
          <w:iCs/>
        </w:rPr>
        <w:t xml:space="preserve">saguna</w:t>
      </w:r>
      <w:r>
        <w:rPr>
          <w:b w:val="false"/>
          <w:bCs w:val="false"/>
          <w:i w:val="false"/>
          <w:iCs w:val="false"/>
        </w:rPr>
        <w:t xml:space="preserve"> Brahman, belongs for Sankara to a true but provisional level of speech. This is the exact nerve on which the Christian confession and advaita meet and part.</w:t>
      </w:r>
      <w:r>
        <w:rPr>
          <w:rStyle w:val="FootnoteReference"/>
        </w:rPr>
        <w:footnoteReference w:id="3"/>
      </w:r>
    </w:p>
    <w:p>
      <w:pPr>
        <w:spacing w:after="160" w:line="276"/>
        <w:jc w:val="both"/>
      </w:pPr>
      <w:r>
        <w:rPr>
          <w:b w:val="false"/>
          <w:bCs w:val="false"/>
          <w:i w:val="false"/>
          <w:iCs w:val="false"/>
        </w:rPr>
        <w:t xml:space="preserve">The Christian grammar rests on a distinction that advaita, at its summit, dissolves. Between the creator and the creature, the Fourth Lateran Council taught, no likeness can be asserted without a greater unlikeness always being implied. The creature is not an appearance of God and not a portion of God; it is called out of nothing and held in being by a love that remains other than it.</w:t>
      </w:r>
      <w:r>
        <w:rPr>
          <w:rStyle w:val="FootnoteReference"/>
        </w:rPr>
        <w:footnoteReference w:id="5"/>
      </w:r>
    </w:p>
    <w:p>
      <w:pPr>
        <w:spacing w:after="160" w:line="276"/>
        <w:jc w:val="both"/>
      </w:pPr>
      <w:r>
        <w:t xml:space="preserve">Read as rivals, the two claims simply contradict each other, and the conversation ends. Read as mutual illumination, each sharpens the other. Advaita presses the Christian to confess more strictly that God is not one being among beings, not an item in the inventory of the world, and that the creature has no independent standing whatever apart from the divine act that sustains it. The Christian tradition has its own austere version of this in the language of participation: the creature has being only by sharing, moment to moment, in the being of God. Advaita, in turn, is pressed by the Christian to ask whether the abolition of all distinction does justice to love, which requires an other to be loved.</w:t>
      </w:r>
    </w:p>
    <w:p>
      <w:pPr>
        <w:spacing w:after="160" w:line="276"/>
        <w:jc w:val="both"/>
      </w:pPr>
      <w:r>
        <w:rPr>
          <w:b w:val="false"/>
          <w:bCs w:val="false"/>
          <w:i w:val="false"/>
          <w:iCs w:val="false"/>
        </w:rPr>
        <w:t xml:space="preserve">The theology of grace is where this pressure becomes fruitful. In the Christian confession the final union of the creature with God is itself a gift, not an achievement of knowledge; it is the free descent of God, not the self recovering what it always was. The Trinitarian ground of this is that God is already, in the divine life, a communion of persons in relation. The Father is Father only in relation to the Son; personhood in God is not a substance turned in on itself but a being that is wholly a being toward the other. Here the Christian answer to advaita is not a flat denial of union but a different account of it: the deepest union is not the erasure of the two but a communion so complete that the distinction of the lover and the beloved is not lost but fulfilled.</w:t>
      </w:r>
      <w:r>
        <w:rPr>
          <w:rStyle w:val="FootnoteReference"/>
        </w:rPr>
        <w:footnoteReference w:id="6"/>
      </w:r>
    </w:p>
    <w:p>
      <w:pPr>
        <w:spacing w:after="160" w:line="276"/>
        <w:jc w:val="both"/>
      </w:pPr>
      <w:r>
        <w:rPr>
          <w:b w:val="false"/>
          <w:bCs w:val="false"/>
          <w:i w:val="false"/>
          <w:iCs w:val="false"/>
        </w:rPr>
        <w:t xml:space="preserve">This meeting has a concrete Indian history. Brahmabandhab Upadhyay proposed advaita as the natural philosophical vestibule for Christian theology in India, and later Henri Le Saux, Abhishiktananda, lived the tension of the advaitic experience and the Trinitarian confession without dissolving it. Their unfinished work is precisely the site of the mutual illumination described here, and its unresolved character is instructive rather than embarrassing.</w:t>
      </w:r>
      <w:r>
        <w:rPr>
          <w:rStyle w:val="FootnoteReference"/>
        </w:rPr>
        <w:footnoteReference w:id="4"/>
      </w:r>
    </w:p>
    <w:p>
      <w:pPr>
        <w:spacing w:after="160" w:line="276"/>
        <w:jc w:val="both"/>
      </w:pPr>
      <w:r>
        <w:t xml:space="preserve">The judgement to be recorded is therefore twofold. Advaita gives the Christian a purifying discipline against every idolatry that would make God a large creature. The Christian confession gives advaita a question it must keep answering: whether love survives the loss of the beloved as other.</w:t>
      </w:r>
    </w:p>
    <w:p>
      <w:pPr>
        <w:pStyle w:val="Heading1"/>
        <w:spacing w:after="130" w:before="260"/>
      </w:pPr>
      <w:r>
        <w:t xml:space="preserve">Ramanuja and the Pauline body of God</w:t>
      </w:r>
    </w:p>
    <w:p>
      <w:pPr>
        <w:spacing w:after="160" w:line="276"/>
        <w:jc w:val="both"/>
      </w:pPr>
      <w:r>
        <w:rPr>
          <w:b w:val="false"/>
          <w:bCs w:val="false"/>
          <w:i w:val="false"/>
          <w:iCs w:val="false"/>
        </w:rPr>
        <w:t xml:space="preserve">Ramanuja teaches vishishtadvaita, qualified non-duality. Against Sankara he holds that the world and the finite selves are wholly real and not an appearance to be dispelled. Against a bare dualism he holds that they are not separate from Brahman. His governing image is precise and worth recovering in its own terms: the </w:t>
      </w:r>
      <w:r>
        <w:rPr>
          <w:b w:val="false"/>
          <w:bCs w:val="false"/>
          <w:i/>
          <w:iCs/>
        </w:rPr>
        <w:t xml:space="preserve">sarira-sariri-bhava</w:t>
      </w:r>
      <w:r>
        <w:rPr>
          <w:b w:val="false"/>
          <w:bCs w:val="false"/>
          <w:i w:val="false"/>
          <w:iCs w:val="false"/>
        </w:rPr>
        <w:t xml:space="preserve">, the relation of body to embodied self. The finite selves and the material world stand to Brahman as a body stands to the self that indwells and rules it. They are real, distinct, and utterly dependent; Brahman is their inner self, </w:t>
      </w:r>
      <w:r>
        <w:rPr>
          <w:b w:val="false"/>
          <w:bCs w:val="false"/>
          <w:i/>
          <w:iCs/>
        </w:rPr>
        <w:t xml:space="preserve">antaryamin</w:t>
      </w:r>
      <w:r>
        <w:rPr>
          <w:b w:val="false"/>
          <w:bCs w:val="false"/>
          <w:i w:val="false"/>
          <w:iCs w:val="false"/>
        </w:rPr>
        <w:t xml:space="preserve">. The Absolute here is unambiguously personal, saguna, a God with attributes and with a name.</w:t>
      </w:r>
      <w:r>
        <w:rPr>
          <w:rStyle w:val="FootnoteReference"/>
        </w:rPr>
        <w:footnoteReference w:id="7"/>
      </w:r>
    </w:p>
    <w:p>
      <w:pPr>
        <w:spacing w:after="160" w:line="276"/>
        <w:jc w:val="both"/>
      </w:pPr>
      <w:r>
        <w:rPr>
          <w:b w:val="false"/>
          <w:bCs w:val="false"/>
          <w:i w:val="false"/>
          <w:iCs w:val="false"/>
        </w:rPr>
        <w:t xml:space="preserve">The classroom image makes the structure visible. A living body is one organism, and yet it is composed of countless cells, each with an identity of its own, none able to exist outside the body. The cells are neither the whole body nor separate from it. So, for Ramanuja, the self is a real part within the one reality of God, distinct yet inseparable.</w:t>
      </w:r>
      <w:r>
        <w:rPr>
          <w:rStyle w:val="FootnoteReference"/>
        </w:rPr>
        <w:footnoteReference w:id="8"/>
      </w:r>
    </w:p>
    <w:p>
      <w:pPr>
        <w:spacing w:after="160" w:line="276"/>
        <w:jc w:val="both"/>
      </w:pPr>
      <w:r>
        <w:rPr>
          <w:b w:val="false"/>
          <w:bCs w:val="false"/>
          <w:i w:val="false"/>
          <w:iCs w:val="false"/>
        </w:rPr>
        <w:t xml:space="preserve">The Christian ear hears at once the Pauline phrase, the body of Christ, soma Christou. The many members are one body, and the members do not cease to be many by being one (see 1 Cor 12:12 to 27; Rom 12:4 to 5). The parallel is genuine and it is illuminating: both grammars refuse the two errors that Ramanuja set himself against, the error that would collapse all difference into a single undifferentiated reality and the error that would scatter reality into disconnected units. Both hold unity and real distinction together in one figure of an organic whole.</w:t>
      </w:r>
      <w:r>
        <w:rPr>
          <w:rStyle w:val="FootnoteReference"/>
        </w:rPr>
        <w:footnoteReference w:id="9"/>
      </w:r>
    </w:p>
    <w:p>
      <w:pPr>
        <w:spacing w:after="160" w:line="276"/>
        <w:jc w:val="both"/>
      </w:pPr>
      <w:r>
        <w:t xml:space="preserve">The discipline of the comparison lies in naming where the figures diverge, for the same image carries two different loads. For Ramanuja the body and self relation is metaphysical and permanent: the world is eternally the body of God, and this describes the structure of all reality as such. For Paul the body of Christ is not the structure of the cosmos but the new reality of the Church, the community drawn into Christ by the Spirit through baptism and the one bread (see 1 Cor 10:16 to 17). It is a soteriological and ecclesial claim, not a cosmology. The one figure answers the question, what is the world, in Ramanuja; and the question, what is the Church, in Paul.</w:t>
      </w:r>
    </w:p>
    <w:p>
      <w:pPr>
        <w:spacing w:after="160" w:line="276"/>
        <w:jc w:val="both"/>
      </w:pPr>
      <w:r>
        <w:rPr>
          <w:b w:val="false"/>
          <w:bCs w:val="false"/>
          <w:i w:val="false"/>
          <w:iCs w:val="false"/>
        </w:rPr>
        <w:t xml:space="preserve">The Second Vatican Council preserves exactly the tension that makes the comparison fruitful. The Church is the body of Christ, and yet Christ the head is distinct from the body and gives it life from beyond it. The union is intimate to the point that Christ can say of the persecuted disciples, why do you persecute me (Acts 9:4), and yet the union never abolishes the distinction of the head and the members, or of the Bridegroom and the Bride. This is close to the double insistence of Ramanuja, that the self is inseparable from Brahman and yet never simply Brahman.</w:t>
      </w:r>
      <w:r>
        <w:rPr>
          <w:rStyle w:val="FootnoteReference"/>
        </w:rPr>
        <w:footnoteReference w:id="10"/>
      </w:r>
    </w:p>
    <w:p>
      <w:pPr>
        <w:spacing w:after="160" w:line="276"/>
        <w:jc w:val="both"/>
      </w:pPr>
      <w:r>
        <w:t xml:space="preserve">The gain runs in both directions. Ramanuja offers Indian Christian theology a ready and rigorous grammar for the indwelling of God in the world and in the self, a grammar in which dependence is not degradation and in which distinction is not distance. Christian theology offers Ramanuja the further question of history: whether the body of God is only the standing structure of the world, or whether it is also a body being gathered, healed and brought to its end in time.</w:t>
      </w:r>
    </w:p>
    <w:p>
      <w:pPr>
        <w:pStyle w:val="Heading1"/>
        <w:spacing w:after="130" w:before="260"/>
      </w:pPr>
      <w:r>
        <w:t xml:space="preserve">Madhva and the bhakti strand of Christian mysticism</w:t>
      </w:r>
    </w:p>
    <w:p>
      <w:pPr>
        <w:spacing w:after="160" w:line="276"/>
        <w:jc w:val="both"/>
      </w:pPr>
      <w:r>
        <w:rPr>
          <w:b w:val="false"/>
          <w:bCs w:val="false"/>
          <w:i w:val="false"/>
          <w:iCs w:val="false"/>
        </w:rPr>
        <w:t xml:space="preserve">Madhva teaches dvaita, dualism. Here the correction of the caption matters, since dvaita is dualism and not, as a careless gloss sometimes has it, a second non-dualism. Madhva holds a fivefold and permanent difference, </w:t>
      </w:r>
      <w:r>
        <w:rPr>
          <w:b w:val="false"/>
          <w:bCs w:val="false"/>
          <w:i/>
          <w:iCs/>
        </w:rPr>
        <w:t xml:space="preserve">pancabheda</w:t>
      </w:r>
      <w:r>
        <w:rPr>
          <w:b w:val="false"/>
          <w:bCs w:val="false"/>
          <w:i w:val="false"/>
          <w:iCs w:val="false"/>
        </w:rPr>
        <w:t xml:space="preserve">: between God and the self, between God and matter, between one self and another, between self and matter, and between one material thing and another. The self is real, God is real, and the gulf is eternal. Liberation is not becoming God. It is the self, keeping its own identity forever, entering the unending loving service of God.</w:t>
      </w:r>
      <w:r>
        <w:rPr>
          <w:rStyle w:val="FootnoteReference"/>
        </w:rPr>
        <w:footnoteReference w:id="11"/>
      </w:r>
    </w:p>
    <w:p>
      <w:pPr>
        <w:spacing w:after="160" w:line="276"/>
        <w:jc w:val="both"/>
      </w:pPr>
      <w:r>
        <w:rPr>
          <w:b w:val="false"/>
          <w:bCs w:val="false"/>
          <w:i w:val="false"/>
          <w:iCs w:val="false"/>
        </w:rPr>
        <w:t xml:space="preserve">The metaphysical spine of the teaching is a single distinction: God alone is </w:t>
      </w:r>
      <w:r>
        <w:rPr>
          <w:b w:val="false"/>
          <w:bCs w:val="false"/>
          <w:i/>
          <w:iCs/>
        </w:rPr>
        <w:t xml:space="preserve">svatantra</w:t>
      </w:r>
      <w:r>
        <w:rPr>
          <w:b w:val="false"/>
          <w:bCs w:val="false"/>
          <w:i w:val="false"/>
          <w:iCs w:val="false"/>
        </w:rPr>
        <w:t xml:space="preserve">, independent reality, while every self and every thing is </w:t>
      </w:r>
      <w:r>
        <w:rPr>
          <w:b w:val="false"/>
          <w:bCs w:val="false"/>
          <w:i/>
          <w:iCs/>
        </w:rPr>
        <w:t xml:space="preserve">paratantra</w:t>
      </w:r>
      <w:r>
        <w:rPr>
          <w:b w:val="false"/>
          <w:bCs w:val="false"/>
          <w:i w:val="false"/>
          <w:iCs w:val="false"/>
        </w:rPr>
        <w:t xml:space="preserve">, dependent reality. The devotee therefore wishes to taste the sweetness of God and not to become the sweetness; for to taste it, one must remain other than it. A union that dissolved the self would destroy the very relation of love it was meant to consummate.</w:t>
      </w:r>
      <w:r>
        <w:rPr>
          <w:rStyle w:val="FootnoteReference"/>
        </w:rPr>
        <w:footnoteReference w:id="12"/>
      </w:r>
    </w:p>
    <w:p>
      <w:pPr>
        <w:spacing w:after="160" w:line="276"/>
        <w:jc w:val="both"/>
      </w:pPr>
      <w:r>
        <w:rPr>
          <w:b w:val="false"/>
          <w:bCs w:val="false"/>
          <w:i w:val="false"/>
          <w:iCs w:val="false"/>
        </w:rPr>
        <w:t xml:space="preserve">This is the Vedantic school closest in structure to the great tradition of Christian bhakti, the mysticism of loving union that never claims to abolish the distinction of the soul and God. It stands near the devotional world of the Alvars and the later bhakti poets, for whom the whole of religion is the self-surrender, prapatti, of the servant to the Lord.</w:t>
      </w:r>
      <w:r>
        <w:rPr>
          <w:rStyle w:val="FootnoteReference"/>
        </w:rPr>
        <w:footnoteReference w:id="13"/>
      </w:r>
    </w:p>
    <w:p>
      <w:pPr>
        <w:spacing w:after="160" w:line="276"/>
        <w:jc w:val="both"/>
      </w:pPr>
      <w:r>
        <w:rPr>
          <w:b w:val="false"/>
          <w:bCs w:val="false"/>
          <w:i w:val="false"/>
          <w:iCs w:val="false"/>
        </w:rPr>
        <w:t xml:space="preserve">Christian mystical theology at its most careful says something structurally similar. Teresa of Avila describes the spiritual marriage of the innermost dwelling as a union so complete that the two become, in her image, like rain fallen into a river; and yet she insists that the soul does not cease to be itself, and can still withdraw from God. Bernard of Clairvaux teaches a union of wills, not of substances: the drop of water seems to lose itself in the wine and to take its colour and taste, yet the substance of the water remains. The Christian tradition, that is, has always guarded against the reading in which the creature is simply absorbed. Its highest union is a union of love, in which the two are one and remain two.</w:t>
      </w:r>
      <w:r>
        <w:rPr>
          <w:rStyle w:val="FootnoteReference"/>
        </w:rPr>
        <w:footnoteReference w:id="14"/>
      </w:r>
    </w:p>
    <w:p>
      <w:pPr>
        <w:spacing w:after="160" w:line="276"/>
        <w:jc w:val="both"/>
      </w:pPr>
      <w:r>
        <w:t xml:space="preserve">The convergence is real, and so is the difference that keeps the comparison honest. For Madhva the eternal separation is a fixed law of being, and it even carries a hard corollary foreign to the Christian confession, a gradation of souls in which some are held to be fitted only for bondage. The Christian bhakta guards the distinction of the soul and God not because being decrees an unbridgeable gulf, but because love requires two, and because the God who remains other is the same God who has already crossed the distance from his own side in the incarnation. The distinction is preserved, in the Christian grammar, by grace and for love, not by metaphysical necessity.</w:t>
      </w:r>
    </w:p>
    <w:p>
      <w:pPr>
        <w:spacing w:after="160" w:line="276"/>
        <w:jc w:val="both"/>
      </w:pPr>
      <w:r>
        <w:rPr>
          <w:b w:val="false"/>
          <w:bCs w:val="false"/>
          <w:i w:val="false"/>
          <w:iCs w:val="false"/>
        </w:rPr>
        <w:t xml:space="preserve">It is worth adding that the grace question is not foreign to this Vedantic world. The Tamil Srivaishnava tradition that flows from Ramanuja and stands near Madhva in its devotion divided precisely over grace: whether the soul is saved as the young monkey saves itself by gripping its mother, or as the kitten is carried wholly passive in the mouth of the cat. The debate over whether salvation is cooperation or sheer gift is therefore not a Christian import into India but a living Indian argument in its own right, and the Christian theology of grace enters a conversation already under way.</w:t>
      </w:r>
      <w:r>
        <w:rPr>
          <w:rStyle w:val="FootnoteReference"/>
        </w:rPr>
        <w:footnoteReference w:id="19"/>
      </w:r>
    </w:p>
    <w:p>
      <w:pPr>
        <w:pStyle w:val="Heading1"/>
        <w:spacing w:after="130" w:before="260"/>
      </w:pPr>
      <w:r>
        <w:t xml:space="preserve">Toward a contextual reading</w:t>
      </w:r>
    </w:p>
    <w:p>
      <w:pPr>
        <w:spacing w:after="160" w:line="276"/>
        <w:jc w:val="both"/>
      </w:pPr>
      <w:r>
        <w:rPr>
          <w:b w:val="false"/>
          <w:bCs w:val="false"/>
          <w:i w:val="false"/>
          <w:iCs w:val="false"/>
        </w:rPr>
        <w:t xml:space="preserve">A contextual theology done in India need not choose one school and canonise it. Michael Amaladoss reads the advaitin and the bhakta not as enemies but as two Indian faces of the one mystery, the face that knows God as the ground nearer to the self than the self is to itself, and the face that knows God as the Beloved before whom the self stands in adoration. Christian theology can receive both, because the God it confesses is both the ground of being and the personal Lord who calls each by name.</w:t>
      </w:r>
      <w:r>
        <w:rPr>
          <w:rStyle w:val="FootnoteReference"/>
        </w:rPr>
        <w:footnoteReference w:id="15"/>
      </w:r>
    </w:p>
    <w:p>
      <w:pPr>
        <w:spacing w:after="160" w:line="276"/>
        <w:jc w:val="both"/>
      </w:pPr>
      <w:r>
        <w:rPr>
          <w:b w:val="false"/>
          <w:bCs w:val="false"/>
          <w:i w:val="false"/>
          <w:iCs w:val="false"/>
        </w:rPr>
        <w:t xml:space="preserve">Raimon Panikkar pressed this further, correlating the three moments of the Trinitarian life with three great religious attitudes, and reading advaita as a witness to the apophatic depth of the Godhead that Christian theology names Father, source without source. The correlation is suggestive and it is also contested, and it should be held with the caution that its critics rightly urge, lest the living difference of the traditions be flattened into a tidy scheme.</w:t>
      </w:r>
      <w:r>
        <w:rPr>
          <w:rStyle w:val="FootnoteReference"/>
        </w:rPr>
        <w:footnoteReference w:id="16"/>
      </w:r>
    </w:p>
    <w:p>
      <w:pPr>
        <w:spacing w:after="160" w:line="276"/>
        <w:jc w:val="both"/>
      </w:pPr>
      <w:r>
        <w:rPr>
          <w:b w:val="false"/>
          <w:bCs w:val="false"/>
          <w:i w:val="false"/>
          <w:iCs w:val="false"/>
        </w:rPr>
        <w:t xml:space="preserve">George Soares-Prabhu warned that theology in India suffers a threefold alienation, from the Indian great tradition, from the little traditions of the poor, and from the liberative core of the Gospel itself. A comparison of the present kind serves the first healing only if it does not forget the others. The self and the Absolute are not discussed in the abstract by the labourer of Bengal or the Adivasi of the forests; the question of who God is and who I am before God is asked, for them, within hunger, displacement and caste. A bridge between Vedanta and the Christian confession of God earns its keep only when it also opens onto that ground.</w:t>
      </w:r>
      <w:r>
        <w:rPr>
          <w:rStyle w:val="FootnoteReference"/>
        </w:rPr>
        <w:footnoteReference w:id="17"/>
      </w:r>
    </w:p>
    <w:p>
      <w:pPr>
        <w:spacing w:after="160" w:line="276"/>
        <w:jc w:val="both"/>
      </w:pPr>
      <w:r>
        <w:rPr>
          <w:b w:val="false"/>
          <w:bCs w:val="false"/>
          <w:i w:val="false"/>
          <w:iCs w:val="false"/>
        </w:rPr>
        <w:t xml:space="preserve">The provisional character of every such bridge is not a weakness to be hidden. Jacques Dupuis, who worked this seam with care, judged the correlation of Trinitarian and Vedantic structures to be at once promising and perpetually in need of correction, a task never finished. That verdict is the right note on which to end, since it keeps the conversation open where a false synthesis would close it.</w:t>
      </w:r>
      <w:r>
        <w:rPr>
          <w:rStyle w:val="FootnoteReference"/>
        </w:rPr>
        <w:footnoteReference w:id="18"/>
      </w:r>
    </w:p>
    <w:p>
      <w:pPr>
        <w:pStyle w:val="Heading1"/>
        <w:spacing w:after="130" w:before="260"/>
      </w:pPr>
      <w:r>
        <w:t xml:space="preserve">Conclusion</w:t>
      </w:r>
    </w:p>
    <w:p>
      <w:pPr>
        <w:spacing w:after="160" w:line="276"/>
        <w:jc w:val="both"/>
      </w:pPr>
      <w:r>
        <w:t xml:space="preserve">The single Vedantic question returns, at the close, transfigured by the Christian confession rather than answered away by it. Strip the self of body and mind, the schools say, and name what remains. Advaita answers, name it Brahman, for that is all you ever were, and it thereby guards the theologian against every idol that would make God a creature. Ramanuja answers, name it a real part within the one God, and thereby gives the doctrine of the indwelling Spirit a grammar of dependence without degradation. Madhva answers, name it a servant forever facing the Lord it loves, and thereby stands as witness that love requires an other. The Christian confession of God as Trinity and as giver of grace does not select among these three. It holds that the God who is nearer to me than I am to myself is the same God who stands before me as the Beloved, and that this is possible because God is, in the divine life itself, a communion of persons whose unity is not the loss of the other but its perfect love. India has asked the question with unmatched seriousness. The task set before a theology done here is to keep the question open, and to answer it not only in the lecture room but on the ground where the poor ask it in their own words.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For the standard tripartite mapping see Sarvepalli Radhakrishnan, Indian Philosophy, vol. 2 (London: George Allen and Unwin, 1927), 656 to 765; and, for a compact comparative account, Eric Lott, Vedantic Approaches to God (London: Macmillan, 1980).</w:t>
      </w:r>
    </w:p>
  </w:footnote>
  <w:footnote w:id="2">
    <w:p>
      <w:r>
        <w:rPr>
          <w:rStyle w:val="FootnoteReference"/>
        </w:rPr>
        <w:footnoteRef/>
      </w:r>
      <w:r>
        <w:t xml:space="preserve">Sankara, Brahmasutrabhasya I.1.4, in The Vedanta Sutras with the Commentary of Sankaracarya, trans. George Thibaut, Sacred Books of the East 34 and 38 (Oxford: Clarendon Press, 1890 and 1896).</w:t>
      </w:r>
    </w:p>
  </w:footnote>
  <w:footnote w:id="3">
    <w:p>
      <w:r>
        <w:rPr>
          <w:rStyle w:val="FootnoteReference"/>
        </w:rPr>
        <w:footnoteRef/>
      </w:r>
      <w:r>
        <w:t xml:space="preserve">On the nirguna and saguna distinction see Sankara on Brahmasutra I.1.11; and the analysis in Bradley J. Malkovsky, The Role of Divine Grace in the Soteriology of Samkaracarya (Leiden: Brill, 2001), 66 to 92.</w:t>
      </w:r>
    </w:p>
  </w:footnote>
  <w:footnote w:id="4">
    <w:p>
      <w:r>
        <w:rPr>
          <w:rStyle w:val="FootnoteReference"/>
        </w:rPr>
        <w:footnoteRef/>
      </w:r>
      <w:r>
        <w:t xml:space="preserve">Brahmabandhab Upadhyay proposed advaita as the philosophical vestibule of Christian theology in India. See Julius J. Lipner, Brahmabandhab Upadhyay: The Life and Thought of a Revolutionary (Delhi: Oxford University Press, 1999), 191 to 230. On the lived tension of the advaitic experience within the Trinitarian confession see Henri Le Saux (Abhishiktananda), Saccidananda: A Christian Approach to Advaitic Experience (Delhi: ISPCK, 1974).</w:t>
      </w:r>
    </w:p>
  </w:footnote>
  <w:footnote w:id="5">
    <w:p>
      <w:r>
        <w:rPr>
          <w:rStyle w:val="FootnoteReference"/>
        </w:rPr>
        <w:footnoteRef/>
      </w:r>
      <w:r>
        <w:t xml:space="preserve">Fourth Lateran Council (1215), Constitution 2: between Creator and creature no similitude can be expressed without implying a greater dissimilitude. See Norman P. Tanner, ed., Decrees of the Ecumenical Councils, vol. 1 (London: Sheed and Ward, 1990), 232.</w:t>
      </w:r>
    </w:p>
  </w:footnote>
  <w:footnote w:id="6">
    <w:p>
      <w:r>
        <w:rPr>
          <w:rStyle w:val="FootnoteReference"/>
        </w:rPr>
        <w:footnoteRef/>
      </w:r>
      <w:r>
        <w:t xml:space="preserve">Joseph Ratzinger, Introduction to Christianity, trans. J. R. Foster (San Francisco: Ignatius Press, 2004), 158 to 190, on person and relation in Trinitarian theology.</w:t>
      </w:r>
    </w:p>
  </w:footnote>
  <w:footnote w:id="7">
    <w:p>
      <w:r>
        <w:rPr>
          <w:rStyle w:val="FootnoteReference"/>
        </w:rPr>
        <w:footnoteRef/>
      </w:r>
      <w:r>
        <w:t xml:space="preserve">Ramanuja, Sribhasya II.1.9 and II.3.41 to 46, in The Vedanta Sutras with the Commentary of Ramanuja, trans. George Thibaut, Sacred Books of the East 48 (Oxford: Clarendon Press, 1904).</w:t>
      </w:r>
    </w:p>
  </w:footnote>
  <w:footnote w:id="8">
    <w:p>
      <w:r>
        <w:rPr>
          <w:rStyle w:val="FootnoteReference"/>
        </w:rPr>
        <w:footnoteRef/>
      </w:r>
      <w:r>
        <w:t xml:space="preserve">The sarira-sariri-bhava (body and self relation) is set out in Ramanuja, Sribhasya II.1.9. See John B. Carman, The Theology of Ramanuja (New Haven: Yale University Press, 1974), 124 to 133.</w:t>
      </w:r>
    </w:p>
  </w:footnote>
  <w:footnote w:id="9">
    <w:p>
      <w:r>
        <w:rPr>
          <w:rStyle w:val="FootnoteReference"/>
        </w:rPr>
        <w:footnoteRef/>
      </w:r>
      <w:r>
        <w:t xml:space="preserve">On the Pauline soma Christou see Ernst Kasemann, Perspectives on Paul, trans. Margaret Kohl (London: SCM Press, 1971), 102 to 121; and, for the disputed extent of the metaphor, John A. T. Robinson, The Body: A Study in Pauline Theology (London: SCM Press, 1952).</w:t>
      </w:r>
    </w:p>
  </w:footnote>
  <w:footnote w:id="10">
    <w:p>
      <w:r>
        <w:rPr>
          <w:rStyle w:val="FootnoteReference"/>
        </w:rPr>
        <w:footnoteRef/>
      </w:r>
      <w:r>
        <w:t xml:space="preserve">Lumen Gentium 7, in Austin Flannery, ed., Vatican Council II: The Conciliar and Post Conciliar Documents (Collegeville: Liturgical Press, 1975).</w:t>
      </w:r>
    </w:p>
  </w:footnote>
  <w:footnote w:id="11">
    <w:p>
      <w:r>
        <w:rPr>
          <w:rStyle w:val="FootnoteReference"/>
        </w:rPr>
        <w:footnoteRef/>
      </w:r>
      <w:r>
        <w:t xml:space="preserve">Madhva, Brahmasutrabhasya I.1.1 and the doctrine of pancabheda (fivefold difference). See B. N. K. Sharma, Philosophy of Sri Madhvacarya, rev. ed. (Delhi: Motilal Banarsidass, 1986), 158 to 176.</w:t>
      </w:r>
    </w:p>
  </w:footnote>
  <w:footnote w:id="12">
    <w:p>
      <w:r>
        <w:rPr>
          <w:rStyle w:val="FootnoteReference"/>
        </w:rPr>
        <w:footnoteRef/>
      </w:r>
      <w:r>
        <w:t xml:space="preserve">Madhva, Visnutattvavinirnaya, on the distinction of svatantra (independent) and paratantra (dependent) reality. See Sharma, Philosophy of Sri Madhvacarya, 260 to 274.</w:t>
      </w:r>
    </w:p>
  </w:footnote>
  <w:footnote w:id="13">
    <w:p>
      <w:r>
        <w:rPr>
          <w:rStyle w:val="FootnoteReference"/>
        </w:rPr>
        <w:footnoteRef/>
      </w:r>
      <w:r>
        <w:t xml:space="preserve">On the Tamil and North Indian bhakti movements see Krishna Sharma, Bhakti and the Bhakti Movement: A New Perspective (Delhi: Munshiram Manoharlal, 1987); and A. K. Ramanujan, trans., Hymns for the Drowning: Poems for Visnu by Nammalvar (Princeton: Princeton University Press, 1981).</w:t>
      </w:r>
    </w:p>
  </w:footnote>
  <w:footnote w:id="14">
    <w:p>
      <w:r>
        <w:rPr>
          <w:rStyle w:val="FootnoteReference"/>
        </w:rPr>
        <w:footnoteRef/>
      </w:r>
      <w:r>
        <w:t xml:space="preserve">Teresa of Avila, The Interior Castle, VII.2, in The Collected Works of St Teresa of Avila, trans. Kieran Kavanaugh and Otilio Rodriguez, vol. 2 (Washington: ICS Publications, 1980). For the union of wills and the image of the water and the wine see Bernard of Clairvaux, On Loving God, chaps. 10 to 15, trans. in Bernard of Clairvaux: Selected Works, Classics of Western Spirituality (New York: Paulist Press, 1987).</w:t>
      </w:r>
    </w:p>
  </w:footnote>
  <w:footnote w:id="15">
    <w:p>
      <w:r>
        <w:rPr>
          <w:rStyle w:val="FootnoteReference"/>
        </w:rPr>
        <w:footnoteRef/>
      </w:r>
      <w:r>
        <w:t xml:space="preserve">Michael Amaladoss, The Asian Jesus (Delhi: ISPCK, 2006), 105 to 130, on the advaitin and the bhakta as complementary Indian faces of the one mystery.</w:t>
      </w:r>
    </w:p>
  </w:footnote>
  <w:footnote w:id="16">
    <w:p>
      <w:r>
        <w:rPr>
          <w:rStyle w:val="FootnoteReference"/>
        </w:rPr>
        <w:footnoteRef/>
      </w:r>
      <w:r>
        <w:t xml:space="preserve">Raimon Panikkar, The Trinity and the Religious Experience of Man (New York: Orbis, 1973), 40 to 71, correlating iconolatry, personalism and advaita with three moments of Trinitarian life.</w:t>
      </w:r>
    </w:p>
  </w:footnote>
  <w:footnote w:id="17">
    <w:p>
      <w:r>
        <w:rPr>
          <w:rStyle w:val="FootnoteReference"/>
        </w:rPr>
        <w:footnoteRef/>
      </w:r>
      <w:r>
        <w:t xml:space="preserve">George M. Soares-Prabhu, From Alienation to Inculturation: Some Reflections on Doing Theology in India Today, in Biblical Themes for a Contextual Theology Today, Collected Writings, vol. 1 (Pune: Jnana-Deepa Vidyapeeth, 1999), 3 to 48.</w:t>
      </w:r>
    </w:p>
  </w:footnote>
  <w:footnote w:id="18">
    <w:p>
      <w:r>
        <w:rPr>
          <w:rStyle w:val="FootnoteReference"/>
        </w:rPr>
        <w:footnoteRef/>
      </w:r>
      <w:r>
        <w:t xml:space="preserve">Jacques Dupuis, Toward a Christian Theology of Religious Pluralism (New York: Orbis, 1997), 255 to 279, on the limits and the promise of correlating Trinitarian and Vedantic structures.</w:t>
      </w:r>
    </w:p>
  </w:footnote>
  <w:footnote w:id="19">
    <w:p>
      <w:r>
        <w:rPr>
          <w:rStyle w:val="FootnoteReference"/>
        </w:rPr>
        <w:footnoteRef/>
      </w:r>
      <w:r>
        <w:t xml:space="preserve">On the grace debate internal to Vedanta, the Tamil dispute of the markata (monkey) and marjara (cat) schools of prapatti, see Patricia Y. Mumme, The Srivaisnava Theological Dispute (Madras: New Era, 1988).</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60"/>
      <w:outlineLvl w:val="0"/>
    </w:pPr>
    <w:rPr>
      <w:rFonts w:ascii="Cambria" w:cs="Cambria" w:eastAsia="Cambria" w:hAnsi="Cambr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2026-07-11T04:11:47.883Z</dcterms:created>
  <dcterms:modified xsi:type="dcterms:W3CDTF">2026-07-11T04:11:47.883Z</dcterms:modified>
</cp:coreProperties>
</file>

<file path=docProps/custom.xml><?xml version="1.0" encoding="utf-8"?>
<Properties xmlns="http://schemas.openxmlformats.org/officeDocument/2006/custom-properties" xmlns:vt="http://schemas.openxmlformats.org/officeDocument/2006/docPropsVTypes"/>
</file>