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MORNING STAR REGIONAL SEMINARY, BARRACKPORE</w:t>
      </w:r>
    </w:p>
    <w:p>
      <w:pPr>
        <w:spacing w:after="40"/>
        <w:jc w:val="center"/>
      </w:pPr>
      <w:r>
        <w:rPr>
          <w:i/>
          <w:iCs/>
          <w:color w:val="9C7A1E"/>
          <w:sz w:val="24"/>
          <w:szCs w:val="24"/>
        </w:rPr>
        <w:t xml:space="preserve">Bachelor of Theology (BTh) Programme</w:t>
      </w:r>
    </w:p>
    <w:p>
      <w:pPr>
        <w:spacing w:after="300"/>
        <w:jc w:val="center"/>
      </w:pPr>
      <w:r>
        <w:rPr>
          <w:b/>
          <w:bCs/>
          <w:sz w:val="26"/>
          <w:szCs w:val="26"/>
        </w:rPr>
        <w:t xml:space="preserve">COURSE SYLLABUS: ECCLESIOLOGY — THEOLOGY OF THE CHURCH</w:t>
      </w:r>
    </w:p>
    <w:p>
      <w:pPr>
        <w:pStyle w:val="Heading1"/>
        <w:pBdr>
          <w:bottom w:val="single" w:color="1F3864" w:sz="8" w:space="4"/>
        </w:pBdr>
        <w:spacing w:after="160" w:before="320"/>
      </w:pPr>
      <w:r>
        <w:rPr>
          <w:b/>
          <w:bCs/>
          <w:color w:val="1F3864"/>
          <w:sz w:val="28"/>
          <w:szCs w:val="28"/>
        </w:rPr>
        <w:t xml:space="preserve">1. Course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pct" w:w="30%"/>
            <w:shd w:fill="F2ECDD" w:val="clear"/>
            <w:tcMar>
              <w:top w:type="dxa" w:w="80"/>
              <w:left w:type="dxa" w:w="100"/>
              <w:bottom w:type="dxa" w:w="80"/>
              <w:right w:type="dxa" w:w="100"/>
            </w:tcMar>
          </w:tcPr>
          <w:p>
            <w:r>
              <w:rPr>
                <w:b/>
                <w:bCs/>
                <w:sz w:val="20"/>
                <w:szCs w:val="20"/>
              </w:rPr>
              <w:t xml:space="preserve">Course Title</w:t>
            </w:r>
          </w:p>
        </w:tc>
        <w:tc>
          <w:tcPr>
            <w:tcW w:type="pct" w:w="70%"/>
            <w:tcMar>
              <w:top w:type="dxa" w:w="80"/>
              <w:left w:type="dxa" w:w="100"/>
              <w:bottom w:type="dxa" w:w="80"/>
              <w:right w:type="dxa" w:w="100"/>
            </w:tcMar>
          </w:tcPr>
          <w:p>
            <w:r>
              <w:rPr>
                <w:b w:val="false"/>
                <w:bCs w:val="false"/>
                <w:sz w:val="20"/>
                <w:szCs w:val="20"/>
              </w:rPr>
              <w:t xml:space="preserve">Ecclesiology: Theology of the Church</w:t>
            </w:r>
          </w:p>
        </w:tc>
      </w:tr>
      <w:tr>
        <w:tc>
          <w:tcPr>
            <w:tcW w:type="pct" w:w="30%"/>
            <w:shd w:fill="F2ECDD" w:val="clear"/>
            <w:tcMar>
              <w:top w:type="dxa" w:w="80"/>
              <w:left w:type="dxa" w:w="100"/>
              <w:bottom w:type="dxa" w:w="80"/>
              <w:right w:type="dxa" w:w="100"/>
            </w:tcMar>
          </w:tcPr>
          <w:p>
            <w:r>
              <w:rPr>
                <w:b/>
                <w:bCs/>
                <w:sz w:val="20"/>
                <w:szCs w:val="20"/>
              </w:rPr>
              <w:t xml:space="preserve">Level / Programme</w:t>
            </w:r>
          </w:p>
        </w:tc>
        <w:tc>
          <w:tcPr>
            <w:tcW w:type="pct" w:w="70%"/>
            <w:tcMar>
              <w:top w:type="dxa" w:w="80"/>
              <w:left w:type="dxa" w:w="100"/>
              <w:bottom w:type="dxa" w:w="80"/>
              <w:right w:type="dxa" w:w="100"/>
            </w:tcMar>
          </w:tcPr>
          <w:p>
            <w:r>
              <w:rPr>
                <w:b w:val="false"/>
                <w:bCs w:val="false"/>
                <w:sz w:val="20"/>
                <w:szCs w:val="20"/>
              </w:rPr>
              <w:t xml:space="preserve">Bachelor of Theology (BTh), Third Year</w:t>
            </w:r>
          </w:p>
        </w:tc>
      </w:tr>
      <w:tr>
        <w:tc>
          <w:tcPr>
            <w:tcW w:type="pct" w:w="30%"/>
            <w:shd w:fill="F2ECDD" w:val="clear"/>
            <w:tcMar>
              <w:top w:type="dxa" w:w="80"/>
              <w:left w:type="dxa" w:w="100"/>
              <w:bottom w:type="dxa" w:w="80"/>
              <w:right w:type="dxa" w:w="100"/>
            </w:tcMar>
          </w:tcPr>
          <w:p>
            <w:r>
              <w:rPr>
                <w:b/>
                <w:bCs/>
                <w:sz w:val="20"/>
                <w:szCs w:val="20"/>
              </w:rPr>
              <w:t xml:space="preserve">Credits</w:t>
            </w:r>
          </w:p>
        </w:tc>
        <w:tc>
          <w:tcPr>
            <w:tcW w:type="pct" w:w="70%"/>
            <w:tcMar>
              <w:top w:type="dxa" w:w="80"/>
              <w:left w:type="dxa" w:w="100"/>
              <w:bottom w:type="dxa" w:w="80"/>
              <w:right w:type="dxa" w:w="100"/>
            </w:tcMar>
          </w:tcPr>
          <w:p>
            <w:r>
              <w:rPr>
                <w:b w:val="false"/>
                <w:bCs w:val="false"/>
                <w:sz w:val="20"/>
                <w:szCs w:val="20"/>
              </w:rPr>
              <w:t xml:space="preserve">4 credits (60 contact hours: 44 lecture + 8 seminar + 8 tutorial/revision)</w:t>
            </w:r>
          </w:p>
        </w:tc>
      </w:tr>
      <w:tr>
        <w:tc>
          <w:tcPr>
            <w:tcW w:type="pct" w:w="30%"/>
            <w:shd w:fill="F2ECDD" w:val="clear"/>
            <w:tcMar>
              <w:top w:type="dxa" w:w="80"/>
              <w:left w:type="dxa" w:w="100"/>
              <w:bottom w:type="dxa" w:w="80"/>
              <w:right w:type="dxa" w:w="100"/>
            </w:tcMar>
          </w:tcPr>
          <w:p>
            <w:r>
              <w:rPr>
                <w:b/>
                <w:bCs/>
                <w:sz w:val="20"/>
                <w:szCs w:val="20"/>
              </w:rPr>
              <w:t xml:space="preserve">Duration</w:t>
            </w:r>
          </w:p>
        </w:tc>
        <w:tc>
          <w:tcPr>
            <w:tcW w:type="pct" w:w="70%"/>
            <w:tcMar>
              <w:top w:type="dxa" w:w="80"/>
              <w:left w:type="dxa" w:w="100"/>
              <w:bottom w:type="dxa" w:w="80"/>
              <w:right w:type="dxa" w:w="100"/>
            </w:tcMar>
          </w:tcPr>
          <w:p>
            <w:r>
              <w:rPr>
                <w:b w:val="false"/>
                <w:bCs w:val="false"/>
                <w:sz w:val="20"/>
                <w:szCs w:val="20"/>
              </w:rPr>
              <w:t xml:space="preserve">One semester, 22 teaching weeks, 2–3 sessions per week</w:t>
            </w:r>
          </w:p>
        </w:tc>
      </w:tr>
      <w:tr>
        <w:tc>
          <w:tcPr>
            <w:tcW w:type="pct" w:w="30%"/>
            <w:shd w:fill="F2ECDD" w:val="clear"/>
            <w:tcMar>
              <w:top w:type="dxa" w:w="80"/>
              <w:left w:type="dxa" w:w="100"/>
              <w:bottom w:type="dxa" w:w="80"/>
              <w:right w:type="dxa" w:w="100"/>
            </w:tcMar>
          </w:tcPr>
          <w:p>
            <w:r>
              <w:rPr>
                <w:b/>
                <w:bCs/>
                <w:sz w:val="20"/>
                <w:szCs w:val="20"/>
              </w:rPr>
              <w:t xml:space="preserve">Pre-requisites</w:t>
            </w:r>
          </w:p>
        </w:tc>
        <w:tc>
          <w:tcPr>
            <w:tcW w:type="pct" w:w="70%"/>
            <w:tcMar>
              <w:top w:type="dxa" w:w="80"/>
              <w:left w:type="dxa" w:w="100"/>
              <w:bottom w:type="dxa" w:w="80"/>
              <w:right w:type="dxa" w:w="100"/>
            </w:tcMar>
          </w:tcPr>
          <w:p>
            <w:r>
              <w:rPr>
                <w:b w:val="false"/>
                <w:bCs w:val="false"/>
                <w:sz w:val="20"/>
                <w:szCs w:val="20"/>
              </w:rPr>
              <w:t xml:space="preserve">Fundamental Theology, Christology, Introduction to Sacred Scripture (NT)</w:t>
            </w:r>
          </w:p>
        </w:tc>
      </w:tr>
      <w:tr>
        <w:tc>
          <w:tcPr>
            <w:tcW w:type="pct" w:w="30%"/>
            <w:shd w:fill="F2ECDD" w:val="clear"/>
            <w:tcMar>
              <w:top w:type="dxa" w:w="80"/>
              <w:left w:type="dxa" w:w="100"/>
              <w:bottom w:type="dxa" w:w="80"/>
              <w:right w:type="dxa" w:w="100"/>
            </w:tcMar>
          </w:tcPr>
          <w:p>
            <w:r>
              <w:rPr>
                <w:b/>
                <w:bCs/>
                <w:sz w:val="20"/>
                <w:szCs w:val="20"/>
              </w:rPr>
              <w:t xml:space="preserve">Language of Instruction</w:t>
            </w:r>
          </w:p>
        </w:tc>
        <w:tc>
          <w:tcPr>
            <w:tcW w:type="pct" w:w="70%"/>
            <w:tcMar>
              <w:top w:type="dxa" w:w="80"/>
              <w:left w:type="dxa" w:w="100"/>
              <w:bottom w:type="dxa" w:w="80"/>
              <w:right w:type="dxa" w:w="100"/>
            </w:tcMar>
          </w:tcPr>
          <w:p>
            <w:r>
              <w:rPr>
                <w:b w:val="false"/>
                <w:bCs w:val="false"/>
                <w:sz w:val="20"/>
                <w:szCs w:val="20"/>
              </w:rPr>
              <w:t xml:space="preserve">English, with reference to vernacular ecclesial terminology where relevant</w:t>
            </w:r>
          </w:p>
        </w:tc>
      </w:tr>
    </w:tbl>
    <w:p>
      <w:pPr>
        <w:pStyle w:val="Heading1"/>
        <w:pBdr>
          <w:bottom w:val="single" w:color="1F3864" w:sz="8" w:space="4"/>
        </w:pBdr>
        <w:spacing w:after="160" w:before="320"/>
      </w:pPr>
      <w:r>
        <w:rPr>
          <w:b/>
          <w:bCs/>
          <w:color w:val="1F3864"/>
          <w:sz w:val="28"/>
          <w:szCs w:val="28"/>
        </w:rPr>
        <w:t xml:space="preserve">2. Course Description</w:t>
      </w:r>
    </w:p>
    <w:p>
      <w:pPr>
        <w:spacing w:after="120"/>
      </w:pPr>
      <w:r>
        <w:rPr>
          <w:sz w:val="22"/>
          <w:szCs w:val="22"/>
        </w:rPr>
        <w:t xml:space="preserve">This course offers a systematic study of the Church from its biblical origins through the patristic, medieval, and Tridentine periods to the ecclesiology of Vatican II and its subsequent reception, including the reform program of Pope Francis. Students trace the development of the term ekklesia from the Old Testament qahal Yahweh through the plural ecclesiologies of the New Testament, examine the historical institutionalization of the Church up to Vatican I, engage Cardinal Avery Dulles's models of the Church, and undertake a close reading of Lumen Gentium as the Council's Magna Charta. The course concludes with the structural renewal of collegiality and papal primacy, the theology of the Magisterium and infallibility, the principles of ecumenism, and the ecclesiological vision of Pope Francis, situating each theme within the concrete realities of the Church in India.</w:t>
      </w:r>
    </w:p>
    <w:p>
      <w:pPr>
        <w:pStyle w:val="Heading1"/>
        <w:pBdr>
          <w:bottom w:val="single" w:color="1F3864" w:sz="8" w:space="4"/>
        </w:pBdr>
        <w:spacing w:after="160" w:before="320"/>
      </w:pPr>
      <w:r>
        <w:rPr>
          <w:b/>
          <w:bCs/>
          <w:color w:val="1F3864"/>
          <w:sz w:val="28"/>
          <w:szCs w:val="28"/>
        </w:rPr>
        <w:t xml:space="preserve">3. Course Objectives</w:t>
      </w:r>
    </w:p>
    <w:p>
      <w:pPr>
        <w:spacing w:after="120"/>
      </w:pPr>
      <w:r>
        <w:rPr>
          <w:sz w:val="22"/>
          <w:szCs w:val="22"/>
        </w:rPr>
        <w:t xml:space="preserve">On successful completion of this course, students will be able to:</w:t>
      </w:r>
    </w:p>
    <w:p>
      <w:pPr>
        <w:pStyle w:val="ListParagraph"/>
        <w:numPr>
          <w:ilvl w:val="0"/>
          <w:numId w:val="2"/>
        </w:numPr>
        <w:spacing w:after="60"/>
      </w:pPr>
      <w:r>
        <w:rPr>
          <w:sz w:val="22"/>
          <w:szCs w:val="22"/>
        </w:rPr>
        <w:t xml:space="preserve">Trace the biblical and historical development of the Church from the Old Testament assembly of Israel through the New Testament communities to the post-apostolic institutional Church.</w:t>
      </w:r>
    </w:p>
    <w:p>
      <w:pPr>
        <w:pStyle w:val="ListParagraph"/>
        <w:numPr>
          <w:ilvl w:val="0"/>
          <w:numId w:val="2"/>
        </w:numPr>
        <w:spacing w:after="60"/>
      </w:pPr>
      <w:r>
        <w:rPr>
          <w:sz w:val="22"/>
          <w:szCs w:val="22"/>
        </w:rPr>
        <w:t xml:space="preserve">Distinguish the several New Testament ecclesiologies (Markan, Matthean, Lukan, Johannine, Pauline) and articulate their common convergences.</w:t>
      </w:r>
    </w:p>
    <w:p>
      <w:pPr>
        <w:pStyle w:val="ListParagraph"/>
        <w:numPr>
          <w:ilvl w:val="0"/>
          <w:numId w:val="2"/>
        </w:numPr>
        <w:spacing w:after="60"/>
      </w:pPr>
      <w:r>
        <w:rPr>
          <w:sz w:val="22"/>
          <w:szCs w:val="22"/>
        </w:rPr>
        <w:t xml:space="preserve">Explain the ecclesiology of Vatican I and identify the four characteristics of pre-conciliar ecclesiology together with their theological gains and losses.</w:t>
      </w:r>
    </w:p>
    <w:p>
      <w:pPr>
        <w:pStyle w:val="ListParagraph"/>
        <w:numPr>
          <w:ilvl w:val="0"/>
          <w:numId w:val="2"/>
        </w:numPr>
        <w:spacing w:after="60"/>
      </w:pPr>
      <w:r>
        <w:rPr>
          <w:sz w:val="22"/>
          <w:szCs w:val="22"/>
        </w:rPr>
        <w:t xml:space="preserve">Critically evaluate Dulles's models of the Church and apply appropriate criteria of adequacy to each.</w:t>
      </w:r>
    </w:p>
    <w:p>
      <w:pPr>
        <w:pStyle w:val="ListParagraph"/>
        <w:numPr>
          <w:ilvl w:val="0"/>
          <w:numId w:val="2"/>
        </w:numPr>
        <w:spacing w:after="60"/>
      </w:pPr>
      <w:r>
        <w:rPr>
          <w:sz w:val="22"/>
          <w:szCs w:val="22"/>
        </w:rPr>
        <w:t xml:space="preserve">Expound the four principal images of the Church in Lumen Gentium — mystery, sacrament, People of God, Body of Christ/Temple of the Spirit, communion — with reference to the conciliar text.</w:t>
      </w:r>
    </w:p>
    <w:p>
      <w:pPr>
        <w:pStyle w:val="ListParagraph"/>
        <w:numPr>
          <w:ilvl w:val="0"/>
          <w:numId w:val="2"/>
        </w:numPr>
        <w:spacing w:after="60"/>
      </w:pPr>
      <w:r>
        <w:rPr>
          <w:sz w:val="22"/>
          <w:szCs w:val="22"/>
        </w:rPr>
        <w:t xml:space="preserve">Analyse the structural renewal of Vatican II: collegiality, subsidiarity, episcopal conferences, and the theology of papal primacy as Petrine ministry.</w:t>
      </w:r>
    </w:p>
    <w:p>
      <w:pPr>
        <w:pStyle w:val="ListParagraph"/>
        <w:numPr>
          <w:ilvl w:val="0"/>
          <w:numId w:val="2"/>
        </w:numPr>
        <w:spacing w:after="60"/>
      </w:pPr>
      <w:r>
        <w:rPr>
          <w:sz w:val="22"/>
          <w:szCs w:val="22"/>
        </w:rPr>
        <w:t xml:space="preserve">Distinguish the types, degrees, and conditions of magisterial teaching, and state accurately the scope and limits of infallibility.</w:t>
      </w:r>
    </w:p>
    <w:p>
      <w:pPr>
        <w:pStyle w:val="ListParagraph"/>
        <w:numPr>
          <w:ilvl w:val="0"/>
          <w:numId w:val="2"/>
        </w:numPr>
        <w:spacing w:after="60"/>
      </w:pPr>
      <w:r>
        <w:rPr>
          <w:sz w:val="22"/>
          <w:szCs w:val="22"/>
        </w:rPr>
        <w:t xml:space="preserve">Articulate the theological principles of ecumenism and assess the state of ecumenical relations in the Indian Church.</w:t>
      </w:r>
    </w:p>
    <w:p>
      <w:pPr>
        <w:pStyle w:val="ListParagraph"/>
        <w:numPr>
          <w:ilvl w:val="0"/>
          <w:numId w:val="2"/>
        </w:numPr>
        <w:spacing w:after="60"/>
      </w:pPr>
      <w:r>
        <w:rPr>
          <w:sz w:val="22"/>
          <w:szCs w:val="22"/>
        </w:rPr>
        <w:t xml:space="preserve">Relate Pope Francis's ecclesiology of a poor, listening, merciful, and synodal Church to the pastoral situation of the Church in Bengal and in India.</w:t>
      </w:r>
    </w:p>
    <w:p>
      <w:pPr>
        <w:pStyle w:val="Heading1"/>
        <w:pBdr>
          <w:bottom w:val="single" w:color="1F3864" w:sz="8" w:space="4"/>
        </w:pBdr>
        <w:spacing w:after="160" w:before="320"/>
      </w:pPr>
      <w:r>
        <w:rPr>
          <w:b/>
          <w:bCs/>
          <w:color w:val="1F3864"/>
          <w:sz w:val="28"/>
          <w:szCs w:val="28"/>
        </w:rPr>
        <w:t xml:space="preserve">4. Course Units and Weekly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00"/>
      </w:tblGrid>
      <w:tr>
        <w:trPr>
          <w:tblHeader/>
        </w:trPr>
        <w:tc>
          <w:tcPr>
            <w:tcW w:type="pct" w:w="8%"/>
            <w:shd w:fill="1F3864" w:val="clear"/>
            <w:tcMar>
              <w:top w:type="dxa" w:w="80"/>
              <w:left w:type="dxa" w:w="100"/>
              <w:bottom w:type="dxa" w:w="80"/>
              <w:right w:type="dxa" w:w="100"/>
            </w:tcMar>
          </w:tcPr>
          <w:p>
            <w:r>
              <w:rPr>
                <w:b/>
                <w:bCs/>
                <w:sz w:val="20"/>
                <w:szCs w:val="20"/>
              </w:rPr>
              <w:t xml:space="preserve">Unit</w:t>
            </w:r>
          </w:p>
        </w:tc>
        <w:tc>
          <w:tcPr>
            <w:tcW w:type="pct" w:w="27%"/>
            <w:shd w:fill="1F3864" w:val="clear"/>
            <w:tcMar>
              <w:top w:type="dxa" w:w="80"/>
              <w:left w:type="dxa" w:w="100"/>
              <w:bottom w:type="dxa" w:w="80"/>
              <w:right w:type="dxa" w:w="100"/>
            </w:tcMar>
          </w:tcPr>
          <w:p>
            <w:r>
              <w:rPr>
                <w:b/>
                <w:bCs/>
                <w:sz w:val="20"/>
                <w:szCs w:val="20"/>
              </w:rPr>
              <w:t xml:space="preserve">Title &amp; Weeks</w:t>
            </w:r>
          </w:p>
        </w:tc>
        <w:tc>
          <w:tcPr>
            <w:tcW w:type="pct" w:w="65%"/>
            <w:shd w:fill="1F3864" w:val="clear"/>
            <w:tcMar>
              <w:top w:type="dxa" w:w="80"/>
              <w:left w:type="dxa" w:w="100"/>
              <w:bottom w:type="dxa" w:w="80"/>
              <w:right w:type="dxa" w:w="100"/>
            </w:tcMar>
          </w:tcPr>
          <w:p>
            <w:r>
              <w:rPr>
                <w:b/>
                <w:bCs/>
                <w:sz w:val="20"/>
                <w:szCs w:val="20"/>
              </w:rPr>
              <w:t xml:space="preserve">Content</w:t>
            </w:r>
          </w:p>
        </w:tc>
      </w:tr>
      <w:tr>
        <w:tc>
          <w:tcPr>
            <w:tcW w:type="pct" w:w="100%"/>
            <w:shd w:fill="FFFFFF" w:val="clear"/>
            <w:tcMar>
              <w:top w:type="dxa" w:w="80"/>
              <w:left w:type="dxa" w:w="100"/>
              <w:bottom w:type="dxa" w:w="80"/>
              <w:right w:type="dxa" w:w="100"/>
            </w:tcMar>
          </w:tcPr>
          <w:p>
            <w:r>
              <w:rPr>
                <w:b w:val="false"/>
                <w:bCs w:val="false"/>
                <w:sz w:val="20"/>
                <w:szCs w:val="20"/>
              </w:rPr>
              <w:t xml:space="preserve">1</w:t>
            </w:r>
          </w:p>
        </w:tc>
        <w:tc>
          <w:tcPr>
            <w:tcW w:type="pct" w:w="100%"/>
            <w:shd w:fill="FFFFFF" w:val="clear"/>
            <w:tcMar>
              <w:top w:type="dxa" w:w="80"/>
              <w:left w:type="dxa" w:w="100"/>
              <w:bottom w:type="dxa" w:w="80"/>
              <w:right w:type="dxa" w:w="100"/>
            </w:tcMar>
          </w:tcPr>
          <w:p>
            <w:r>
              <w:rPr>
                <w:b/>
                <w:bCs/>
                <w:sz w:val="20"/>
                <w:szCs w:val="20"/>
              </w:rPr>
              <w:t xml:space="preserve">Unit 1 — Foundations: Why the Church? (Week 1)</w:t>
            </w:r>
          </w:p>
        </w:tc>
        <w:tc>
          <w:tcPr>
            <w:tcW w:type="pct" w:w="100%"/>
            <w:shd w:fill="FFFFFF" w:val="clear"/>
            <w:tcMar>
              <w:top w:type="dxa" w:w="80"/>
              <w:left w:type="dxa" w:w="100"/>
              <w:bottom w:type="dxa" w:w="80"/>
              <w:right w:type="dxa" w:w="100"/>
            </w:tcMar>
          </w:tcPr>
          <w:p>
            <w:r>
              <w:rPr>
                <w:b w:val="false"/>
                <w:bCs w:val="false"/>
                <w:sz w:val="20"/>
                <w:szCs w:val="20"/>
              </w:rPr>
              <w:t xml:space="preserve">Do we need the Church: Enlightenment critique, Marx, secularism, versus the theological necessity of the Church as the community that mediates the triune God. Purpose of the Church and purpose of ecclesiology. Meaning of ekklesia: qahal Yahweh, LXX usage, EK + KALEO, the four connotations of freedom, unity, self-rule, and participation. Church in the Old Testament as the worshipping assembly of Israel. The Jesus Movement: community of freedom, equals, sharing, and diakonia.</w:t>
            </w:r>
          </w:p>
        </w:tc>
      </w:tr>
      <w:tr>
        <w:tc>
          <w:tcPr>
            <w:tcW w:type="pct" w:w="100%"/>
            <w:shd w:fill="F2ECDD" w:val="clear"/>
            <w:tcMar>
              <w:top w:type="dxa" w:w="80"/>
              <w:left w:type="dxa" w:w="100"/>
              <w:bottom w:type="dxa" w:w="80"/>
              <w:right w:type="dxa" w:w="100"/>
            </w:tcMar>
          </w:tcPr>
          <w:p>
            <w:r>
              <w:rPr>
                <w:b w:val="false"/>
                <w:bCs w:val="false"/>
                <w:sz w:val="20"/>
                <w:szCs w:val="20"/>
              </w:rPr>
              <w:t xml:space="preserve">2</w:t>
            </w:r>
          </w:p>
        </w:tc>
        <w:tc>
          <w:tcPr>
            <w:tcW w:type="pct" w:w="100%"/>
            <w:shd w:fill="F2ECDD" w:val="clear"/>
            <w:tcMar>
              <w:top w:type="dxa" w:w="80"/>
              <w:left w:type="dxa" w:w="100"/>
              <w:bottom w:type="dxa" w:w="80"/>
              <w:right w:type="dxa" w:w="100"/>
            </w:tcMar>
          </w:tcPr>
          <w:p>
            <w:r>
              <w:rPr>
                <w:b/>
                <w:bCs/>
                <w:sz w:val="20"/>
                <w:szCs w:val="20"/>
              </w:rPr>
              <w:t xml:space="preserve">Unit 2 — Did Christ Found the Church? NT Origins (Week 2)</w:t>
            </w:r>
          </w:p>
        </w:tc>
        <w:tc>
          <w:tcPr>
            <w:tcW w:type="pct" w:w="100%"/>
            <w:shd w:fill="F2ECDD" w:val="clear"/>
            <w:tcMar>
              <w:top w:type="dxa" w:w="80"/>
              <w:left w:type="dxa" w:w="100"/>
              <w:bottom w:type="dxa" w:w="80"/>
              <w:right w:type="dxa" w:w="100"/>
            </w:tcMar>
          </w:tcPr>
          <w:p>
            <w:r>
              <w:rPr>
                <w:b w:val="false"/>
                <w:bCs w:val="false"/>
                <w:sz w:val="20"/>
                <w:szCs w:val="20"/>
              </w:rPr>
              <w:t xml:space="preserve">Ekklesia in the New Testament: usage in Matthew, Acts, and Paul (local assembly, whole Church, cosmic Church, heavenly Church). Alfred Loisy's dictum and its critique. Blueprint ecclesiology (R. Brown) versus the historico-critical approach. The Church as founded Christologically and pneumatologically, understood as a post-Easter reality rooted in Jesus' kingdom preaching.</w:t>
            </w:r>
          </w:p>
        </w:tc>
      </w:tr>
      <w:tr>
        <w:tc>
          <w:tcPr>
            <w:tcW w:type="pct" w:w="100%"/>
            <w:shd w:fill="FFFFFF" w:val="clear"/>
            <w:tcMar>
              <w:top w:type="dxa" w:w="80"/>
              <w:left w:type="dxa" w:w="100"/>
              <w:bottom w:type="dxa" w:w="80"/>
              <w:right w:type="dxa" w:w="100"/>
            </w:tcMar>
          </w:tcPr>
          <w:p>
            <w:r>
              <w:rPr>
                <w:b w:val="false"/>
                <w:bCs w:val="false"/>
                <w:sz w:val="20"/>
                <w:szCs w:val="20"/>
              </w:rPr>
              <w:t xml:space="preserve">3</w:t>
            </w:r>
          </w:p>
        </w:tc>
        <w:tc>
          <w:tcPr>
            <w:tcW w:type="pct" w:w="100%"/>
            <w:shd w:fill="FFFFFF" w:val="clear"/>
            <w:tcMar>
              <w:top w:type="dxa" w:w="80"/>
              <w:left w:type="dxa" w:w="100"/>
              <w:bottom w:type="dxa" w:w="80"/>
              <w:right w:type="dxa" w:w="100"/>
            </w:tcMar>
          </w:tcPr>
          <w:p>
            <w:r>
              <w:rPr>
                <w:b/>
                <w:bCs/>
                <w:sz w:val="20"/>
                <w:szCs w:val="20"/>
              </w:rPr>
              <w:t xml:space="preserve">Unit 3 — Ecclesiologies of the Synoptics and Acts (Weeks 3–4)</w:t>
            </w:r>
          </w:p>
        </w:tc>
        <w:tc>
          <w:tcPr>
            <w:tcW w:type="pct" w:w="100%"/>
            <w:shd w:fill="FFFFFF" w:val="clear"/>
            <w:tcMar>
              <w:top w:type="dxa" w:w="80"/>
              <w:left w:type="dxa" w:w="100"/>
              <w:bottom w:type="dxa" w:w="80"/>
              <w:right w:type="dxa" w:w="100"/>
            </w:tcMar>
          </w:tcPr>
          <w:p>
            <w:r>
              <w:rPr>
                <w:b w:val="false"/>
                <w:bCs w:val="false"/>
                <w:sz w:val="20"/>
                <w:szCs w:val="20"/>
              </w:rPr>
              <w:t xml:space="preserve">The New Testament's plurality of ecclesiological archetypes rather than a single ecclesiologia perennis. Mark: community of disciples defined by service. Matthew: community fulfilling the Mosaic Law, missionary character. Luke–Acts: the little flock, universality, the Gospel of the Holy Spirit, structured and charismatic communities. Synthesis of NT theologies of the Church.</w:t>
            </w:r>
          </w:p>
        </w:tc>
      </w:tr>
      <w:tr>
        <w:tc>
          <w:tcPr>
            <w:tcW w:type="pct" w:w="100%"/>
            <w:shd w:fill="F2ECDD" w:val="clear"/>
            <w:tcMar>
              <w:top w:type="dxa" w:w="80"/>
              <w:left w:type="dxa" w:w="100"/>
              <w:bottom w:type="dxa" w:w="80"/>
              <w:right w:type="dxa" w:w="100"/>
            </w:tcMar>
          </w:tcPr>
          <w:p>
            <w:r>
              <w:rPr>
                <w:b w:val="false"/>
                <w:bCs w:val="false"/>
                <w:sz w:val="20"/>
                <w:szCs w:val="20"/>
              </w:rPr>
              <w:t xml:space="preserve">4</w:t>
            </w:r>
          </w:p>
        </w:tc>
        <w:tc>
          <w:tcPr>
            <w:tcW w:type="pct" w:w="100%"/>
            <w:shd w:fill="F2ECDD" w:val="clear"/>
            <w:tcMar>
              <w:top w:type="dxa" w:w="80"/>
              <w:left w:type="dxa" w:w="100"/>
              <w:bottom w:type="dxa" w:w="80"/>
              <w:right w:type="dxa" w:w="100"/>
            </w:tcMar>
          </w:tcPr>
          <w:p>
            <w:r>
              <w:rPr>
                <w:b/>
                <w:bCs/>
                <w:sz w:val="20"/>
                <w:szCs w:val="20"/>
              </w:rPr>
              <w:t xml:space="preserve">Unit 4 — Johannine and Pauline Ecclesiology (Weeks 5–6)</w:t>
            </w:r>
          </w:p>
        </w:tc>
        <w:tc>
          <w:tcPr>
            <w:tcW w:type="pct" w:w="100%"/>
            <w:shd w:fill="F2ECDD" w:val="clear"/>
            <w:tcMar>
              <w:top w:type="dxa" w:w="80"/>
              <w:left w:type="dxa" w:w="100"/>
              <w:bottom w:type="dxa" w:w="80"/>
              <w:right w:type="dxa" w:w="100"/>
            </w:tcMar>
          </w:tcPr>
          <w:p>
            <w:r>
              <w:rPr>
                <w:b w:val="false"/>
                <w:bCs w:val="false"/>
                <w:sz w:val="20"/>
                <w:szCs w:val="20"/>
              </w:rPr>
              <w:t xml:space="preserve">John: sheepfold and vine, the Paraclete, the eight themes of an ideal community, unity as the sign of discipleship. Paul: strategy of founding communities, house churches, collaboration and co-responsibility, the Church as Spirit-led, charismatic, and Body of Christ. Two Pauline insights on baptism and Eucharist as the ground of ecclesial communion.</w:t>
            </w:r>
          </w:p>
        </w:tc>
      </w:tr>
      <w:tr>
        <w:tc>
          <w:tcPr>
            <w:tcW w:type="pct" w:w="100%"/>
            <w:shd w:fill="FFFFFF" w:val="clear"/>
            <w:tcMar>
              <w:top w:type="dxa" w:w="80"/>
              <w:left w:type="dxa" w:w="100"/>
              <w:bottom w:type="dxa" w:w="80"/>
              <w:right w:type="dxa" w:w="100"/>
            </w:tcMar>
          </w:tcPr>
          <w:p>
            <w:r>
              <w:rPr>
                <w:b w:val="false"/>
                <w:bCs w:val="false"/>
                <w:sz w:val="20"/>
                <w:szCs w:val="20"/>
              </w:rPr>
              <w:t xml:space="preserve">5</w:t>
            </w:r>
          </w:p>
        </w:tc>
        <w:tc>
          <w:tcPr>
            <w:tcW w:type="pct" w:w="100%"/>
            <w:shd w:fill="FFFFFF" w:val="clear"/>
            <w:tcMar>
              <w:top w:type="dxa" w:w="80"/>
              <w:left w:type="dxa" w:w="100"/>
              <w:bottom w:type="dxa" w:w="80"/>
              <w:right w:type="dxa" w:w="100"/>
            </w:tcMar>
          </w:tcPr>
          <w:p>
            <w:r>
              <w:rPr>
                <w:b/>
                <w:bCs/>
                <w:sz w:val="20"/>
                <w:szCs w:val="20"/>
              </w:rPr>
              <w:t xml:space="preserve">Unit 5 — From Apostolic Church to Vatican I (Weeks 7–8)</w:t>
            </w:r>
          </w:p>
        </w:tc>
        <w:tc>
          <w:tcPr>
            <w:tcW w:type="pct" w:w="100%"/>
            <w:shd w:fill="FFFFFF" w:val="clear"/>
            <w:tcMar>
              <w:top w:type="dxa" w:w="80"/>
              <w:left w:type="dxa" w:w="100"/>
              <w:bottom w:type="dxa" w:w="80"/>
              <w:right w:type="dxa" w:w="100"/>
            </w:tcMar>
          </w:tcPr>
          <w:p>
            <w:r>
              <w:rPr>
                <w:b w:val="false"/>
                <w:bCs w:val="false"/>
                <w:sz w:val="20"/>
                <w:szCs w:val="20"/>
              </w:rPr>
              <w:t xml:space="preserve">Institutionalization after the New Testament period: Early Catholicism and the threefold ministry. The Great Church and the rise of patriarchal sees; primacy of Rome. Gregorian Reform (Dictatus Papae, Libertas Ecclesiae). The great East–West and Reformation divisions. Vatican I (1869–70): context, Pastor Aeternus, papal primacy and infallibility, the four marks of pre-conciliar ecclesiology — clericalism, juridicism, triumphalism, patriarchalism — with their gains and losses.</w:t>
            </w:r>
          </w:p>
        </w:tc>
      </w:tr>
      <w:tr>
        <w:tc>
          <w:tcPr>
            <w:tcW w:type="pct" w:w="100%"/>
            <w:shd w:fill="F2ECDD" w:val="clear"/>
            <w:tcMar>
              <w:top w:type="dxa" w:w="80"/>
              <w:left w:type="dxa" w:w="100"/>
              <w:bottom w:type="dxa" w:w="80"/>
              <w:right w:type="dxa" w:w="100"/>
            </w:tcMar>
          </w:tcPr>
          <w:p>
            <w:r>
              <w:rPr>
                <w:b w:val="false"/>
                <w:bCs w:val="false"/>
                <w:sz w:val="20"/>
                <w:szCs w:val="20"/>
              </w:rPr>
              <w:t xml:space="preserve">6</w:t>
            </w:r>
          </w:p>
        </w:tc>
        <w:tc>
          <w:tcPr>
            <w:tcW w:type="pct" w:w="100%"/>
            <w:shd w:fill="F2ECDD" w:val="clear"/>
            <w:tcMar>
              <w:top w:type="dxa" w:w="80"/>
              <w:left w:type="dxa" w:w="100"/>
              <w:bottom w:type="dxa" w:w="80"/>
              <w:right w:type="dxa" w:w="100"/>
            </w:tcMar>
          </w:tcPr>
          <w:p>
            <w:r>
              <w:rPr>
                <w:b/>
                <w:bCs/>
                <w:sz w:val="20"/>
                <w:szCs w:val="20"/>
              </w:rPr>
              <w:t xml:space="preserve">Unit 6 — Models of the Church: Avery Dulles (Week 9)</w:t>
            </w:r>
          </w:p>
        </w:tc>
        <w:tc>
          <w:tcPr>
            <w:tcW w:type="pct" w:w="100%"/>
            <w:shd w:fill="F2ECDD" w:val="clear"/>
            <w:tcMar>
              <w:top w:type="dxa" w:w="80"/>
              <w:left w:type="dxa" w:w="100"/>
              <w:bottom w:type="dxa" w:w="80"/>
              <w:right w:type="dxa" w:w="100"/>
            </w:tcMar>
          </w:tcPr>
          <w:p>
            <w:r>
              <w:rPr>
                <w:b w:val="false"/>
                <w:bCs w:val="false"/>
                <w:sz w:val="20"/>
                <w:szCs w:val="20"/>
              </w:rPr>
              <w:t xml:space="preserve">Dulles's five models: community, institution (societas perfecta of Bellarmine), herald (kerygmatic, Barth/Bultmann), servant, and the supplementary models of mystical communion, sacrament, and community of disciples. Criteria for evaluating an ecclesiological model. Strengths and limitations of each, read alongside the Indian context of Church as community versus institution.</w:t>
            </w:r>
          </w:p>
        </w:tc>
      </w:tr>
      <w:tr>
        <w:tc>
          <w:tcPr>
            <w:tcW w:type="pct" w:w="100%"/>
            <w:shd w:fill="FFFFFF" w:val="clear"/>
            <w:tcMar>
              <w:top w:type="dxa" w:w="80"/>
              <w:left w:type="dxa" w:w="100"/>
              <w:bottom w:type="dxa" w:w="80"/>
              <w:right w:type="dxa" w:w="100"/>
            </w:tcMar>
          </w:tcPr>
          <w:p>
            <w:r>
              <w:rPr>
                <w:b w:val="false"/>
                <w:bCs w:val="false"/>
                <w:sz w:val="20"/>
                <w:szCs w:val="20"/>
              </w:rPr>
              <w:t xml:space="preserve">7</w:t>
            </w:r>
          </w:p>
        </w:tc>
        <w:tc>
          <w:tcPr>
            <w:tcW w:type="pct" w:w="100%"/>
            <w:shd w:fill="FFFFFF" w:val="clear"/>
            <w:tcMar>
              <w:top w:type="dxa" w:w="80"/>
              <w:left w:type="dxa" w:w="100"/>
              <w:bottom w:type="dxa" w:w="80"/>
              <w:right w:type="dxa" w:w="100"/>
            </w:tcMar>
          </w:tcPr>
          <w:p>
            <w:r>
              <w:rPr>
                <w:b/>
                <w:bCs/>
                <w:sz w:val="20"/>
                <w:szCs w:val="20"/>
              </w:rPr>
              <w:t xml:space="preserve">Unit 7 — Ecumenical Councils, Conciliarism, and the Convocation of Vatican II (Weeks 10–11)</w:t>
            </w:r>
          </w:p>
        </w:tc>
        <w:tc>
          <w:tcPr>
            <w:tcW w:type="pct" w:w="100%"/>
            <w:shd w:fill="FFFFFF" w:val="clear"/>
            <w:tcMar>
              <w:top w:type="dxa" w:w="80"/>
              <w:left w:type="dxa" w:w="100"/>
              <w:bottom w:type="dxa" w:w="80"/>
              <w:right w:type="dxa" w:w="100"/>
            </w:tcMar>
          </w:tcPr>
          <w:p>
            <w:r>
              <w:rPr>
                <w:b w:val="false"/>
                <w:bCs w:val="false"/>
                <w:sz w:val="20"/>
                <w:szCs w:val="20"/>
              </w:rPr>
              <w:t xml:space="preserve">Theology of an ecumenical council; Küng and Rahner on the necessity and nature of councils. The twenty-one ecumenical councils. The theory of conciliarism, Haec Sancta and Frequens, its condemnation at Vatican I. Vatican II: background, the two conciliar popes (John XXIII, Paul VI), aggiornamento, the four sessions, and the specialities that make it a genuinely world Church council.</w:t>
            </w:r>
          </w:p>
        </w:tc>
      </w:tr>
      <w:tr>
        <w:tc>
          <w:tcPr>
            <w:tcW w:type="pct" w:w="100%"/>
            <w:shd w:fill="F2ECDD" w:val="clear"/>
            <w:tcMar>
              <w:top w:type="dxa" w:w="80"/>
              <w:left w:type="dxa" w:w="100"/>
              <w:bottom w:type="dxa" w:w="80"/>
              <w:right w:type="dxa" w:w="100"/>
            </w:tcMar>
          </w:tcPr>
          <w:p>
            <w:r>
              <w:rPr>
                <w:b w:val="false"/>
                <w:bCs w:val="false"/>
                <w:sz w:val="20"/>
                <w:szCs w:val="20"/>
              </w:rPr>
              <w:t xml:space="preserve">8</w:t>
            </w:r>
          </w:p>
        </w:tc>
        <w:tc>
          <w:tcPr>
            <w:tcW w:type="pct" w:w="100%"/>
            <w:shd w:fill="F2ECDD" w:val="clear"/>
            <w:tcMar>
              <w:top w:type="dxa" w:w="80"/>
              <w:left w:type="dxa" w:w="100"/>
              <w:bottom w:type="dxa" w:w="80"/>
              <w:right w:type="dxa" w:w="100"/>
            </w:tcMar>
          </w:tcPr>
          <w:p>
            <w:r>
              <w:rPr>
                <w:b/>
                <w:bCs/>
                <w:sz w:val="20"/>
                <w:szCs w:val="20"/>
              </w:rPr>
              <w:t xml:space="preserve">Unit 8 — Reception of Vatican II: Paradigm Shifts and Critiques (Week 12)</w:t>
            </w:r>
          </w:p>
        </w:tc>
        <w:tc>
          <w:tcPr>
            <w:tcW w:type="pct" w:w="100%"/>
            <w:shd w:fill="F2ECDD" w:val="clear"/>
            <w:tcMar>
              <w:top w:type="dxa" w:w="80"/>
              <w:left w:type="dxa" w:w="100"/>
              <w:bottom w:type="dxa" w:w="80"/>
              <w:right w:type="dxa" w:w="100"/>
            </w:tcMar>
          </w:tcPr>
          <w:p>
            <w:r>
              <w:rPr>
                <w:b w:val="false"/>
                <w:bCs w:val="false"/>
                <w:sz w:val="20"/>
                <w:szCs w:val="20"/>
              </w:rPr>
              <w:t xml:space="preserve">The nine paradigm shifts in ecclesial self-understanding tabulated against pre-conciliar categories. Sedevacantist rejection and the Coetus Internationalis Patrum. Hans Küng's and Peter Phan's critical assessments; the unresolved questions of infallibility, celibacy, and the ordination of women (CDF 1967 declaration, Ordinatio Sacerdotalis 1994).</w:t>
            </w:r>
          </w:p>
        </w:tc>
      </w:tr>
      <w:tr>
        <w:tc>
          <w:tcPr>
            <w:tcW w:type="pct" w:w="100%"/>
            <w:shd w:fill="FFFFFF" w:val="clear"/>
            <w:tcMar>
              <w:top w:type="dxa" w:w="80"/>
              <w:left w:type="dxa" w:w="100"/>
              <w:bottom w:type="dxa" w:w="80"/>
              <w:right w:type="dxa" w:w="100"/>
            </w:tcMar>
          </w:tcPr>
          <w:p>
            <w:r>
              <w:rPr>
                <w:b w:val="false"/>
                <w:bCs w:val="false"/>
                <w:sz w:val="20"/>
                <w:szCs w:val="20"/>
              </w:rPr>
              <w:t xml:space="preserve">9</w:t>
            </w:r>
          </w:p>
        </w:tc>
        <w:tc>
          <w:tcPr>
            <w:tcW w:type="pct" w:w="100%"/>
            <w:shd w:fill="FFFFFF" w:val="clear"/>
            <w:tcMar>
              <w:top w:type="dxa" w:w="80"/>
              <w:left w:type="dxa" w:w="100"/>
              <w:bottom w:type="dxa" w:w="80"/>
              <w:right w:type="dxa" w:w="100"/>
            </w:tcMar>
          </w:tcPr>
          <w:p>
            <w:r>
              <w:rPr>
                <w:b/>
                <w:bCs/>
                <w:sz w:val="20"/>
                <w:szCs w:val="20"/>
              </w:rPr>
              <w:t xml:space="preserve">Unit 9 — Lumen Gentium I: Mystery, Sacrament, People of God (Weeks 13–14)</w:t>
            </w:r>
          </w:p>
        </w:tc>
        <w:tc>
          <w:tcPr>
            <w:tcW w:type="pct" w:w="100%"/>
            <w:shd w:fill="FFFFFF" w:val="clear"/>
            <w:tcMar>
              <w:top w:type="dxa" w:w="80"/>
              <w:left w:type="dxa" w:w="100"/>
              <w:bottom w:type="dxa" w:w="80"/>
              <w:right w:type="dxa" w:w="100"/>
            </w:tcMar>
          </w:tcPr>
          <w:p>
            <w:r>
              <w:rPr>
                <w:b w:val="false"/>
                <w:bCs w:val="false"/>
                <w:sz w:val="20"/>
                <w:szCs w:val="20"/>
              </w:rPr>
              <w:t xml:space="preserve">LG as the Magna Charta of the Council. Church as mystery founded in the Trinity (LG 2–4: theocentric, Christocentric, pneumatological origin). Church as sacrament — sign and instrument of communion with God and of the unity of humankind — and its relation to the Kingdom of God. Church as People of God (LG Chapter 2): pilgrim people, equal discipleship by baptism, the three concentric circles of LG 14–16, and the placement of this chapter ahead of the hierarchy.</w:t>
            </w:r>
          </w:p>
        </w:tc>
      </w:tr>
      <w:tr>
        <w:tc>
          <w:tcPr>
            <w:tcW w:type="pct" w:w="100%"/>
            <w:shd w:fill="F2ECDD" w:val="clear"/>
            <w:tcMar>
              <w:top w:type="dxa" w:w="80"/>
              <w:left w:type="dxa" w:w="100"/>
              <w:bottom w:type="dxa" w:w="80"/>
              <w:right w:type="dxa" w:w="100"/>
            </w:tcMar>
          </w:tcPr>
          <w:p>
            <w:r>
              <w:rPr>
                <w:b w:val="false"/>
                <w:bCs w:val="false"/>
                <w:sz w:val="20"/>
                <w:szCs w:val="20"/>
              </w:rPr>
              <w:t xml:space="preserve">10</w:t>
            </w:r>
          </w:p>
        </w:tc>
        <w:tc>
          <w:tcPr>
            <w:tcW w:type="pct" w:w="100%"/>
            <w:shd w:fill="F2ECDD" w:val="clear"/>
            <w:tcMar>
              <w:top w:type="dxa" w:w="80"/>
              <w:left w:type="dxa" w:w="100"/>
              <w:bottom w:type="dxa" w:w="80"/>
              <w:right w:type="dxa" w:w="100"/>
            </w:tcMar>
          </w:tcPr>
          <w:p>
            <w:r>
              <w:rPr>
                <w:b/>
                <w:bCs/>
                <w:sz w:val="20"/>
                <w:szCs w:val="20"/>
              </w:rPr>
              <w:t xml:space="preserve">Unit 10 — Lumen Gentium II: Body of Christ, Temple of the Spirit, Communion (Weeks 15–16)</w:t>
            </w:r>
          </w:p>
        </w:tc>
        <w:tc>
          <w:tcPr>
            <w:tcW w:type="pct" w:w="100%"/>
            <w:shd w:fill="F2ECDD" w:val="clear"/>
            <w:tcMar>
              <w:top w:type="dxa" w:w="80"/>
              <w:left w:type="dxa" w:w="100"/>
              <w:bottom w:type="dxa" w:w="80"/>
              <w:right w:type="dxa" w:w="100"/>
            </w:tcMar>
          </w:tcPr>
          <w:p>
            <w:r>
              <w:rPr>
                <w:b w:val="false"/>
                <w:bCs w:val="false"/>
                <w:sz w:val="20"/>
                <w:szCs w:val="20"/>
              </w:rPr>
              <w:t xml:space="preserve">Church as Body of Christ: Pauline roots, Mystici Corporis (Pius XII) and its conciliar modification (LG 7–8), the human-and-divine analogy. Church as Temple of the Holy Spirit: pneumatological character, gifts and charisms. Church as Communion: shift from a Roman-centred universalist ecclesiology to communio ecclesiology; theology of the local Church (LG 23, 26); the 1985 Extraordinary Synod. Other biblical images in LG 6 (sheepfold, farm, building, stranger in a foreign land).</w:t>
            </w:r>
          </w:p>
        </w:tc>
      </w:tr>
      <w:tr>
        <w:tc>
          <w:tcPr>
            <w:tcW w:type="pct" w:w="100%"/>
            <w:shd w:fill="FFFFFF" w:val="clear"/>
            <w:tcMar>
              <w:top w:type="dxa" w:w="80"/>
              <w:left w:type="dxa" w:w="100"/>
              <w:bottom w:type="dxa" w:w="80"/>
              <w:right w:type="dxa" w:w="100"/>
            </w:tcMar>
          </w:tcPr>
          <w:p>
            <w:r>
              <w:rPr>
                <w:b w:val="false"/>
                <w:bCs w:val="false"/>
                <w:sz w:val="20"/>
                <w:szCs w:val="20"/>
              </w:rPr>
              <w:t xml:space="preserve">11</w:t>
            </w:r>
          </w:p>
        </w:tc>
        <w:tc>
          <w:tcPr>
            <w:tcW w:type="pct" w:w="100%"/>
            <w:shd w:fill="FFFFFF" w:val="clear"/>
            <w:tcMar>
              <w:top w:type="dxa" w:w="80"/>
              <w:left w:type="dxa" w:w="100"/>
              <w:bottom w:type="dxa" w:w="80"/>
              <w:right w:type="dxa" w:w="100"/>
            </w:tcMar>
          </w:tcPr>
          <w:p>
            <w:r>
              <w:rPr>
                <w:b/>
                <w:bCs/>
                <w:sz w:val="20"/>
                <w:szCs w:val="20"/>
              </w:rPr>
              <w:t xml:space="preserve">Unit 11 — Structural Renewal: Hierarchy, Collegiality, Papal Primacy (Weeks 17–18)</w:t>
            </w:r>
          </w:p>
        </w:tc>
        <w:tc>
          <w:tcPr>
            <w:tcW w:type="pct" w:w="100%"/>
            <w:shd w:fill="FFFFFF" w:val="clear"/>
            <w:tcMar>
              <w:top w:type="dxa" w:w="80"/>
              <w:left w:type="dxa" w:w="100"/>
              <w:bottom w:type="dxa" w:w="80"/>
              <w:right w:type="dxa" w:w="100"/>
            </w:tcMar>
          </w:tcPr>
          <w:p>
            <w:r>
              <w:rPr>
                <w:b w:val="false"/>
                <w:bCs w:val="false"/>
                <w:sz w:val="20"/>
                <w:szCs w:val="20"/>
              </w:rPr>
              <w:t xml:space="preserve">The twofold power of orders and jurisdiction; the threefold hierarchy of bishops, priests, deacons (LG 18–29). Episcopal collegiality: the three conciliar arguments, its implications for decentralization and collegial relationships. Structures of collegiality: Synod of Bishops, episcopal conferences (with reference to CBCI, FABC), subsidiarity. Papal primacy/Petrine ministry: historical development from the Early Church through Leo the Great, Gregory VII, Vatican I, to the Vatican II shift toward service and unity; Ut Unum Sint's invitation to rethink the papal office.</w:t>
            </w:r>
          </w:p>
        </w:tc>
      </w:tr>
      <w:tr>
        <w:tc>
          <w:tcPr>
            <w:tcW w:type="pct" w:w="100%"/>
            <w:shd w:fill="F2ECDD" w:val="clear"/>
            <w:tcMar>
              <w:top w:type="dxa" w:w="80"/>
              <w:left w:type="dxa" w:w="100"/>
              <w:bottom w:type="dxa" w:w="80"/>
              <w:right w:type="dxa" w:w="100"/>
            </w:tcMar>
          </w:tcPr>
          <w:p>
            <w:r>
              <w:rPr>
                <w:b w:val="false"/>
                <w:bCs w:val="false"/>
                <w:sz w:val="20"/>
                <w:szCs w:val="20"/>
              </w:rPr>
              <w:t xml:space="preserve">12</w:t>
            </w:r>
          </w:p>
        </w:tc>
        <w:tc>
          <w:tcPr>
            <w:tcW w:type="pct" w:w="100%"/>
            <w:shd w:fill="F2ECDD" w:val="clear"/>
            <w:tcMar>
              <w:top w:type="dxa" w:w="80"/>
              <w:left w:type="dxa" w:w="100"/>
              <w:bottom w:type="dxa" w:w="80"/>
              <w:right w:type="dxa" w:w="100"/>
            </w:tcMar>
          </w:tcPr>
          <w:p>
            <w:r>
              <w:rPr>
                <w:b/>
                <w:bCs/>
                <w:sz w:val="20"/>
                <w:szCs w:val="20"/>
              </w:rPr>
              <w:t xml:space="preserve">Unit 12 — Magisterium and Infallibility (Week 19)</w:t>
            </w:r>
          </w:p>
        </w:tc>
        <w:tc>
          <w:tcPr>
            <w:tcW w:type="pct" w:w="100%"/>
            <w:shd w:fill="F2ECDD" w:val="clear"/>
            <w:tcMar>
              <w:top w:type="dxa" w:w="80"/>
              <w:left w:type="dxa" w:w="100"/>
              <w:bottom w:type="dxa" w:w="80"/>
              <w:right w:type="dxa" w:w="100"/>
            </w:tcMar>
          </w:tcPr>
          <w:p>
            <w:r>
              <w:rPr>
                <w:b w:val="false"/>
                <w:bCs w:val="false"/>
                <w:sz w:val="20"/>
                <w:szCs w:val="20"/>
              </w:rPr>
              <w:t xml:space="preserve">The meaning and types of magisterium (extraordinary and ordinary); the teaching church as also a learning church (Dei Verbum 10). Papal documents: apostolic constitutions, encyclicals, exhortations, apostolic letters, motu proprio. Infallibility: definition, distinction from revelation, inspiration, and indefectibility; Pastor Aeternus conditions; who is infallible in the Church; the historical development of the doctrine and its ongoing ecumenical sensitivity.</w:t>
            </w:r>
          </w:p>
        </w:tc>
      </w:tr>
      <w:tr>
        <w:tc>
          <w:tcPr>
            <w:tcW w:type="pct" w:w="100%"/>
            <w:shd w:fill="FFFFFF" w:val="clear"/>
            <w:tcMar>
              <w:top w:type="dxa" w:w="80"/>
              <w:left w:type="dxa" w:w="100"/>
              <w:bottom w:type="dxa" w:w="80"/>
              <w:right w:type="dxa" w:w="100"/>
            </w:tcMar>
          </w:tcPr>
          <w:p>
            <w:r>
              <w:rPr>
                <w:b w:val="false"/>
                <w:bCs w:val="false"/>
                <w:sz w:val="20"/>
                <w:szCs w:val="20"/>
              </w:rPr>
              <w:t xml:space="preserve">13</w:t>
            </w:r>
          </w:p>
        </w:tc>
        <w:tc>
          <w:tcPr>
            <w:tcW w:type="pct" w:w="100%"/>
            <w:shd w:fill="FFFFFF" w:val="clear"/>
            <w:tcMar>
              <w:top w:type="dxa" w:w="80"/>
              <w:left w:type="dxa" w:w="100"/>
              <w:bottom w:type="dxa" w:w="80"/>
              <w:right w:type="dxa" w:w="100"/>
            </w:tcMar>
          </w:tcPr>
          <w:p>
            <w:r>
              <w:rPr>
                <w:b/>
                <w:bCs/>
                <w:sz w:val="20"/>
                <w:szCs w:val="20"/>
              </w:rPr>
              <w:t xml:space="preserve">Unit 13 — Ecumenism: Principles, History, and the Indian Church (Week 20)</w:t>
            </w:r>
          </w:p>
        </w:tc>
        <w:tc>
          <w:tcPr>
            <w:tcW w:type="pct" w:w="100%"/>
            <w:shd w:fill="FFFFFF" w:val="clear"/>
            <w:tcMar>
              <w:top w:type="dxa" w:w="80"/>
              <w:left w:type="dxa" w:w="100"/>
              <w:bottom w:type="dxa" w:w="80"/>
              <w:right w:type="dxa" w:w="100"/>
            </w:tcMar>
          </w:tcPr>
          <w:p>
            <w:r>
              <w:rPr>
                <w:b w:val="false"/>
                <w:bCs w:val="false"/>
                <w:sz w:val="20"/>
                <w:szCs w:val="20"/>
              </w:rPr>
              <w:t xml:space="preserve">Meaning and rationale of ecumenism; East–West and Catholic–Protestant divisions. Papal engagement from Leo XIII through John XXIII; Unitatis Redintegratio's three principles — subsistit in, imperfect communion, hierarchy of truths. Ut Unum Sint. Ecumenism in twenty-first-century challenges (Cardinal Koch, Cardinal Kasper). The Indian ecumenical situation: over two hundred denominations, the three reasons for ecumenical solidarity in a minority context, and the call to unity in spirit rather than uniformity of structure.</w:t>
            </w:r>
          </w:p>
        </w:tc>
      </w:tr>
      <w:tr>
        <w:tc>
          <w:tcPr>
            <w:tcW w:type="pct" w:w="100%"/>
            <w:shd w:fill="F2ECDD" w:val="clear"/>
            <w:tcMar>
              <w:top w:type="dxa" w:w="80"/>
              <w:left w:type="dxa" w:w="100"/>
              <w:bottom w:type="dxa" w:w="80"/>
              <w:right w:type="dxa" w:w="100"/>
            </w:tcMar>
          </w:tcPr>
          <w:p>
            <w:r>
              <w:rPr>
                <w:b w:val="false"/>
                <w:bCs w:val="false"/>
                <w:sz w:val="20"/>
                <w:szCs w:val="20"/>
              </w:rPr>
              <w:t xml:space="preserve">14</w:t>
            </w:r>
          </w:p>
        </w:tc>
        <w:tc>
          <w:tcPr>
            <w:tcW w:type="pct" w:w="100%"/>
            <w:shd w:fill="F2ECDD" w:val="clear"/>
            <w:tcMar>
              <w:top w:type="dxa" w:w="80"/>
              <w:left w:type="dxa" w:w="100"/>
              <w:bottom w:type="dxa" w:w="80"/>
              <w:right w:type="dxa" w:w="100"/>
            </w:tcMar>
          </w:tcPr>
          <w:p>
            <w:r>
              <w:rPr>
                <w:b/>
                <w:bCs/>
                <w:sz w:val="20"/>
                <w:szCs w:val="20"/>
              </w:rPr>
              <w:t xml:space="preserve">Unit 14 — Pope Francis's Ecclesiological Vision and Synodality (Weeks 21–22)</w:t>
            </w:r>
          </w:p>
        </w:tc>
        <w:tc>
          <w:tcPr>
            <w:tcW w:type="pct" w:w="100%"/>
            <w:shd w:fill="F2ECDD" w:val="clear"/>
            <w:tcMar>
              <w:top w:type="dxa" w:w="80"/>
              <w:left w:type="dxa" w:w="100"/>
              <w:bottom w:type="dxa" w:w="80"/>
              <w:right w:type="dxa" w:w="100"/>
            </w:tcMar>
          </w:tcPr>
          <w:p>
            <w:r>
              <w:rPr>
                <w:b w:val="false"/>
                <w:bCs w:val="false"/>
                <w:sz w:val="20"/>
                <w:szCs w:val="20"/>
              </w:rPr>
              <w:t xml:space="preserve">Evangelii Gaudium as a program of reform. The poor Church for the poor, the listening Church and sensus fidei, the merciful Church. Structural reforms: Roman Curia, episcopal appointments, restoring collegiality, the Synods on the Family, Youth, the Amazon, and the Synod on Synodality. Course synthesis: the distinctive ecclesiology of Vatican II reread through Francis's program, and its relevance to the Indian and Bengal Church context.</w:t>
            </w:r>
          </w:p>
        </w:tc>
      </w:tr>
    </w:tbl>
    <w:p>
      <w:pPr>
        <w:pStyle w:val="Heading1"/>
        <w:pBdr>
          <w:bottom w:val="single" w:color="1F3864" w:sz="8" w:space="4"/>
        </w:pBdr>
        <w:spacing w:after="160" w:before="320"/>
      </w:pPr>
      <w:r>
        <w:rPr>
          <w:b/>
          <w:bCs/>
          <w:color w:val="1F3864"/>
          <w:sz w:val="28"/>
          <w:szCs w:val="28"/>
        </w:rPr>
        <w:t xml:space="preserve">5. Teaching Methodology</w:t>
      </w:r>
    </w:p>
    <w:p>
      <w:pPr>
        <w:pStyle w:val="ListParagraph"/>
        <w:numPr>
          <w:ilvl w:val="0"/>
          <w:numId w:val="2"/>
        </w:numPr>
        <w:spacing w:after="60"/>
      </w:pPr>
      <w:r>
        <w:rPr>
          <w:sz w:val="22"/>
          <w:szCs w:val="22"/>
        </w:rPr>
        <w:t xml:space="preserve">Lectures with structured board/PowerPoint outlines and close reading of primary conciliar texts (Lumen Gentium, Unitatis Redintegratio, Christus Dominus, Pastor Aeternus).</w:t>
      </w:r>
    </w:p>
    <w:p>
      <w:pPr>
        <w:pStyle w:val="ListParagraph"/>
        <w:numPr>
          <w:ilvl w:val="0"/>
          <w:numId w:val="2"/>
        </w:numPr>
        <w:spacing w:after="60"/>
      </w:pPr>
      <w:r>
        <w:rPr>
          <w:sz w:val="22"/>
          <w:szCs w:val="22"/>
        </w:rPr>
        <w:t xml:space="preserve">Seminar presentations by students on Dulles's models, Vatican II paradigm shifts, and Pope Francis's Evangeli Gaudium.</w:t>
      </w:r>
    </w:p>
    <w:p>
      <w:pPr>
        <w:pStyle w:val="ListParagraph"/>
        <w:numPr>
          <w:ilvl w:val="0"/>
          <w:numId w:val="2"/>
        </w:numPr>
        <w:spacing w:after="60"/>
      </w:pPr>
      <w:r>
        <w:rPr>
          <w:sz w:val="22"/>
          <w:szCs w:val="22"/>
        </w:rPr>
        <w:t xml:space="preserve">Guided textual analysis of key Lumen Gentium paragraphs (LG 1, 8, 9, 23, 25, 26).</w:t>
      </w:r>
    </w:p>
    <w:p>
      <w:pPr>
        <w:pStyle w:val="ListParagraph"/>
        <w:numPr>
          <w:ilvl w:val="0"/>
          <w:numId w:val="2"/>
        </w:numPr>
        <w:spacing w:after="60"/>
      </w:pPr>
      <w:r>
        <w:rPr>
          <w:sz w:val="22"/>
          <w:szCs w:val="22"/>
        </w:rPr>
        <w:t xml:space="preserve">Group discussion on the reception of Vatican II and its relevance to the Bengal/Indian Church context.</w:t>
      </w:r>
    </w:p>
    <w:p>
      <w:pPr>
        <w:pStyle w:val="ListParagraph"/>
        <w:numPr>
          <w:ilvl w:val="0"/>
          <w:numId w:val="2"/>
        </w:numPr>
        <w:spacing w:after="60"/>
      </w:pPr>
      <w:r>
        <w:rPr>
          <w:sz w:val="22"/>
          <w:szCs w:val="22"/>
        </w:rPr>
        <w:t xml:space="preserve">Tutorial sessions for map work on ecumenical councils and revision of the magisterium/infallibility table.</w:t>
      </w:r>
    </w:p>
    <w:p>
      <w:pPr>
        <w:pStyle w:val="Heading1"/>
        <w:pBdr>
          <w:bottom w:val="single" w:color="1F3864" w:sz="8" w:space="4"/>
        </w:pBdr>
        <w:spacing w:after="160" w:before="320"/>
      </w:pPr>
      <w:r>
        <w:rPr>
          <w:b/>
          <w:bCs/>
          <w:color w:val="1F3864"/>
          <w:sz w:val="28"/>
          <w:szCs w:val="28"/>
        </w:rPr>
        <w:t xml:space="preserve">6. Evaluation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pct" w:w="30%"/>
            <w:shd w:fill="F2ECDD" w:val="clear"/>
            <w:tcMar>
              <w:top w:type="dxa" w:w="80"/>
              <w:left w:type="dxa" w:w="100"/>
              <w:bottom w:type="dxa" w:w="80"/>
              <w:right w:type="dxa" w:w="100"/>
            </w:tcMar>
          </w:tcPr>
          <w:p>
            <w:r>
              <w:rPr>
                <w:b/>
                <w:bCs/>
                <w:sz w:val="20"/>
                <w:szCs w:val="20"/>
              </w:rPr>
              <w:t xml:space="preserve">Continuous Internal Assessment</w:t>
            </w:r>
          </w:p>
        </w:tc>
        <w:tc>
          <w:tcPr>
            <w:tcW w:type="pct" w:w="70%"/>
            <w:tcMar>
              <w:top w:type="dxa" w:w="80"/>
              <w:left w:type="dxa" w:w="100"/>
              <w:bottom w:type="dxa" w:w="80"/>
              <w:right w:type="dxa" w:w="100"/>
            </w:tcMar>
          </w:tcPr>
          <w:p>
            <w:r>
              <w:rPr>
                <w:b w:val="false"/>
                <w:bCs w:val="false"/>
                <w:sz w:val="20"/>
                <w:szCs w:val="20"/>
              </w:rPr>
              <w:t xml:space="preserve">30% — one class test, one seminar presentation with written paper, class participation</w:t>
            </w:r>
          </w:p>
        </w:tc>
      </w:tr>
      <w:tr>
        <w:tc>
          <w:tcPr>
            <w:tcW w:type="pct" w:w="30%"/>
            <w:shd w:fill="F2ECDD" w:val="clear"/>
            <w:tcMar>
              <w:top w:type="dxa" w:w="80"/>
              <w:left w:type="dxa" w:w="100"/>
              <w:bottom w:type="dxa" w:w="80"/>
              <w:right w:type="dxa" w:w="100"/>
            </w:tcMar>
          </w:tcPr>
          <w:p>
            <w:r>
              <w:rPr>
                <w:b/>
                <w:bCs/>
                <w:sz w:val="20"/>
                <w:szCs w:val="20"/>
              </w:rPr>
              <w:t xml:space="preserve">Mid-Semester Examination</w:t>
            </w:r>
          </w:p>
        </w:tc>
        <w:tc>
          <w:tcPr>
            <w:tcW w:type="pct" w:w="70%"/>
            <w:tcMar>
              <w:top w:type="dxa" w:w="80"/>
              <w:left w:type="dxa" w:w="100"/>
              <w:bottom w:type="dxa" w:w="80"/>
              <w:right w:type="dxa" w:w="100"/>
            </w:tcMar>
          </w:tcPr>
          <w:p>
            <w:r>
              <w:rPr>
                <w:b w:val="false"/>
                <w:bCs w:val="false"/>
                <w:sz w:val="20"/>
                <w:szCs w:val="20"/>
              </w:rPr>
              <w:t xml:space="preserve">20% — covering Units 1–7</w:t>
            </w:r>
          </w:p>
        </w:tc>
      </w:tr>
      <w:tr>
        <w:tc>
          <w:tcPr>
            <w:tcW w:type="pct" w:w="30%"/>
            <w:shd w:fill="F2ECDD" w:val="clear"/>
            <w:tcMar>
              <w:top w:type="dxa" w:w="80"/>
              <w:left w:type="dxa" w:w="100"/>
              <w:bottom w:type="dxa" w:w="80"/>
              <w:right w:type="dxa" w:w="100"/>
            </w:tcMar>
          </w:tcPr>
          <w:p>
            <w:r>
              <w:rPr>
                <w:b/>
                <w:bCs/>
                <w:sz w:val="20"/>
                <w:szCs w:val="20"/>
              </w:rPr>
              <w:t xml:space="preserve">End-Semester Examination</w:t>
            </w:r>
          </w:p>
        </w:tc>
        <w:tc>
          <w:tcPr>
            <w:tcW w:type="pct" w:w="70%"/>
            <w:tcMar>
              <w:top w:type="dxa" w:w="80"/>
              <w:left w:type="dxa" w:w="100"/>
              <w:bottom w:type="dxa" w:w="80"/>
              <w:right w:type="dxa" w:w="100"/>
            </w:tcMar>
          </w:tcPr>
          <w:p>
            <w:r>
              <w:rPr>
                <w:b w:val="false"/>
                <w:bCs w:val="false"/>
                <w:sz w:val="20"/>
                <w:szCs w:val="20"/>
              </w:rPr>
              <w:t xml:space="preserve">50% — comprehensive, covering all fourteen units</w:t>
            </w:r>
          </w:p>
        </w:tc>
      </w:tr>
    </w:tbl>
    <w:p>
      <w:pPr>
        <w:pStyle w:val="Heading1"/>
        <w:pBdr>
          <w:bottom w:val="single" w:color="1F3864" w:sz="8" w:space="4"/>
        </w:pBdr>
        <w:spacing w:after="160" w:before="320"/>
      </w:pPr>
      <w:r>
        <w:rPr>
          <w:b/>
          <w:bCs/>
          <w:color w:val="1F3864"/>
          <w:sz w:val="28"/>
          <w:szCs w:val="28"/>
        </w:rPr>
        <w:t xml:space="preserve">7. Prescribed Text</w:t>
      </w:r>
    </w:p>
    <w:p>
      <w:pPr>
        <w:spacing w:after="120"/>
      </w:pPr>
      <w:r>
        <w:rPr>
          <w:sz w:val="22"/>
          <w:szCs w:val="22"/>
        </w:rPr>
        <w:t xml:space="preserve">Dulles, Avery. Models of the Church. Expanded ed. New York: Doubleday, 2002.</w:t>
      </w:r>
    </w:p>
    <w:p>
      <w:pPr>
        <w:pStyle w:val="Heading1"/>
        <w:pBdr>
          <w:bottom w:val="single" w:color="1F3864" w:sz="8" w:space="4"/>
        </w:pBdr>
        <w:spacing w:after="160" w:before="320"/>
      </w:pPr>
      <w:r>
        <w:rPr>
          <w:b/>
          <w:bCs/>
          <w:color w:val="1F3864"/>
          <w:sz w:val="28"/>
          <w:szCs w:val="28"/>
        </w:rPr>
        <w:t xml:space="preserve">8. Select Bibliography</w:t>
      </w:r>
    </w:p>
    <w:p>
      <w:pPr>
        <w:pStyle w:val="Heading2"/>
        <w:spacing w:after="100" w:before="220"/>
      </w:pPr>
      <w:r>
        <w:rPr>
          <w:b/>
          <w:bCs/>
          <w:color w:val="9C7A1E"/>
          <w:sz w:val="24"/>
          <w:szCs w:val="24"/>
        </w:rPr>
        <w:t xml:space="preserve">Conciliar and Magisterial Documents</w:t>
      </w:r>
    </w:p>
    <w:p>
      <w:pPr>
        <w:pStyle w:val="ListParagraph"/>
        <w:numPr>
          <w:ilvl w:val="0"/>
          <w:numId w:val="2"/>
        </w:numPr>
        <w:spacing w:after="60"/>
      </w:pPr>
      <w:r>
        <w:rPr>
          <w:sz w:val="22"/>
          <w:szCs w:val="22"/>
        </w:rPr>
        <w:t xml:space="preserve">Second Vatican Council. Lumen Gentium: Dogmatic Constitution on the Church. 1964.</w:t>
      </w:r>
    </w:p>
    <w:p>
      <w:pPr>
        <w:pStyle w:val="ListParagraph"/>
        <w:numPr>
          <w:ilvl w:val="0"/>
          <w:numId w:val="2"/>
        </w:numPr>
        <w:spacing w:after="60"/>
      </w:pPr>
      <w:r>
        <w:rPr>
          <w:sz w:val="22"/>
          <w:szCs w:val="22"/>
        </w:rPr>
        <w:t xml:space="preserve">Second Vatican Council. Unitatis Redintegratio: Decree on Ecumenism. 1964.</w:t>
      </w:r>
    </w:p>
    <w:p>
      <w:pPr>
        <w:pStyle w:val="ListParagraph"/>
        <w:numPr>
          <w:ilvl w:val="0"/>
          <w:numId w:val="2"/>
        </w:numPr>
        <w:spacing w:after="60"/>
      </w:pPr>
      <w:r>
        <w:rPr>
          <w:sz w:val="22"/>
          <w:szCs w:val="22"/>
        </w:rPr>
        <w:t xml:space="preserve">Second Vatican Council. Christus Dominus: Decree on the Pastoral Office of Bishops. 1965.</w:t>
      </w:r>
    </w:p>
    <w:p>
      <w:pPr>
        <w:pStyle w:val="ListParagraph"/>
        <w:numPr>
          <w:ilvl w:val="0"/>
          <w:numId w:val="2"/>
        </w:numPr>
        <w:spacing w:after="60"/>
      </w:pPr>
      <w:r>
        <w:rPr>
          <w:sz w:val="22"/>
          <w:szCs w:val="22"/>
        </w:rPr>
        <w:t xml:space="preserve">Second Vatican Council. Dei Verbum: Dogmatic Constitution on Divine Revelation. 1965.</w:t>
      </w:r>
    </w:p>
    <w:p>
      <w:pPr>
        <w:pStyle w:val="ListParagraph"/>
        <w:numPr>
          <w:ilvl w:val="0"/>
          <w:numId w:val="2"/>
        </w:numPr>
        <w:spacing w:after="60"/>
      </w:pPr>
      <w:r>
        <w:rPr>
          <w:sz w:val="22"/>
          <w:szCs w:val="22"/>
        </w:rPr>
        <w:t xml:space="preserve">First Vatican Council. Pastor Aeternus. 1870.</w:t>
      </w:r>
    </w:p>
    <w:p>
      <w:pPr>
        <w:pStyle w:val="ListParagraph"/>
        <w:numPr>
          <w:ilvl w:val="0"/>
          <w:numId w:val="2"/>
        </w:numPr>
        <w:spacing w:after="60"/>
      </w:pPr>
      <w:r>
        <w:rPr>
          <w:sz w:val="22"/>
          <w:szCs w:val="22"/>
        </w:rPr>
        <w:t xml:space="preserve">John Paul II. Ut Unum Sint. 1995.</w:t>
      </w:r>
    </w:p>
    <w:p>
      <w:pPr>
        <w:pStyle w:val="ListParagraph"/>
        <w:numPr>
          <w:ilvl w:val="0"/>
          <w:numId w:val="2"/>
        </w:numPr>
        <w:spacing w:after="60"/>
      </w:pPr>
      <w:r>
        <w:rPr>
          <w:sz w:val="22"/>
          <w:szCs w:val="22"/>
        </w:rPr>
        <w:t xml:space="preserve">John Paul II. Ordinatio Sacerdotalis. 1994.</w:t>
      </w:r>
    </w:p>
    <w:p>
      <w:pPr>
        <w:pStyle w:val="ListParagraph"/>
        <w:numPr>
          <w:ilvl w:val="0"/>
          <w:numId w:val="2"/>
        </w:numPr>
        <w:spacing w:after="60"/>
      </w:pPr>
      <w:r>
        <w:rPr>
          <w:sz w:val="22"/>
          <w:szCs w:val="22"/>
        </w:rPr>
        <w:t xml:space="preserve">Francis. Evangelii Gaudium. 2013.</w:t>
      </w:r>
    </w:p>
    <w:p>
      <w:pPr>
        <w:pStyle w:val="Heading2"/>
        <w:spacing w:after="100" w:before="220"/>
      </w:pPr>
      <w:r>
        <w:rPr>
          <w:b/>
          <w:bCs/>
          <w:color w:val="9C7A1E"/>
          <w:sz w:val="24"/>
          <w:szCs w:val="24"/>
        </w:rPr>
        <w:t xml:space="preserve">Scholarly Works</w:t>
      </w:r>
    </w:p>
    <w:p>
      <w:pPr>
        <w:pStyle w:val="ListParagraph"/>
        <w:numPr>
          <w:ilvl w:val="0"/>
          <w:numId w:val="2"/>
        </w:numPr>
        <w:spacing w:after="60"/>
      </w:pPr>
      <w:r>
        <w:rPr>
          <w:sz w:val="22"/>
          <w:szCs w:val="22"/>
        </w:rPr>
        <w:t xml:space="preserve">Rahner, Karl. The Church and the Sacraments. Freiburg: Herder, 1963.</w:t>
      </w:r>
    </w:p>
    <w:p>
      <w:pPr>
        <w:pStyle w:val="ListParagraph"/>
        <w:numPr>
          <w:ilvl w:val="0"/>
          <w:numId w:val="2"/>
        </w:numPr>
        <w:spacing w:after="60"/>
      </w:pPr>
      <w:r>
        <w:rPr>
          <w:sz w:val="22"/>
          <w:szCs w:val="22"/>
        </w:rPr>
        <w:t xml:space="preserve">Küng, Hans. The Church. New York: Sheed and Ward, 1967.</w:t>
      </w:r>
    </w:p>
    <w:p>
      <w:pPr>
        <w:pStyle w:val="ListParagraph"/>
        <w:numPr>
          <w:ilvl w:val="0"/>
          <w:numId w:val="2"/>
        </w:numPr>
        <w:spacing w:after="60"/>
      </w:pPr>
      <w:r>
        <w:rPr>
          <w:sz w:val="22"/>
          <w:szCs w:val="22"/>
        </w:rPr>
        <w:t xml:space="preserve">Congar, Yves. Diversity and Communion. Mystic, CT: Twenty-Third Publications, 1985.</w:t>
      </w:r>
    </w:p>
    <w:p>
      <w:pPr>
        <w:pStyle w:val="ListParagraph"/>
        <w:numPr>
          <w:ilvl w:val="0"/>
          <w:numId w:val="2"/>
        </w:numPr>
        <w:spacing w:after="60"/>
      </w:pPr>
      <w:r>
        <w:rPr>
          <w:sz w:val="22"/>
          <w:szCs w:val="22"/>
        </w:rPr>
        <w:t xml:space="preserve">Sullivan, Francis A. Magisterium: Teaching Authority in the Catholic Church. New York: Paulist Press, 1983.</w:t>
      </w:r>
    </w:p>
    <w:p>
      <w:pPr>
        <w:pStyle w:val="ListParagraph"/>
        <w:numPr>
          <w:ilvl w:val="0"/>
          <w:numId w:val="2"/>
        </w:numPr>
        <w:spacing w:after="60"/>
      </w:pPr>
      <w:r>
        <w:rPr>
          <w:sz w:val="22"/>
          <w:szCs w:val="22"/>
        </w:rPr>
        <w:t xml:space="preserve">Sullivan, Francis A. Creative Fidelity: Weighing and Interpreting Documents of the Magisterium. New York: Paulist Press, 1996.</w:t>
      </w:r>
    </w:p>
    <w:p>
      <w:pPr>
        <w:pStyle w:val="ListParagraph"/>
        <w:numPr>
          <w:ilvl w:val="0"/>
          <w:numId w:val="2"/>
        </w:numPr>
        <w:spacing w:after="60"/>
      </w:pPr>
      <w:r>
        <w:rPr>
          <w:sz w:val="22"/>
          <w:szCs w:val="22"/>
        </w:rPr>
        <w:t xml:space="preserve">Phan, Peter C., ed. The Church and Vatican II. New York: Orbis, 2000.</w:t>
      </w:r>
    </w:p>
    <w:p>
      <w:pPr>
        <w:pStyle w:val="Heading2"/>
        <w:spacing w:after="100" w:before="220"/>
      </w:pPr>
      <w:r>
        <w:rPr>
          <w:b/>
          <w:bCs/>
          <w:color w:val="9C7A1E"/>
          <w:sz w:val="24"/>
          <w:szCs w:val="24"/>
        </w:rPr>
        <w:t xml:space="preserve">Indian and Asian Contextual Ecclesiology</w:t>
      </w:r>
    </w:p>
    <w:p>
      <w:pPr>
        <w:pStyle w:val="ListParagraph"/>
        <w:numPr>
          <w:ilvl w:val="0"/>
          <w:numId w:val="2"/>
        </w:numPr>
        <w:spacing w:after="60"/>
      </w:pPr>
      <w:r>
        <w:rPr>
          <w:sz w:val="22"/>
          <w:szCs w:val="22"/>
        </w:rPr>
        <w:t xml:space="preserve">Amaladoss, Michael. The Asian Jesus. Maryknoll, NY: Orbis Books, 2006.</w:t>
      </w:r>
    </w:p>
    <w:p>
      <w:pPr>
        <w:pStyle w:val="ListParagraph"/>
        <w:numPr>
          <w:ilvl w:val="0"/>
          <w:numId w:val="2"/>
        </w:numPr>
        <w:spacing w:after="60"/>
      </w:pPr>
      <w:r>
        <w:rPr>
          <w:sz w:val="22"/>
          <w:szCs w:val="22"/>
        </w:rPr>
        <w:t xml:space="preserve">Wilfred, Felix. Asian Public Theology: Critical Concerns in Challenging Times. Delhi: ISPCK, 2010.</w:t>
      </w:r>
    </w:p>
    <w:p>
      <w:pPr>
        <w:pStyle w:val="ListParagraph"/>
        <w:numPr>
          <w:ilvl w:val="0"/>
          <w:numId w:val="2"/>
        </w:numPr>
        <w:spacing w:after="60"/>
      </w:pPr>
      <w:r>
        <w:rPr>
          <w:sz w:val="22"/>
          <w:szCs w:val="22"/>
        </w:rPr>
        <w:t xml:space="preserve">Federation of Asian Bishops' Conferences (FABC). For All the Peoples of Asia: FABC Documents. Multiple volumes. Quezon City: Claretian Publications.</w:t>
      </w:r>
    </w:p>
    <w:p>
      <w:pPr>
        <w:pStyle w:val="ListParagraph"/>
        <w:numPr>
          <w:ilvl w:val="0"/>
          <w:numId w:val="2"/>
        </w:numPr>
        <w:spacing w:after="60"/>
      </w:pPr>
      <w:r>
        <w:rPr>
          <w:sz w:val="22"/>
          <w:szCs w:val="22"/>
        </w:rPr>
        <w:t xml:space="preserve">Soares-Prabhu, George M. A Biblical Theology for India. Bangalore: NBCLC, 1998.</w:t>
      </w:r>
    </w:p>
    <w:p>
      <w:pPr>
        <w:pStyle w:val="ListParagraph"/>
        <w:numPr>
          <w:ilvl w:val="0"/>
          <w:numId w:val="2"/>
        </w:numPr>
        <w:spacing w:after="60"/>
      </w:pPr>
      <w:r>
        <w:rPr>
          <w:sz w:val="22"/>
          <w:szCs w:val="22"/>
        </w:rPr>
        <w:t xml:space="preserve">D'Souza, Amaladoss et al. Local Church and Church Universal in the Indian Context. Bangalore: NBCLC.</w:t>
      </w:r>
    </w:p>
    <w:p>
      <w:pPr>
        <w:pStyle w:val="Heading1"/>
        <w:pBdr>
          <w:bottom w:val="single" w:color="1F3864" w:sz="8" w:space="4"/>
        </w:pBdr>
        <w:spacing w:after="160" w:before="320"/>
      </w:pPr>
      <w:r>
        <w:rPr>
          <w:b/>
          <w:bCs/>
          <w:color w:val="1F3864"/>
          <w:sz w:val="28"/>
          <w:szCs w:val="28"/>
        </w:rPr>
        <w:t xml:space="preserve">9. Note on Indian Contextualization</w:t>
      </w:r>
    </w:p>
    <w:p>
      <w:pPr>
        <w:spacing w:after="120"/>
      </w:pPr>
      <w:r>
        <w:rPr>
          <w:sz w:val="22"/>
          <w:szCs w:val="22"/>
        </w:rPr>
        <w:t xml:space="preserve">In keeping with the formation goals of Morning Star Regional Seminary, each unit should draw at least one point of application to the Church in West Bengal and India: the experience of Church as minority community, the Dalit and Adivasi reception of ecclesial belonging, the practice of episcopal conferences such as CBCI and the CCBI, and the ecumenical situation among the more than two hundred Christian denominations present in India. Instructors are encouraged to close each unit with a short reflection question connecting the conciliar or historical material to the pastoral realities of the students' own dioceses and congregations.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BTh Ecclesiology Syllabus — Morning Star Regional Seminary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2026-08-06T18:24:47.684Z</dcterms:created>
  <dcterms:modified xsi:type="dcterms:W3CDTF">2026-08-06T18:24:47.699Z</dcterms:modified>
</cp:coreProperties>
</file>

<file path=docProps/custom.xml><?xml version="1.0" encoding="utf-8"?>
<Properties xmlns="http://schemas.openxmlformats.org/officeDocument/2006/custom-properties" xmlns:vt="http://schemas.openxmlformats.org/officeDocument/2006/docPropsVTypes"/>
</file>