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406B"/>
          <w:sz w:val="56"/>
        </w:rPr>
        <w:t>MATRIMONY</w:t>
      </w:r>
    </w:p>
    <w:p>
      <w:pPr>
        <w:jc w:val="center"/>
      </w:pPr>
      <w:r>
        <w:rPr>
          <w:i/>
          <w:sz w:val="30"/>
        </w:rPr>
        <w:t>The Sacrament of the Conjugal Covenant</w:t>
      </w:r>
    </w:p>
    <w:p>
      <w:pPr>
        <w:jc w:val="center"/>
      </w:pPr>
      <w:r>
        <w:rPr>
          <w:color w:val="7A705C"/>
          <w:sz w:val="22"/>
        </w:rPr>
        <w:t>Comprehensive BTh-Level Study Notes — Scripture, Augustine's Three Goods, Consent and Consummation, Trent, Vatican II, and the Contemporary Debate</w:t>
      </w:r>
    </w:p>
    <w:p>
      <w:r>
        <w:br w:type="page"/>
      </w:r>
    </w:p>
    <w:p>
      <w:r>
        <w:rPr>
          <w:b/>
          <w:sz w:val="32"/>
        </w:rPr>
        <w:t>Contents</w:t>
      </w:r>
    </w:p>
    <w:p>
      <w:r>
        <w:rPr>
          <w:b/>
        </w:rPr>
        <w:t xml:space="preserve">Unit 1  </w:t>
      </w:r>
      <w:r>
        <w:t>Biblical Foundations I — Marriage in Israel</w:t>
      </w:r>
    </w:p>
    <w:p>
      <w:r>
        <w:rPr>
          <w:b/>
        </w:rPr>
        <w:t xml:space="preserve">Unit 2  </w:t>
      </w:r>
      <w:r>
        <w:t>Biblical Foundations II — Jesus and Paul</w:t>
      </w:r>
    </w:p>
    <w:p>
      <w:r>
        <w:rPr>
          <w:b/>
        </w:rPr>
        <w:t xml:space="preserve">Unit 3  </w:t>
      </w:r>
      <w:r>
        <w:t>The Patristic Era</w:t>
      </w:r>
    </w:p>
    <w:p>
      <w:r>
        <w:rPr>
          <w:b/>
        </w:rPr>
        <w:t xml:space="preserve">Unit 4  </w:t>
      </w:r>
      <w:r>
        <w:t>The Medieval Development — Consent, Consummation, and Canon Law</w:t>
      </w:r>
    </w:p>
    <w:p>
      <w:r>
        <w:rPr>
          <w:b/>
        </w:rPr>
        <w:t xml:space="preserve">Unit 5  </w:t>
      </w:r>
      <w:r>
        <w:t>The Scholastic Synthesis</w:t>
      </w:r>
    </w:p>
    <w:p>
      <w:r>
        <w:rPr>
          <w:b/>
        </w:rPr>
        <w:t xml:space="preserve">Unit 6  </w:t>
      </w:r>
      <w:r>
        <w:t>Reformation and Trent</w:t>
      </w:r>
    </w:p>
    <w:p>
      <w:r>
        <w:rPr>
          <w:b/>
        </w:rPr>
        <w:t xml:space="preserve">Unit 7  </w:t>
      </w:r>
      <w:r>
        <w:t>From Trent to the Personalist Turn</w:t>
      </w:r>
    </w:p>
    <w:p>
      <w:r>
        <w:rPr>
          <w:b/>
        </w:rPr>
        <w:t xml:space="preserve">Unit 8  </w:t>
      </w:r>
      <w:r>
        <w:t>Vatican II — Gaudium et Spes 47-52</w:t>
      </w:r>
    </w:p>
    <w:p>
      <w:r>
        <w:rPr>
          <w:b/>
        </w:rPr>
        <w:t xml:space="preserve">Unit 9  </w:t>
      </w:r>
      <w:r>
        <w:t>Humanae Vitae, the Theology of the Body, and Familiaris Consortio</w:t>
      </w:r>
    </w:p>
    <w:p>
      <w:r>
        <w:rPr>
          <w:b/>
        </w:rPr>
        <w:t xml:space="preserve">Unit 10  </w:t>
      </w:r>
      <w:r>
        <w:t>Amoris Laetitia and the Contemporary Debate</w:t>
      </w:r>
    </w:p>
    <w:p>
      <w:r>
        <w:rPr>
          <w:b/>
        </w:rPr>
        <w:t xml:space="preserve">Unit 11  </w:t>
      </w:r>
      <w:r>
        <w:t>Theological Significance</w:t>
      </w:r>
    </w:p>
    <w:p>
      <w:r>
        <w:rPr>
          <w:b/>
        </w:rPr>
        <w:t xml:space="preserve">Unit 12  </w:t>
      </w:r>
      <w:r>
        <w:t>Nullity, Impediments, and Canon Law</w:t>
      </w:r>
    </w:p>
    <w:p>
      <w:r>
        <w:rPr>
          <w:b/>
        </w:rPr>
        <w:t xml:space="preserve">Unit 13  </w:t>
      </w:r>
      <w:r>
        <w:t>Practical and Pastoral Application — The Indian Context</w:t>
      </w:r>
    </w:p>
    <w:p>
      <w:r>
        <w:rPr>
          <w:b/>
        </w:rPr>
        <w:t xml:space="preserve">Unit 14  </w:t>
      </w:r>
      <w:r>
        <w:t>Examination Preparation</w:t>
      </w:r>
    </w:p>
    <w:p>
      <w:r>
        <w:br w:type="page"/>
      </w:r>
    </w:p>
    <w:p>
      <w:r>
        <w:rPr>
          <w:b/>
          <w:color w:val="9C7A2E"/>
          <w:sz w:val="22"/>
        </w:rPr>
        <w:t>UNIT 1</w:t>
      </w:r>
    </w:p>
    <w:p>
      <w:r>
        <w:rPr>
          <w:b/>
          <w:color w:val="24406B"/>
          <w:sz w:val="40"/>
        </w:rPr>
        <w:t>Biblical Foundations I — Marriage in Israel</w:t>
      </w:r>
    </w:p>
    <w:p>
      <w:pPr>
        <w:spacing w:before="280"/>
      </w:pPr>
      <w:r>
        <w:rPr>
          <w:b/>
          <w:color w:val="24406B"/>
          <w:sz w:val="34"/>
        </w:rPr>
        <w:t>The Two Creation Texts</w:t>
      </w:r>
    </w:p>
    <w:p>
      <w:r>
        <w:rPr>
          <w:b/>
        </w:rPr>
        <w:t>Genesis 1:27-28</w:t>
      </w:r>
      <w:r>
        <w:t xml:space="preserve"> — "God created humankind in his image... male and female he created them. And God blessed them and said, 'Be fruitful and multiply.'" Marriage here is set within the </w:t>
      </w:r>
      <w:r>
        <w:rPr>
          <w:i/>
        </w:rPr>
        <w:t>imago Dei</w:t>
      </w:r>
      <w:r>
        <w:t xml:space="preserve"> and oriented to fruitfulness. Note that the image is predicated of humanity </w:t>
      </w:r>
      <w:r>
        <w:rPr>
          <w:i/>
        </w:rPr>
        <w:t>as male and female</w:t>
      </w:r>
      <w:r>
        <w:t>, a point the personalist tradition (Unit 9) would develop heavily.</w:t>
      </w:r>
    </w:p>
    <w:p>
      <w:r>
        <w:rPr>
          <w:b/>
        </w:rPr>
        <w:t>Genesis 2:18-24</w:t>
      </w:r>
      <w:r>
        <w:t xml:space="preserve"> — the older and richer account. Three phrases carry the weight:</w:t>
      </w:r>
    </w:p>
    <w:p>
      <w:pPr>
        <w:pStyle w:val="ListBullet"/>
      </w:pPr>
      <w:r>
        <w:rPr>
          <w:b/>
        </w:rPr>
        <w:t>*lo tov</w:t>
      </w:r>
      <w:r>
        <w:rPr>
          <w:i/>
        </w:rPr>
        <w:t xml:space="preserve"> — "</w:t>
      </w:r>
      <w:r>
        <w:rPr>
          <w:i/>
        </w:rPr>
        <w:t>It is not good</w:t>
      </w:r>
      <w:r>
        <w:rPr>
          <w:i/>
        </w:rPr>
        <w:t xml:space="preserve"> that the man should be alone." The only thing declared </w:t>
      </w:r>
      <w:r>
        <w:t>not good* in a creation account otherwise pronounced good.</w:t>
      </w:r>
    </w:p>
    <w:p>
      <w:pPr>
        <w:pStyle w:val="ListBullet"/>
      </w:pPr>
      <w:r>
        <w:rPr>
          <w:b/>
        </w:rPr>
        <w:t>*'ezer kenegdo</w:t>
      </w:r>
      <w:r>
        <w:rPr>
          <w:i/>
        </w:rPr>
        <w:t xml:space="preserve"> — usually rendered "a helper fit for him," but the Hebrew is stronger and more mutual than English "helper" suggests: </w:t>
      </w:r>
      <w:r>
        <w:t>'ezer</w:t>
      </w:r>
      <w:r>
        <w:rPr>
          <w:i/>
        </w:rPr>
        <w:t xml:space="preserve"> is used overwhelmingly of </w:t>
      </w:r>
      <w:r>
        <w:rPr>
          <w:i/>
        </w:rPr>
        <w:t>God</w:t>
      </w:r>
      <w:r>
        <w:rPr>
          <w:i/>
        </w:rPr>
        <w:t xml:space="preserve"> as Israel's help (Ps 121:2), so it carries no connotation of subordination; </w:t>
      </w:r>
      <w:r>
        <w:t>kenegdo* means "corresponding to, opposite him" — a counterpart who stands face to face.</w:t>
      </w:r>
    </w:p>
    <w:p>
      <w:pPr>
        <w:pStyle w:val="ListBullet"/>
      </w:pPr>
      <w:r>
        <w:rPr>
          <w:b/>
        </w:rPr>
        <w:t>*basar echad</w:t>
      </w:r>
      <w:r>
        <w:rPr>
          <w:i/>
        </w:rPr>
        <w:t xml:space="preserve"> — "they become </w:t>
      </w:r>
      <w:r>
        <w:rPr>
          <w:i/>
        </w:rPr>
        <w:t>one flesh</w:t>
      </w:r>
      <w:r>
        <w:t>*," which Jesus and Paul will both take as the decisive text.</w:t>
      </w:r>
    </w:p>
    <w:p>
      <w:r>
        <w:t xml:space="preserve">The verse also states the social principle: "a man </w:t>
      </w:r>
      <w:r>
        <w:rPr>
          <w:b/>
        </w:rPr>
        <w:t>leaves</w:t>
      </w:r>
      <w:r>
        <w:t xml:space="preserve"> his father and mother and </w:t>
      </w:r>
      <w:r>
        <w:rPr>
          <w:b/>
        </w:rPr>
        <w:t>cleaves</w:t>
      </w:r>
      <w:r>
        <w:t xml:space="preserve"> (</w:t>
      </w:r>
      <w:r>
        <w:rPr>
          <w:i/>
        </w:rPr>
        <w:t>dabaq</w:t>
      </w:r>
      <w:r>
        <w:t>) to his wife" — remarkable in a patrilocal society, where in practice the woman left her family.</w:t>
      </w:r>
    </w:p>
    <w:p>
      <w:pPr>
        <w:spacing w:before="280"/>
      </w:pPr>
      <w:r>
        <w:rPr>
          <w:b/>
          <w:color w:val="24406B"/>
          <w:sz w:val="34"/>
        </w:rPr>
        <w:t>Marriage as Covenant Image</w:t>
      </w:r>
    </w:p>
    <w:p>
      <w:r>
        <w:t xml:space="preserve">The prophets make marriage the </w:t>
      </w:r>
      <w:r>
        <w:rPr>
          <w:b/>
        </w:rPr>
        <w:t>governing metaphor for the covenant</w:t>
      </w:r>
      <w:r>
        <w:t xml:space="preserve"> between YHWH and Israel — and they do so at its most painful:</w:t>
      </w:r>
    </w:p>
    <w:p>
      <w:pPr>
        <w:pStyle w:val="ListBullet"/>
      </w:pPr>
      <w:r>
        <w:rPr>
          <w:b/>
        </w:rPr>
        <w:t>Hosea 1-3</w:t>
      </w:r>
      <w:r>
        <w:t xml:space="preserve"> — the prophet commanded to marry Gomer and to take her back after infidelity. God's fidelity is figured precisely as a </w:t>
      </w:r>
      <w:r>
        <w:rPr>
          <w:i/>
        </w:rPr>
        <w:t>wronged spouse who does not divorce</w:t>
      </w:r>
      <w:r>
        <w:t>.</w:t>
      </w:r>
    </w:p>
    <w:p>
      <w:pPr>
        <w:pStyle w:val="ListBullet"/>
      </w:pPr>
      <w:r>
        <w:rPr>
          <w:b/>
        </w:rPr>
        <w:t>Jeremiah 2-3; Ezekiel 16 and 23; Isaiah 54:5-8</w:t>
      </w:r>
      <w:r>
        <w:t xml:space="preserve"> develop the same figure, with Isaiah's "your Maker is your husband."</w:t>
      </w:r>
    </w:p>
    <w:p>
      <w:pPr>
        <w:pStyle w:val="ListBullet"/>
      </w:pPr>
      <w:r>
        <w:rPr>
          <w:b/>
        </w:rPr>
        <w:t>Malachi 2:14-16</w:t>
      </w:r>
      <w:r>
        <w:t xml:space="preserve"> — the wife is "your </w:t>
      </w:r>
      <w:r>
        <w:rPr>
          <w:b/>
        </w:rPr>
        <w:t>companion</w:t>
      </w:r>
      <w:r>
        <w:t xml:space="preserve"> and your </w:t>
      </w:r>
      <w:r>
        <w:rPr>
          <w:b/>
        </w:rPr>
        <w:t>wife by covenant</w:t>
      </w:r>
      <w:r>
        <w:t xml:space="preserve"> (</w:t>
      </w:r>
      <w:r>
        <w:rPr>
          <w:i/>
        </w:rPr>
        <w:t>berith</w:t>
      </w:r>
      <w:r>
        <w:t>)," and God "hates divorce" (or, on an alternative reading of a difficult text, "he who divorces covers his garment with violence").</w:t>
      </w:r>
    </w:p>
    <w:p>
      <w:r>
        <w:rPr>
          <w:b/>
        </w:rPr>
        <w:t>Teaching point.</w:t>
      </w:r>
      <w:r>
        <w:t xml:space="preserve"> The covenant metaphor runs </w:t>
      </w:r>
      <w:r>
        <w:rPr>
          <w:i/>
        </w:rPr>
        <w:t>both</w:t>
      </w:r>
      <w:r>
        <w:t xml:space="preserve"> ways, and this is where the sacramental theology of Ephesians 5 begins: because marriage is used to explain the covenant, the covenant can be used to explain marriage.</w:t>
      </w:r>
    </w:p>
    <w:p>
      <w:pPr>
        <w:spacing w:before="280"/>
      </w:pPr>
      <w:r>
        <w:rPr>
          <w:b/>
          <w:color w:val="24406B"/>
          <w:sz w:val="34"/>
        </w:rPr>
        <w:t>The Complicating Evidence</w:t>
      </w:r>
    </w:p>
    <w:p>
      <w:r>
        <w:t>An honest treatment states what the Old Testament also contains:</w:t>
      </w:r>
    </w:p>
    <w:p>
      <w:pPr>
        <w:pStyle w:val="ListBullet"/>
      </w:pPr>
      <w:r>
        <w:rPr>
          <w:b/>
        </w:rPr>
        <w:t>Polygamy</w:t>
      </w:r>
      <w:r>
        <w:t xml:space="preserve"> among the patriarchs and kings, never explicitly condemned in narrative.</w:t>
      </w:r>
    </w:p>
    <w:p>
      <w:pPr>
        <w:pStyle w:val="ListBullet"/>
      </w:pPr>
      <w:r>
        <w:rPr>
          <w:b/>
        </w:rPr>
        <w:t>Levirate marriage</w:t>
      </w:r>
      <w:r>
        <w:t xml:space="preserve"> (Deut 25:5-10) — a brother's duty to raise offspring for the deceased.</w:t>
      </w:r>
    </w:p>
    <w:p>
      <w:pPr>
        <w:pStyle w:val="ListBullet"/>
      </w:pPr>
      <w:r>
        <w:rPr>
          <w:b/>
        </w:rPr>
        <w:t>Divorce permitted</w:t>
      </w:r>
      <w:r>
        <w:t xml:space="preserve"> — </w:t>
      </w:r>
      <w:r>
        <w:rPr>
          <w:b/>
        </w:rPr>
        <w:t>Deuteronomy 24:1-4</w:t>
      </w:r>
      <w:r>
        <w:t xml:space="preserve"> presupposes it, on the ground of the husband finding </w:t>
      </w:r>
      <w:r>
        <w:rPr>
          <w:b/>
        </w:rPr>
        <w:t>*'erwat dabar</w:t>
      </w:r>
      <w:r>
        <w:rPr>
          <w:i/>
        </w:rPr>
        <w:t xml:space="preserve">, "some indecency," in his wife. The phrase is genuinely obscure, and by the first century it had produced the two rabbinic schools that frame the Gospel debate: </w:t>
      </w:r>
      <w:r>
        <w:rPr>
          <w:i/>
        </w:rPr>
        <w:t>Shammai</w:t>
      </w:r>
      <w:r>
        <w:rPr>
          <w:i/>
        </w:rPr>
        <w:t xml:space="preserve"> restricting it to sexual immorality, </w:t>
      </w:r>
      <w:r>
        <w:rPr>
          <w:i/>
        </w:rPr>
        <w:t>Hillel</w:t>
      </w:r>
      <w:r>
        <w:t>* extending it to almost any displeasure.</w:t>
      </w:r>
    </w:p>
    <w:p>
      <w:r>
        <w:rPr>
          <w:b/>
        </w:rPr>
        <w:t>Tobit</w:t>
      </w:r>
      <w:r>
        <w:t xml:space="preserve"> deserves mention for its portrait of marriage as prayerful and companionate: Tobias and Sarah pray before consummation — "I now am taking this my beloved to wife, not because of lust, but with sincerity" (Tob 8:7) — a text used in the wedding liturgy for centuries.</w:t>
      </w:r>
    </w:p>
    <w:p>
      <w:r>
        <w:br w:type="page"/>
      </w:r>
    </w:p>
    <w:p>
      <w:r>
        <w:rPr>
          <w:b/>
          <w:color w:val="9C7A2E"/>
          <w:sz w:val="22"/>
        </w:rPr>
        <w:t>UNIT 2</w:t>
      </w:r>
    </w:p>
    <w:p>
      <w:r>
        <w:rPr>
          <w:b/>
          <w:color w:val="24406B"/>
          <w:sz w:val="40"/>
        </w:rPr>
        <w:t>Biblical Foundations II — Jesus and Paul</w:t>
      </w:r>
    </w:p>
    <w:p>
      <w:pPr>
        <w:spacing w:before="280"/>
      </w:pPr>
      <w:r>
        <w:rPr>
          <w:b/>
          <w:color w:val="24406B"/>
          <w:sz w:val="34"/>
        </w:rPr>
        <w:t>Jesus on Divorce</w:t>
      </w:r>
    </w:p>
    <w:p>
      <w:r>
        <w:t xml:space="preserve">The most-attested teaching of Jesus on any ethical question, appearing in </w:t>
      </w:r>
      <w:r>
        <w:rPr>
          <w:b/>
        </w:rPr>
        <w:t>four independent strands</w:t>
      </w:r>
      <w:r>
        <w:t xml:space="preserve">: Mark 10:2-12, Matthew 19:3-9 (and 5:31-32), Luke 16:18, and </w:t>
      </w:r>
      <w:r>
        <w:rPr>
          <w:b/>
        </w:rPr>
        <w:t>1 Corinthians 7:10-11</w:t>
      </w:r>
      <w:r>
        <w:t>, where Paul explicitly attributes it to the Lord rather than to himself.</w:t>
      </w:r>
    </w:p>
    <w:p>
      <w:r>
        <w:rPr>
          <w:b/>
        </w:rPr>
        <w:t>The structure of the argument in Mark 10 is what matters most.</w:t>
      </w:r>
      <w:r>
        <w:t xml:space="preserve"> Asked whether divorce is lawful, Jesus does not adjudicate between Shammai and Hillel. He goes </w:t>
      </w:r>
      <w:r>
        <w:rPr>
          <w:b/>
        </w:rPr>
        <w:t>behind Moses to creation</w:t>
      </w:r>
      <w:r>
        <w:t>: "</w:t>
      </w:r>
      <w:r>
        <w:rPr>
          <w:b/>
        </w:rPr>
        <w:t>from the beginning of creation</w:t>
      </w:r>
      <w:r>
        <w:t xml:space="preserve"> 'God made them male and female'... 'the two shall become one flesh'... What therefore God has joined together, let no one separate." Moses' permission was "</w:t>
      </w:r>
      <w:r>
        <w:rPr>
          <w:b/>
        </w:rPr>
        <w:t>for your hardness of heart</w:t>
      </w:r>
      <w:r>
        <w:t>" (</w:t>
      </w:r>
      <w:r>
        <w:rPr>
          <w:i/>
        </w:rPr>
        <w:t>sklērokardia</w:t>
      </w:r>
      <w:r>
        <w:t>) — a concession, not the divine intention.</w:t>
      </w:r>
    </w:p>
    <w:p>
      <w:r>
        <w:rPr>
          <w:b/>
        </w:rPr>
        <w:t>This move — appealing behind the concession to the order of creation — is the foundation of the doctrine of indissolubility.</w:t>
      </w:r>
    </w:p>
    <w:p>
      <w:r>
        <w:t xml:space="preserve">Mark adds a detail absent from Jewish law: "if </w:t>
      </w:r>
      <w:r>
        <w:rPr>
          <w:b/>
        </w:rPr>
        <w:t>she</w:t>
      </w:r>
      <w:r>
        <w:t xml:space="preserve"> divorces her husband and marries another, she commits adultery" (10:12) — presupposing a Gentile legal context where women could initiate divorce, and establishing the </w:t>
      </w:r>
      <w:r>
        <w:rPr>
          <w:b/>
        </w:rPr>
        <w:t>symmetry</w:t>
      </w:r>
      <w:r>
        <w:t xml:space="preserve"> of the obligation.</w:t>
      </w:r>
    </w:p>
    <w:p>
      <w:pPr>
        <w:spacing w:before="280"/>
      </w:pPr>
      <w:r>
        <w:rPr>
          <w:b/>
          <w:color w:val="24406B"/>
          <w:sz w:val="34"/>
        </w:rPr>
        <w:t>The Matthean Exception Clause</w:t>
      </w:r>
    </w:p>
    <w:p>
      <w:r>
        <w:rPr>
          <w:b/>
        </w:rPr>
        <w:t>Matthew 5:32 and 19:9</w:t>
      </w:r>
      <w:r>
        <w:t xml:space="preserve"> add </w:t>
      </w:r>
      <w:r>
        <w:rPr>
          <w:b/>
        </w:rPr>
        <w:t>*parektos logou porneias</w:t>
      </w:r>
      <w:r>
        <w:rPr>
          <w:i/>
        </w:rPr>
        <w:t xml:space="preserve"> / </w:t>
      </w:r>
      <w:r>
        <w:rPr>
          <w:b/>
        </w:rPr>
        <w:t>mē epi porneia</w:t>
      </w:r>
      <w:r>
        <w:rPr>
          <w:i/>
        </w:rPr>
        <w:t xml:space="preserve"> — "except for </w:t>
      </w:r>
      <w:r>
        <w:t>porneia*." This is one of the genuine cruxes of New Testament exegesis, and you should be able to state the main readings:</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Reading</w:t>
            </w:r>
          </w:p>
        </w:tc>
        <w:tc>
          <w:tcPr>
            <w:tcW w:type="dxa" w:w="4320"/>
            <w:shd w:val="clear" w:color="auto" w:fill="E4E9F1"/>
          </w:tcPr>
          <w:p>
            <w:r>
              <w:rPr>
                <w:b/>
              </w:rPr>
            </w:r>
            <w:r>
              <w:rPr>
                <w:b/>
              </w:rPr>
              <w:t>Content</w:t>
            </w:r>
          </w:p>
        </w:tc>
      </w:tr>
      <w:tr>
        <w:tc>
          <w:tcPr>
            <w:tcW w:type="dxa" w:w="4320"/>
          </w:tcPr>
          <w:p>
            <w:r/>
            <w:r>
              <w:rPr>
                <w:b/>
              </w:rPr>
              <w:t>Unlawful union</w:t>
            </w:r>
          </w:p>
        </w:tc>
        <w:tc>
          <w:tcPr>
            <w:tcW w:type="dxa" w:w="4320"/>
          </w:tcPr>
          <w:p>
            <w:r/>
            <w:r>
              <w:rPr>
                <w:i/>
              </w:rPr>
              <w:t>Porneia</w:t>
            </w:r>
            <w:r>
              <w:t xml:space="preserve"> means marriage within the forbidden degrees (Lev 18) — such unions were never valid, so this is a </w:t>
            </w:r>
            <w:r>
              <w:rPr>
                <w:i/>
              </w:rPr>
              <w:t>nullity</w:t>
            </w:r>
            <w:r>
              <w:t xml:space="preserve"> clause, not a divorce clause. Favoured in Catholic exegesis, and consistent with Acts 15:20's use of </w:t>
            </w:r>
            <w:r>
              <w:rPr>
                <w:i/>
              </w:rPr>
              <w:t>porneia</w:t>
            </w:r>
          </w:p>
        </w:tc>
      </w:tr>
      <w:tr>
        <w:tc>
          <w:tcPr>
            <w:tcW w:type="dxa" w:w="4320"/>
          </w:tcPr>
          <w:p>
            <w:r/>
            <w:r>
              <w:rPr>
                <w:b/>
              </w:rPr>
              <w:t>Adultery</w:t>
            </w:r>
          </w:p>
        </w:tc>
        <w:tc>
          <w:tcPr>
            <w:tcW w:type="dxa" w:w="4320"/>
          </w:tcPr>
          <w:p>
            <w:r/>
            <w:r>
              <w:rPr>
                <w:i/>
              </w:rPr>
              <w:t>Porneia</w:t>
            </w:r>
            <w:r>
              <w:t xml:space="preserve"> means marital infidelity, permitting separation — the traditional Orthodox and Protestant reading, grounding the possibility of remarriage</w:t>
            </w:r>
          </w:p>
        </w:tc>
      </w:tr>
      <w:tr>
        <w:tc>
          <w:tcPr>
            <w:tcW w:type="dxa" w:w="4320"/>
          </w:tcPr>
          <w:p>
            <w:r/>
            <w:r>
              <w:rPr>
                <w:b/>
              </w:rPr>
              <w:t>Separation without remarriage</w:t>
            </w:r>
          </w:p>
        </w:tc>
        <w:tc>
          <w:tcPr>
            <w:tcW w:type="dxa" w:w="4320"/>
          </w:tcPr>
          <w:p>
            <w:r/>
            <w:r>
              <w:t xml:space="preserve">The exception permits </w:t>
            </w:r>
            <w:r>
              <w:rPr>
                <w:i/>
              </w:rPr>
              <w:t>separation from bed and board</w:t>
            </w:r>
            <w:r>
              <w:t xml:space="preserve"> but not a new marriage — the Western Catholic canonical position</w:t>
            </w:r>
          </w:p>
        </w:tc>
      </w:tr>
      <w:tr>
        <w:tc>
          <w:tcPr>
            <w:tcW w:type="dxa" w:w="4320"/>
          </w:tcPr>
          <w:p>
            <w:r/>
            <w:r>
              <w:rPr>
                <w:b/>
              </w:rPr>
              <w:t>Betrothal infidelity</w:t>
            </w:r>
          </w:p>
        </w:tc>
        <w:tc>
          <w:tcPr>
            <w:tcW w:type="dxa" w:w="4320"/>
          </w:tcPr>
          <w:p>
            <w:r/>
            <w:r>
              <w:t>Refers to unfaithfulness during the Jewish betrothal period, as in Matthew's own infancy narrative (1:19)</w:t>
            </w:r>
          </w:p>
        </w:tc>
      </w:tr>
    </w:tbl>
    <w:p>
      <w:pPr>
        <w:spacing w:after="80"/>
      </w:pPr>
    </w:p>
    <w:p>
      <w:r>
        <w:rPr>
          <w:b/>
        </w:rPr>
        <w:t>Honest assessment for essays:</w:t>
      </w:r>
      <w:r>
        <w:t xml:space="preserve"> the Catholic tradition's position is </w:t>
      </w:r>
      <w:r>
        <w:rPr>
          <w:i/>
        </w:rPr>
        <w:t>coherent</w:t>
      </w:r>
      <w:r>
        <w:t xml:space="preserve"> and defensible, but the exception clause is a real difficulty, not an invention of opponents, and Matthew's community evidently found some qualification necessary.</w:t>
      </w:r>
    </w:p>
    <w:p>
      <w:pPr>
        <w:spacing w:before="280"/>
      </w:pPr>
      <w:r>
        <w:rPr>
          <w:b/>
          <w:color w:val="24406B"/>
          <w:sz w:val="34"/>
        </w:rPr>
        <w:t>Paul: 1 Corinthians 7</w:t>
      </w:r>
    </w:p>
    <w:p>
      <w:r>
        <w:t>Paul's own contribution, distinguished carefully from the Lord's command:</w:t>
      </w:r>
    </w:p>
    <w:p>
      <w:pPr>
        <w:pStyle w:val="ListBullet"/>
      </w:pPr>
      <w:r>
        <w:rPr>
          <w:b/>
        </w:rPr>
        <w:t>Celibacy is preferred</w:t>
      </w:r>
      <w:r>
        <w:t xml:space="preserve"> in view of the "impending distress" and undivided devotion (7:26, 32-35) — but marriage is unambiguously good and not sin (7:28).</w:t>
      </w:r>
    </w:p>
    <w:p>
      <w:pPr>
        <w:pStyle w:val="ListBullet"/>
      </w:pPr>
      <w:r>
        <w:rPr>
          <w:b/>
        </w:rPr>
        <w:t>Mutual conjugal rights</w:t>
      </w:r>
      <w:r>
        <w:t xml:space="preserve"> (7:3-4) stated with striking reciprocity: "the wife does not have authority over her own body, but the husband does; </w:t>
      </w:r>
      <w:r>
        <w:rPr>
          <w:b/>
        </w:rPr>
        <w:t>likewise</w:t>
      </w:r>
      <w:r>
        <w:t xml:space="preserve"> the husband does not have authority over his own body, but the wife does." In its context this is a remarkable statement of mutuality.</w:t>
      </w:r>
    </w:p>
    <w:p>
      <w:pPr>
        <w:pStyle w:val="ListBullet"/>
      </w:pPr>
      <w:r>
        <w:rPr>
          <w:b/>
        </w:rPr>
        <w:t>The Pauline privilege</w:t>
      </w:r>
      <w:r>
        <w:t xml:space="preserve"> (7:12-16): if an unbelieving spouse refuses to remain with a believer, "the brother or sister is not bound." This is Paul's </w:t>
      </w:r>
      <w:r>
        <w:rPr>
          <w:i/>
        </w:rPr>
        <w:t>own</w:t>
      </w:r>
      <w:r>
        <w:t xml:space="preserve"> ruling, not the Lord's, and it becomes the canonical basis for dissolving a non-sacramental marriage in favour of the faith (Unit 12).</w:t>
      </w:r>
    </w:p>
    <w:p>
      <w:pPr>
        <w:spacing w:before="280"/>
      </w:pPr>
      <w:r>
        <w:rPr>
          <w:b/>
          <w:color w:val="24406B"/>
          <w:sz w:val="34"/>
        </w:rPr>
        <w:t>Ephesians 5:21-33 — The Sacramental Text</w:t>
      </w:r>
    </w:p>
    <w:p>
      <w:r>
        <w:t>The passage on which the entire sacramental theology rests:</w:t>
      </w:r>
    </w:p>
    <w:p>
      <w:r>
        <w:rPr>
          <w:i/>
        </w:rPr>
        <w:t xml:space="preserve">"Husbands, love your wives, </w:t>
      </w:r>
      <w:r>
        <w:rPr>
          <w:b/>
          <w:i/>
        </w:rPr>
        <w:t>as Christ loved the Church</w:t>
      </w:r>
      <w:r>
        <w:rPr>
          <w:i/>
        </w:rPr>
        <w:t xml:space="preserve"> and gave himself up for her... 'For this reason a man shall leave his father and mother and be joined to his wife, and the two shall become one flesh.' </w:t>
      </w:r>
      <w:r>
        <w:rPr>
          <w:b/>
          <w:i/>
        </w:rPr>
        <w:t>This is a great mystery</w:t>
      </w:r>
      <w:r>
        <w:rPr>
          <w:i/>
        </w:rPr>
        <w:t xml:space="preserve"> (</w:t>
      </w:r>
      <w:r>
        <w:rPr>
          <w:i/>
        </w:rPr>
        <w:t>to mystērion touto mega estin</w:t>
      </w:r>
      <w:r>
        <w:rPr>
          <w:i/>
        </w:rPr>
        <w:t>), and I am applying it to Christ and the Church."</w:t>
      </w:r>
    </w:p>
    <w:p>
      <w:r>
        <w:t>Three observations:</w:t>
      </w:r>
    </w:p>
    <w:p>
      <w:pPr>
        <w:pStyle w:val="ListNumber"/>
      </w:pPr>
      <w:r>
        <w:t xml:space="preserve">The Vulgate renders </w:t>
      </w:r>
      <w:r>
        <w:rPr>
          <w:i/>
        </w:rPr>
        <w:t>mystērion</w:t>
      </w:r>
      <w:r>
        <w:t xml:space="preserve"> as </w:t>
      </w:r>
      <w:r>
        <w:rPr>
          <w:b/>
        </w:rPr>
        <w:t>*sacramentum</w:t>
      </w:r>
      <w:r>
        <w:t>* — the linguistic bridge on which the Western tradition built, and the reason this text is cited in every magisterial document on marriage.</w:t>
      </w:r>
    </w:p>
    <w:p>
      <w:pPr>
        <w:pStyle w:val="ListNumber"/>
      </w:pPr>
      <w:r>
        <w:t xml:space="preserve">The passage is framed by </w:t>
      </w:r>
      <w:r>
        <w:rPr>
          <w:b/>
        </w:rPr>
        <w:t>v. 21</w:t>
      </w:r>
      <w:r>
        <w:t>: "</w:t>
      </w:r>
      <w:r>
        <w:rPr>
          <w:b/>
        </w:rPr>
        <w:t>be subject to one another</w:t>
      </w:r>
      <w:r>
        <w:t xml:space="preserve"> out of reverence for Christ." The mutual subjection governs everything that follows, and omitting it inverts the passage's meaning.</w:t>
      </w:r>
    </w:p>
    <w:p>
      <w:pPr>
        <w:pStyle w:val="ListNumber"/>
      </w:pPr>
      <w:r>
        <w:t xml:space="preserve">The husband's charge is not authority but </w:t>
      </w:r>
      <w:r>
        <w:rPr>
          <w:b/>
        </w:rPr>
        <w:t>*self-gift unto death</w:t>
      </w:r>
      <w:r>
        <w:rPr>
          <w:i/>
        </w:rPr>
        <w:t xml:space="preserve"> — "as Christ loved the Church and </w:t>
      </w:r>
      <w:r>
        <w:rPr>
          <w:i/>
        </w:rPr>
        <w:t>gave himself up</w:t>
      </w:r>
      <w:r>
        <w:t>* for her." The analogy makes headship costly, not privileged.</w:t>
      </w:r>
    </w:p>
    <w:p>
      <w:r>
        <w:rPr>
          <w:b/>
        </w:rPr>
        <w:t>John 2:1-11 (Cana)</w:t>
      </w:r>
      <w:r>
        <w:t xml:space="preserve"> is traditionally cited as Christ's blessing of marriage by his presence, though the text itself makes no statement about marriage — a point worth conceding in an essay before making the traditional argument.</w:t>
      </w:r>
    </w:p>
    <w:p>
      <w:r>
        <w:br w:type="page"/>
      </w:r>
    </w:p>
    <w:p>
      <w:r>
        <w:rPr>
          <w:b/>
          <w:color w:val="9C7A2E"/>
          <w:sz w:val="22"/>
        </w:rPr>
        <w:t>UNIT 3</w:t>
      </w:r>
    </w:p>
    <w:p>
      <w:r>
        <w:rPr>
          <w:b/>
          <w:color w:val="24406B"/>
          <w:sz w:val="40"/>
        </w:rPr>
        <w:t>The Patristic Era</w:t>
      </w:r>
    </w:p>
    <w:p>
      <w:pPr>
        <w:spacing w:before="280"/>
      </w:pPr>
      <w:r>
        <w:rPr>
          <w:b/>
          <w:color w:val="24406B"/>
          <w:sz w:val="34"/>
        </w:rPr>
        <w:t>Defending Marriage Against Disparagement</w:t>
      </w:r>
    </w:p>
    <w:p>
      <w:r>
        <w:t xml:space="preserve">The characteristic patristic task was </w:t>
      </w:r>
      <w:r>
        <w:rPr>
          <w:b/>
        </w:rPr>
        <w:t>not</w:t>
      </w:r>
      <w:r>
        <w:t xml:space="preserve"> to exalt marriage over celibacy but to defend marriage as </w:t>
      </w:r>
      <w:r>
        <w:rPr>
          <w:b/>
        </w:rPr>
        <w:t>good at all</w:t>
      </w:r>
      <w:r>
        <w:t>, against Gnostic, Marcionite, Manichaean, and Encratite movements that held matter and procreation to be evil or the work of an inferior god.</w:t>
      </w:r>
    </w:p>
    <w:p>
      <w:pPr>
        <w:pStyle w:val="ListBullet"/>
      </w:pPr>
      <w:r>
        <w:rPr>
          <w:b/>
        </w:rPr>
        <w:t>Clement of Alexandria</w:t>
      </w:r>
      <w:r>
        <w:t xml:space="preserve"> (</w:t>
      </w:r>
      <w:r>
        <w:rPr>
          <w:i/>
        </w:rPr>
        <w:t>Stromateis</w:t>
      </w:r>
      <w:r>
        <w:t xml:space="preserve"> III) writes the most sustained early defence, against Encratites who forbade marriage: procreation cooperates with the Creator, and the married Christian who raises children in the faith may be more perfect than the ascetic who avoids the difficulty.</w:t>
      </w:r>
    </w:p>
    <w:p>
      <w:pPr>
        <w:pStyle w:val="ListBullet"/>
      </w:pPr>
      <w:r>
        <w:rPr>
          <w:b/>
        </w:rPr>
        <w:t>Tertullian</w:t>
      </w:r>
      <w:r>
        <w:t xml:space="preserve">, </w:t>
      </w:r>
      <w:r>
        <w:rPr>
          <w:i/>
        </w:rPr>
        <w:t>Ad Uxorem</w:t>
      </w:r>
      <w:r>
        <w:t xml:space="preserve"> II.8, gives the era's most beautiful passage on Christian marriage — a marriage "which the Church arranges, the oblation confirms, the blessing seals, angels proclaim, and the Father holds as ratified... two in one flesh; where the flesh is one, one also is the spirit."</w:t>
      </w:r>
    </w:p>
    <w:p>
      <w:pPr>
        <w:pStyle w:val="ListBullet"/>
      </w:pPr>
      <w:r>
        <w:rPr>
          <w:b/>
        </w:rPr>
        <w:t>Ignatius</w:t>
      </w:r>
      <w:r>
        <w:t xml:space="preserve"> advises that those marrying "should be united with the consent of the bishop" — the earliest hint of ecclesial involvement, though not yet a required rite.</w:t>
      </w:r>
    </w:p>
    <w:p>
      <w:pPr>
        <w:spacing w:before="280"/>
      </w:pPr>
      <w:r>
        <w:rPr>
          <w:b/>
          <w:color w:val="24406B"/>
          <w:sz w:val="34"/>
        </w:rPr>
        <w:t>The Jerome–Jovinian Controversy</w:t>
      </w:r>
    </w:p>
    <w:p>
      <w:r>
        <w:t xml:space="preserve">The sharpest patristic conflict on the subject. </w:t>
      </w:r>
      <w:r>
        <w:rPr>
          <w:b/>
        </w:rPr>
        <w:t>Jovinian</w:t>
      </w:r>
      <w:r>
        <w:t xml:space="preserve"> argued that the baptised who persevere are of equal merit, so </w:t>
      </w:r>
      <w:r>
        <w:rPr>
          <w:b/>
        </w:rPr>
        <w:t>virginity is not superior to marriage</w:t>
      </w:r>
      <w:r>
        <w:t xml:space="preserve">. </w:t>
      </w:r>
      <w:r>
        <w:rPr>
          <w:b/>
        </w:rPr>
        <w:t>Jerome's</w:t>
      </w:r>
      <w:r>
        <w:t xml:space="preserve"> reply (</w:t>
      </w:r>
      <w:r>
        <w:rPr>
          <w:i/>
        </w:rPr>
        <w:t>Adversus Jovinianum</w:t>
      </w:r>
      <w:r>
        <w:t>, 393) was so extreme in its disparagement of marriage that Jerome's own friends were embarrassed and Augustine felt obliged to write a more balanced treatment.</w:t>
      </w:r>
    </w:p>
    <w:p>
      <w:r>
        <w:t xml:space="preserve">Jerome's position — marriage is good chiefly because it produces virgins — represents the pole the tradition ultimately did </w:t>
      </w:r>
      <w:r>
        <w:rPr>
          <w:i/>
        </w:rPr>
        <w:t>not</w:t>
      </w:r>
      <w:r>
        <w:t xml:space="preserve"> adopt while still affirming the superiority of consecrated virginity (which Trent would reaffirm, Unit 6).</w:t>
      </w:r>
    </w:p>
    <w:p>
      <w:pPr>
        <w:spacing w:before="280"/>
      </w:pPr>
      <w:r>
        <w:rPr>
          <w:b/>
          <w:color w:val="24406B"/>
          <w:sz w:val="34"/>
        </w:rPr>
        <w:t>Augustine and the Three Goods</w:t>
      </w:r>
    </w:p>
    <w:p>
      <w:r>
        <w:rPr>
          <w:b/>
        </w:rPr>
        <w:t>Augustine's *De bono coniugali* (401)</w:t>
      </w:r>
      <w:r>
        <w:t xml:space="preserve"> is the decisive Western text, and its framework governs the next fifteen centuries. The </w:t>
      </w:r>
      <w:r>
        <w:rPr>
          <w:b/>
        </w:rPr>
        <w:t>three goods (*tria bona*)</w:t>
      </w:r>
      <w:r>
        <w:t xml:space="preserve"> of marriage:</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Good</w:t>
            </w:r>
          </w:p>
        </w:tc>
        <w:tc>
          <w:tcPr>
            <w:tcW w:type="dxa" w:w="4320"/>
            <w:shd w:val="clear" w:color="auto" w:fill="E4E9F1"/>
          </w:tcPr>
          <w:p>
            <w:r>
              <w:rPr>
                <w:b/>
              </w:rPr>
            </w:r>
            <w:r>
              <w:rPr>
                <w:b/>
              </w:rPr>
              <w:t>Content</w:t>
            </w:r>
          </w:p>
        </w:tc>
      </w:tr>
      <w:tr>
        <w:tc>
          <w:tcPr>
            <w:tcW w:type="dxa" w:w="4320"/>
          </w:tcPr>
          <w:p>
            <w:r/>
            <w:r>
              <w:rPr>
                <w:b/>
              </w:rPr>
              <w:t>*Proles</w:t>
            </w:r>
            <w:r>
              <w:t>* (offspring)</w:t>
            </w:r>
          </w:p>
        </w:tc>
        <w:tc>
          <w:tcPr>
            <w:tcW w:type="dxa" w:w="4320"/>
          </w:tcPr>
          <w:p>
            <w:r/>
            <w:r>
              <w:t>Children, to be received and raised in the faith</w:t>
            </w:r>
          </w:p>
        </w:tc>
      </w:tr>
      <w:tr>
        <w:tc>
          <w:tcPr>
            <w:tcW w:type="dxa" w:w="4320"/>
          </w:tcPr>
          <w:p>
            <w:r/>
            <w:r>
              <w:rPr>
                <w:b/>
              </w:rPr>
              <w:t>*Fides</w:t>
            </w:r>
            <w:r>
              <w:t>* (fidelity)</w:t>
            </w:r>
          </w:p>
        </w:tc>
        <w:tc>
          <w:tcPr>
            <w:tcW w:type="dxa" w:w="4320"/>
          </w:tcPr>
          <w:p>
            <w:r/>
            <w:r>
              <w:t>Mutual faithfulness, the exclusion of adultery</w:t>
            </w:r>
          </w:p>
        </w:tc>
      </w:tr>
      <w:tr>
        <w:tc>
          <w:tcPr>
            <w:tcW w:type="dxa" w:w="4320"/>
          </w:tcPr>
          <w:p>
            <w:r/>
            <w:r>
              <w:rPr>
                <w:b/>
              </w:rPr>
              <w:t>*Sacramentum</w:t>
            </w:r>
            <w:r>
              <w:t>* (the bond)</w:t>
            </w:r>
          </w:p>
        </w:tc>
        <w:tc>
          <w:tcPr>
            <w:tcW w:type="dxa" w:w="4320"/>
          </w:tcPr>
          <w:p>
            <w:r/>
            <w:r>
              <w:t xml:space="preserve">The </w:t>
            </w:r>
            <w:r>
              <w:rPr>
                <w:b/>
              </w:rPr>
              <w:t>indissoluble bond</w:t>
            </w:r>
            <w:r>
              <w:t xml:space="preserve"> itself, signifying Christ's union with the Church — note that for Augustine </w:t>
            </w:r>
            <w:r>
              <w:rPr>
                <w:i/>
              </w:rPr>
              <w:t>sacramentum</w:t>
            </w:r>
            <w:r>
              <w:t xml:space="preserve"> here means the permanent, unbreakable bond, not yet "sacrament" in the later technical sense</w:t>
            </w:r>
          </w:p>
        </w:tc>
      </w:tr>
    </w:tbl>
    <w:p>
      <w:pPr>
        <w:spacing w:after="80"/>
      </w:pPr>
    </w:p>
    <w:p>
      <w:r>
        <w:rPr>
          <w:b/>
        </w:rPr>
        <w:t>Augustine's ambivalence must be stated honestly.</w:t>
      </w:r>
      <w:r>
        <w:t xml:space="preserve"> In </w:t>
      </w:r>
      <w:r>
        <w:rPr>
          <w:i/>
        </w:rPr>
        <w:t>De nuptiis et concupiscentia</w:t>
      </w:r>
      <w:r>
        <w:t xml:space="preserve">, arguing against the Pelagians, he holds that although marriage is genuinely good, sexual intercourse is now inevitably accompanied by </w:t>
      </w:r>
      <w:r>
        <w:rPr>
          <w:b/>
        </w:rPr>
        <w:t>concupiscence</w:t>
      </w:r>
      <w:r>
        <w:t>, and it is through generation that original sin is transmitted. The result is a tradition that affirms marriage's goodness while treating its sexual expression with persistent unease — a legacy the twentieth-century personalist turn (Unit 8) set out to correct.</w:t>
      </w:r>
    </w:p>
    <w:p>
      <w:r>
        <w:rPr>
          <w:b/>
        </w:rPr>
        <w:t>John Chrysostom</w:t>
      </w:r>
      <w:r>
        <w:t xml:space="preserve"> offers a warmer counterweight, particularly in his homilies on Ephesians 5 and his sermon </w:t>
      </w:r>
      <w:r>
        <w:rPr>
          <w:i/>
        </w:rPr>
        <w:t>On Marriage</w:t>
      </w:r>
      <w:r>
        <w:t>, urging husbands to tell their wives, "I have taken you in my arms, and I love you, and I prefer you to my life itself" — and grounding marriage in love rather than in procreation alone.</w:t>
      </w:r>
    </w:p>
    <w:p>
      <w:pPr>
        <w:spacing w:before="280"/>
      </w:pPr>
      <w:r>
        <w:rPr>
          <w:b/>
          <w:color w:val="24406B"/>
          <w:sz w:val="34"/>
        </w:rPr>
        <w:t>No Required Rite</w:t>
      </w:r>
    </w:p>
    <w:p>
      <w:r>
        <w:t xml:space="preserve">For the first several centuries there was </w:t>
      </w:r>
      <w:r>
        <w:rPr>
          <w:b/>
        </w:rPr>
        <w:t>no obligatory ecclesiastical ceremony</w:t>
      </w:r>
      <w:r>
        <w:t xml:space="preserve">. Marriage was contracted according to local civil custom — in the Roman world by </w:t>
      </w:r>
      <w:r>
        <w:rPr>
          <w:b/>
        </w:rPr>
        <w:t>consent</w:t>
      </w:r>
      <w:r>
        <w:t xml:space="preserve"> (</w:t>
      </w:r>
      <w:r>
        <w:rPr>
          <w:i/>
        </w:rPr>
        <w:t>consensus facit nuptias</w:t>
      </w:r>
      <w:r>
        <w:t>) — and Christians simply married as others did, with the Church's blessing sought but not required for validity. The nuptial blessing (</w:t>
      </w:r>
      <w:r>
        <w:rPr>
          <w:i/>
        </w:rPr>
        <w:t>velatio</w:t>
      </w:r>
      <w:r>
        <w:t xml:space="preserve">) develops gradually, and marriage does not become a required liturgical act in the West until Trent's </w:t>
      </w:r>
      <w:r>
        <w:rPr>
          <w:i/>
        </w:rPr>
        <w:t>Tametsi</w:t>
      </w:r>
      <w:r>
        <w:t xml:space="preserve"> (Unit 6).</w:t>
      </w:r>
    </w:p>
    <w:p>
      <w:r>
        <w:br w:type="page"/>
      </w:r>
    </w:p>
    <w:p>
      <w:r>
        <w:rPr>
          <w:b/>
          <w:color w:val="9C7A2E"/>
          <w:sz w:val="22"/>
        </w:rPr>
        <w:t>UNIT 4</w:t>
      </w:r>
    </w:p>
    <w:p>
      <w:r>
        <w:rPr>
          <w:b/>
          <w:color w:val="24406B"/>
          <w:sz w:val="40"/>
        </w:rPr>
        <w:t>The Medieval Development — Consent, Consummation, and Canon Law</w:t>
      </w:r>
    </w:p>
    <w:p>
      <w:pPr>
        <w:spacing w:before="280"/>
      </w:pPr>
      <w:r>
        <w:rPr>
          <w:b/>
          <w:color w:val="24406B"/>
          <w:sz w:val="34"/>
        </w:rPr>
        <w:t>The Central Question: What Makes a Marriage?</w:t>
      </w:r>
    </w:p>
    <w:p>
      <w:r>
        <w:t>The twelfth century saw a genuine and consequential dispute between two schools:</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School</w:t>
            </w:r>
          </w:p>
        </w:tc>
        <w:tc>
          <w:tcPr>
            <w:tcW w:type="dxa" w:w="4320"/>
            <w:shd w:val="clear" w:color="auto" w:fill="E4E9F1"/>
          </w:tcPr>
          <w:p>
            <w:r>
              <w:rPr>
                <w:b/>
              </w:rPr>
            </w:r>
            <w:r>
              <w:rPr>
                <w:b/>
              </w:rPr>
              <w:t>Position</w:t>
            </w:r>
          </w:p>
        </w:tc>
      </w:tr>
      <w:tr>
        <w:tc>
          <w:tcPr>
            <w:tcW w:type="dxa" w:w="4320"/>
          </w:tcPr>
          <w:p>
            <w:r/>
            <w:r>
              <w:rPr>
                <w:b/>
              </w:rPr>
              <w:t>Gratian</w:t>
            </w:r>
            <w:r>
              <w:t xml:space="preserve"> and the Bolognese canonists</w:t>
            </w:r>
          </w:p>
        </w:tc>
        <w:tc>
          <w:tcPr>
            <w:tcW w:type="dxa" w:w="4320"/>
          </w:tcPr>
          <w:p>
            <w:r/>
            <w:r>
              <w:t xml:space="preserve">Marriage is </w:t>
            </w:r>
            <w:r>
              <w:rPr>
                <w:i/>
              </w:rPr>
              <w:t>initiated</w:t>
            </w:r>
            <w:r>
              <w:t xml:space="preserve"> by consent but </w:t>
            </w:r>
            <w:r>
              <w:rPr>
                <w:b/>
              </w:rPr>
              <w:t>completed by consummation</w:t>
            </w:r>
            <w:r>
              <w:t>; before consummation it is not fully a marriage</w:t>
            </w:r>
          </w:p>
        </w:tc>
      </w:tr>
      <w:tr>
        <w:tc>
          <w:tcPr>
            <w:tcW w:type="dxa" w:w="4320"/>
          </w:tcPr>
          <w:p>
            <w:r/>
            <w:r>
              <w:rPr>
                <w:b/>
              </w:rPr>
              <w:t>Peter Lombard</w:t>
            </w:r>
            <w:r>
              <w:t xml:space="preserve"> and the Paris theologians</w:t>
            </w:r>
          </w:p>
        </w:tc>
        <w:tc>
          <w:tcPr>
            <w:tcW w:type="dxa" w:w="4320"/>
          </w:tcPr>
          <w:p>
            <w:r/>
            <w:r>
              <w:rPr>
                <w:b/>
              </w:rPr>
              <w:t>*Consensus facit nuptias</w:t>
            </w:r>
            <w:r>
              <w:rPr>
                <w:i/>
              </w:rPr>
              <w:t xml:space="preserve"> — </w:t>
            </w:r>
            <w:r>
              <w:rPr>
                <w:i/>
              </w:rPr>
              <w:t>consent alone</w:t>
            </w:r>
            <w:r>
              <w:t>* makes the marriage, following Roman law. Otherwise, they argued, the marriage of Mary and Joseph would not have been a true marriage</w:t>
            </w:r>
          </w:p>
        </w:tc>
      </w:tr>
    </w:tbl>
    <w:p>
      <w:pPr>
        <w:spacing w:after="80"/>
      </w:pPr>
    </w:p>
    <w:p>
      <w:r>
        <w:rPr>
          <w:b/>
        </w:rPr>
        <w:t>Alexander III's synthesis</w:t>
      </w:r>
      <w:r>
        <w:t xml:space="preserve"> (later 12th c.) resolved it and remains Catholic law:</w:t>
      </w:r>
    </w:p>
    <w:p>
      <w:pPr>
        <w:pStyle w:val="ListBullet"/>
      </w:pPr>
      <w:r>
        <w:rPr>
          <w:b/>
        </w:rPr>
        <w:t>Consent alone</w:t>
      </w:r>
      <w:r>
        <w:t xml:space="preserve"> creates a true and valid marriage (</w:t>
      </w:r>
      <w:r>
        <w:rPr>
          <w:b/>
        </w:rPr>
        <w:t>*matrimonium ratum</w:t>
      </w:r>
      <w:r>
        <w:t>*).</w:t>
      </w:r>
    </w:p>
    <w:p>
      <w:pPr>
        <w:pStyle w:val="ListBullet"/>
      </w:pPr>
      <w:r>
        <w:rPr>
          <w:b/>
        </w:rPr>
        <w:t>Consummation</w:t>
      </w:r>
      <w:r>
        <w:t xml:space="preserve"> makes it </w:t>
      </w:r>
      <w:r>
        <w:rPr>
          <w:b/>
        </w:rPr>
        <w:t>absolutely indissoluble</w:t>
      </w:r>
      <w:r>
        <w:t xml:space="preserve"> (</w:t>
      </w:r>
      <w:r>
        <w:rPr>
          <w:b/>
        </w:rPr>
        <w:t>*matrimonium ratum et consummatum</w:t>
      </w:r>
      <w:r>
        <w:t>*).</w:t>
      </w:r>
    </w:p>
    <w:p>
      <w:pPr>
        <w:pStyle w:val="ListBullet"/>
      </w:pPr>
      <w:r>
        <w:t xml:space="preserve">Hence a </w:t>
      </w:r>
      <w:r>
        <w:rPr>
          <w:i/>
        </w:rPr>
        <w:t>ratum non consummatum</w:t>
      </w:r>
      <w:r>
        <w:t xml:space="preserve"> marriage — valid but unconsummated — </w:t>
      </w:r>
      <w:r>
        <w:rPr>
          <w:b/>
        </w:rPr>
        <w:t>can</w:t>
      </w:r>
      <w:r>
        <w:t xml:space="preserve"> be dissolved by papal dispensation, a possibility that still exists (CIC c. 1142).</w:t>
      </w:r>
    </w:p>
    <w:p>
      <w:r>
        <w:rPr>
          <w:b/>
        </w:rPr>
        <w:t>Why this matters.</w:t>
      </w:r>
      <w:r>
        <w:t xml:space="preserve"> The distinction explains an otherwise puzzling feature of Catholic teaching: an unconsummated sacramental marriage can be dissolved, while a consummated one cannot. It also means that in Catholic theology the </w:t>
      </w:r>
      <w:r>
        <w:rPr>
          <w:b/>
        </w:rPr>
        <w:t>spouses' consent</w:t>
      </w:r>
      <w:r>
        <w:t xml:space="preserve"> is the efficient cause of the marriage — from which follows the doctrine that </w:t>
      </w:r>
      <w:r>
        <w:rPr>
          <w:b/>
        </w:rPr>
        <w:t>the spouses themselves are the ministers of the sacrament</w:t>
      </w:r>
      <w:r>
        <w:t xml:space="preserve"> (Unit 5).</w:t>
      </w:r>
    </w:p>
    <w:p>
      <w:pPr>
        <w:spacing w:before="280"/>
      </w:pPr>
      <w:r>
        <w:rPr>
          <w:b/>
          <w:color w:val="24406B"/>
          <w:sz w:val="34"/>
        </w:rPr>
        <w:t>The Problem of Clandestine Marriage</w:t>
      </w:r>
    </w:p>
    <w:p>
      <w:r>
        <w:t xml:space="preserve">Because consent alone sufficed, a valid marriage could be contracted </w:t>
      </w:r>
      <w:r>
        <w:rPr>
          <w:b/>
        </w:rPr>
        <w:t>privately, with no witnesses and no priest</w:t>
      </w:r>
      <w:r>
        <w:t>. The consequences were severe: secret marriages that one party later denied; bigamy; disputes over inheritance and legitimacy that the courts could not resolve; and the seduction of women by promises of marriage that were later contested.</w:t>
      </w:r>
    </w:p>
    <w:p>
      <w:r>
        <w:t xml:space="preserve">The Church consistently declared clandestine marriages </w:t>
      </w:r>
      <w:r>
        <w:rPr>
          <w:b/>
        </w:rPr>
        <w:t>illicit but valid</w:t>
      </w:r>
      <w:r>
        <w:t xml:space="preserve"> — which solved nothing practically. </w:t>
      </w:r>
      <w:r>
        <w:rPr>
          <w:b/>
        </w:rPr>
        <w:t>Lateran IV (1215)</w:t>
      </w:r>
      <w:r>
        <w:t xml:space="preserve"> required the public announcement of banns, but did not make the omission invalidating. The problem was only solved by Trent (Unit 6), and solving it required the Church to do something it had never done: </w:t>
      </w:r>
      <w:r>
        <w:rPr>
          <w:b/>
        </w:rPr>
        <w:t>make its own ceremony a condition of validity</w:t>
      </w:r>
      <w:r>
        <w:t>.</w:t>
      </w:r>
    </w:p>
    <w:p>
      <w:pPr>
        <w:spacing w:before="280"/>
      </w:pPr>
      <w:r>
        <w:rPr>
          <w:b/>
          <w:color w:val="24406B"/>
          <w:sz w:val="34"/>
        </w:rPr>
        <w:t>Impediments</w:t>
      </w:r>
    </w:p>
    <w:p>
      <w:r>
        <w:t xml:space="preserve">Medieval canon law developed an elaborate system, most notoriously the prohibition of marriage within </w:t>
      </w:r>
      <w:r>
        <w:rPr>
          <w:b/>
        </w:rPr>
        <w:t>seven degrees of consanguinity and affinity</w:t>
      </w:r>
      <w:r>
        <w:t xml:space="preserve"> — which, in small populations, made almost any local marriage technically impedable and turned dispensations into an instrument of power and revenue. </w:t>
      </w:r>
      <w:r>
        <w:rPr>
          <w:b/>
        </w:rPr>
        <w:t>Lateran IV reduced the prohibition to four degrees</w:t>
      </w:r>
      <w:r>
        <w:t>, an unusual instance of a council relaxing rather than tightening discipline, precisely because the wider rule had become unworkable and corrupting.</w:t>
      </w:r>
    </w:p>
    <w:p>
      <w:r>
        <w:br w:type="page"/>
      </w:r>
    </w:p>
    <w:p>
      <w:r>
        <w:rPr>
          <w:b/>
          <w:color w:val="9C7A2E"/>
          <w:sz w:val="22"/>
        </w:rPr>
        <w:t>UNIT 5</w:t>
      </w:r>
    </w:p>
    <w:p>
      <w:r>
        <w:rPr>
          <w:b/>
          <w:color w:val="24406B"/>
          <w:sz w:val="40"/>
        </w:rPr>
        <w:t>The Scholastic Synthesis</w:t>
      </w:r>
    </w:p>
    <w:p>
      <w:pPr>
        <w:spacing w:before="280"/>
      </w:pPr>
      <w:r>
        <w:rPr>
          <w:b/>
          <w:color w:val="24406B"/>
          <w:sz w:val="34"/>
        </w:rPr>
        <w:t>Marriage Among the Seven</w:t>
      </w:r>
    </w:p>
    <w:p>
      <w:r>
        <w:t>Marriage's inclusion among the seven sacraments met genuine resistance, on two grounds worth knowing:</w:t>
      </w:r>
    </w:p>
    <w:p>
      <w:pPr>
        <w:pStyle w:val="ListNumber"/>
      </w:pPr>
      <w:r>
        <w:rPr>
          <w:b/>
        </w:rPr>
        <w:t>It existed before Christ</w:t>
      </w:r>
      <w:r>
        <w:t xml:space="preserve"> and among non-Christians — so how can it be a sacrament of the New Law instituted by Christ?</w:t>
      </w:r>
    </w:p>
    <w:p>
      <w:pPr>
        <w:pStyle w:val="ListNumber"/>
      </w:pPr>
      <w:r>
        <w:rPr>
          <w:b/>
        </w:rPr>
        <w:t>It involves sexual intercourse</w:t>
      </w:r>
      <w:r>
        <w:t>, which the tradition associated with concupiscence — so how can it confer grace?</w:t>
      </w:r>
    </w:p>
    <w:p>
      <w:r>
        <w:t xml:space="preserve">The scholastic answer to the first: marriage exists as a </w:t>
      </w:r>
      <w:r>
        <w:rPr>
          <w:i/>
        </w:rPr>
        <w:t>natural institution</w:t>
      </w:r>
      <w:r>
        <w:t xml:space="preserve"> from creation and was </w:t>
      </w:r>
      <w:r>
        <w:rPr>
          <w:b/>
        </w:rPr>
        <w:t>raised</w:t>
      </w:r>
      <w:r>
        <w:t xml:space="preserve"> (</w:t>
      </w:r>
      <w:r>
        <w:rPr>
          <w:i/>
        </w:rPr>
        <w:t>elevatum</w:t>
      </w:r>
      <w:r>
        <w:t>) by Christ to sacramental dignity for the baptised. To the second: the marital act, rightly ordered, is not sinful, and the sacrament confers grace to live the state faithfully.</w:t>
      </w:r>
    </w:p>
    <w:p>
      <w:pPr>
        <w:spacing w:before="280"/>
      </w:pPr>
      <w:r>
        <w:rPr>
          <w:b/>
          <w:color w:val="24406B"/>
          <w:sz w:val="34"/>
        </w:rPr>
        <w:t>Aquinas (ST Suppl. qq. 41-68)</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Category</w:t>
            </w:r>
          </w:p>
        </w:tc>
        <w:tc>
          <w:tcPr>
            <w:tcW w:type="dxa" w:w="4320"/>
            <w:shd w:val="clear" w:color="auto" w:fill="E4E9F1"/>
          </w:tcPr>
          <w:p>
            <w:r>
              <w:rPr>
                <w:b/>
              </w:rPr>
            </w:r>
            <w:r>
              <w:rPr>
                <w:b/>
              </w:rPr>
              <w:t>Content</w:t>
            </w:r>
          </w:p>
        </w:tc>
      </w:tr>
      <w:tr>
        <w:tc>
          <w:tcPr>
            <w:tcW w:type="dxa" w:w="4320"/>
          </w:tcPr>
          <w:p>
            <w:r/>
            <w:r>
              <w:rPr>
                <w:b/>
              </w:rPr>
              <w:t>Matter and form</w:t>
            </w:r>
          </w:p>
        </w:tc>
        <w:tc>
          <w:tcPr>
            <w:tcW w:type="dxa" w:w="4320"/>
          </w:tcPr>
          <w:p>
            <w:r/>
            <w:r>
              <w:t xml:space="preserve">The </w:t>
            </w:r>
            <w:r>
              <w:rPr>
                <w:b/>
              </w:rPr>
              <w:t>words or signs expressing consent</w:t>
            </w:r>
            <w:r>
              <w:t xml:space="preserve"> — the mutual exchange itself</w:t>
            </w:r>
          </w:p>
        </w:tc>
      </w:tr>
      <w:tr>
        <w:tc>
          <w:tcPr>
            <w:tcW w:type="dxa" w:w="4320"/>
          </w:tcPr>
          <w:p>
            <w:r/>
            <w:r>
              <w:rPr>
                <w:b/>
              </w:rPr>
              <w:t>Minister</w:t>
            </w:r>
          </w:p>
        </w:tc>
        <w:tc>
          <w:tcPr>
            <w:tcW w:type="dxa" w:w="4320"/>
          </w:tcPr>
          <w:p>
            <w:r/>
            <w:r>
              <w:rPr>
                <w:b/>
              </w:rPr>
              <w:t>The spouses themselves.</w:t>
            </w:r>
            <w:r>
              <w:t xml:space="preserve"> The priest is the Church's official witness, not the minister. This is unique among the seven sacraments</w:t>
            </w:r>
          </w:p>
        </w:tc>
      </w:tr>
      <w:tr>
        <w:tc>
          <w:tcPr>
            <w:tcW w:type="dxa" w:w="4320"/>
          </w:tcPr>
          <w:p>
            <w:r/>
            <w:r>
              <w:rPr>
                <w:b/>
              </w:rPr>
              <w:t>Effect</w:t>
            </w:r>
          </w:p>
        </w:tc>
        <w:tc>
          <w:tcPr>
            <w:tcW w:type="dxa" w:w="4320"/>
          </w:tcPr>
          <w:p>
            <w:r/>
            <w:r>
              <w:t xml:space="preserve">The </w:t>
            </w:r>
            <w:r>
              <w:rPr>
                <w:b/>
              </w:rPr>
              <w:t>bond</w:t>
            </w:r>
            <w:r>
              <w:t xml:space="preserve"> (</w:t>
            </w:r>
            <w:r>
              <w:rPr>
                <w:i/>
              </w:rPr>
              <w:t>vinculum</w:t>
            </w:r>
            <w:r>
              <w:t>) and the grace to fulfil the duties of the state</w:t>
            </w:r>
          </w:p>
        </w:tc>
      </w:tr>
      <w:tr>
        <w:tc>
          <w:tcPr>
            <w:tcW w:type="dxa" w:w="4320"/>
          </w:tcPr>
          <w:p>
            <w:r/>
            <w:r>
              <w:rPr>
                <w:b/>
              </w:rPr>
              <w:t>Character</w:t>
            </w:r>
          </w:p>
        </w:tc>
        <w:tc>
          <w:tcPr>
            <w:tcW w:type="dxa" w:w="4320"/>
          </w:tcPr>
          <w:p>
            <w:r/>
            <w:r>
              <w:rPr>
                <w:b/>
              </w:rPr>
              <w:t>None</w:t>
            </w:r>
            <w:r>
              <w:t xml:space="preserve"> — hence marriage is not repeatable during the life of both spouses, but a widow or widower may remarry</w:t>
            </w:r>
          </w:p>
        </w:tc>
      </w:tr>
      <w:tr>
        <w:tc>
          <w:tcPr>
            <w:tcW w:type="dxa" w:w="4320"/>
          </w:tcPr>
          <w:p>
            <w:r/>
            <w:r>
              <w:rPr>
                <w:b/>
              </w:rPr>
              <w:t>Ends</w:t>
            </w:r>
          </w:p>
        </w:tc>
        <w:tc>
          <w:tcPr>
            <w:tcW w:type="dxa" w:w="4320"/>
          </w:tcPr>
          <w:p>
            <w:r/>
            <w:r>
              <w:rPr>
                <w:b/>
              </w:rPr>
              <w:t>Primary: the procreation and education of offspring.</w:t>
            </w:r>
            <w:r>
              <w:t xml:space="preserve"> Secondary: mutual help, and the remedy for concupiscence (</w:t>
            </w:r>
            <w:r>
              <w:rPr>
                <w:i/>
              </w:rPr>
              <w:t>remedium concupiscentiae</w:t>
            </w:r>
            <w:r>
              <w:t>)</w:t>
            </w:r>
          </w:p>
        </w:tc>
      </w:tr>
      <w:tr>
        <w:tc>
          <w:tcPr>
            <w:tcW w:type="dxa" w:w="4320"/>
          </w:tcPr>
          <w:p>
            <w:r/>
            <w:r>
              <w:rPr>
                <w:b/>
              </w:rPr>
              <w:t>The three goods</w:t>
            </w:r>
          </w:p>
        </w:tc>
        <w:tc>
          <w:tcPr>
            <w:tcW w:type="dxa" w:w="4320"/>
          </w:tcPr>
          <w:p>
            <w:r/>
            <w:r>
              <w:t xml:space="preserve">Augustine's </w:t>
            </w:r>
            <w:r>
              <w:rPr>
                <w:i/>
              </w:rPr>
              <w:t>proles, fides, sacramentum</w:t>
            </w:r>
            <w:r>
              <w:t xml:space="preserve"> retained as the framework</w:t>
            </w:r>
          </w:p>
        </w:tc>
      </w:tr>
    </w:tbl>
    <w:p>
      <w:pPr>
        <w:spacing w:after="80"/>
      </w:pPr>
    </w:p>
    <w:p>
      <w:r>
        <w:rPr>
          <w:b/>
        </w:rPr>
        <w:t>The hierarchy of ends is the point to remember</w:t>
      </w:r>
      <w:r>
        <w:t xml:space="preserve">, because it is precisely what the twentieth century would contest (Units 8-9). In the scholastic framework, marriage is </w:t>
      </w:r>
      <w:r>
        <w:rPr>
          <w:i/>
        </w:rPr>
        <w:t>defined</w:t>
      </w:r>
      <w:r>
        <w:t xml:space="preserve"> by its ordination to procreation; mutual love and companionship are real but </w:t>
      </w:r>
      <w:r>
        <w:rPr>
          <w:b/>
        </w:rPr>
        <w:t>secondary</w:t>
      </w:r>
      <w:r>
        <w:t>.</w:t>
      </w:r>
    </w:p>
    <w:p>
      <w:r>
        <w:rPr>
          <w:b/>
        </w:rPr>
        <w:t>That the spouses are the ministers</w:t>
      </w:r>
      <w:r>
        <w:t xml:space="preserve"> is the distinctive doctrinal claim of this sacrament and has large consequences: it means the sacrament is confected by the couple's free act; it grounds the Church's insistence that </w:t>
      </w:r>
      <w:r>
        <w:rPr>
          <w:b/>
        </w:rPr>
        <w:t>defective consent invalidates</w:t>
      </w:r>
      <w:r>
        <w:t xml:space="preserve"> (the entire modern law of nullity, Unit 12); and it is why the Eastern tradition, which locates the form in the </w:t>
      </w:r>
      <w:r>
        <w:rPr>
          <w:b/>
        </w:rPr>
        <w:t>priest's crowning</w:t>
      </w:r>
      <w:r>
        <w:t xml:space="preserve"> rather than in the exchange of consent, differs at a genuinely structural level (Unit 11).</w:t>
      </w:r>
    </w:p>
    <w:p>
      <w:pPr>
        <w:spacing w:before="280"/>
      </w:pPr>
      <w:r>
        <w:rPr>
          <w:b/>
          <w:color w:val="24406B"/>
          <w:sz w:val="34"/>
        </w:rPr>
        <w:t>Late Medieval Practice</w:t>
      </w:r>
    </w:p>
    <w:p>
      <w:r>
        <w:t>The betrothal (</w:t>
      </w:r>
      <w:r>
        <w:rPr>
          <w:i/>
        </w:rPr>
        <w:t>sponsalia de futuro</w:t>
      </w:r>
      <w:r>
        <w:t>) and the marriage proper (</w:t>
      </w:r>
      <w:r>
        <w:rPr>
          <w:i/>
        </w:rPr>
        <w:t>sponsalia de praesenti</w:t>
      </w:r>
      <w:r>
        <w:t xml:space="preserve">) were carefully distinguished, since only the latter created the bond — but popular practice conflated them constantly, generating litigation. Marriage moved gradually from the home to the </w:t>
      </w:r>
      <w:r>
        <w:rPr>
          <w:b/>
        </w:rPr>
        <w:t>church porch</w:t>
      </w:r>
      <w:r>
        <w:t xml:space="preserve"> (</w:t>
      </w:r>
      <w:r>
        <w:rPr>
          <w:i/>
        </w:rPr>
        <w:t>ad ostium ecclesiae</w:t>
      </w:r>
      <w:r>
        <w:t>), where consent was exchanged before the priest, with the nuptial Mass following inside.</w:t>
      </w:r>
    </w:p>
    <w:p>
      <w:r>
        <w:br w:type="page"/>
      </w:r>
    </w:p>
    <w:p>
      <w:r>
        <w:rPr>
          <w:b/>
          <w:color w:val="9C7A2E"/>
          <w:sz w:val="22"/>
        </w:rPr>
        <w:t>UNIT 6</w:t>
      </w:r>
    </w:p>
    <w:p>
      <w:r>
        <w:rPr>
          <w:b/>
          <w:color w:val="24406B"/>
          <w:sz w:val="40"/>
        </w:rPr>
        <w:t>Reformation and Trent</w:t>
      </w:r>
    </w:p>
    <w:p>
      <w:pPr>
        <w:spacing w:before="280"/>
      </w:pPr>
      <w:r>
        <w:rPr>
          <w:b/>
          <w:color w:val="24406B"/>
          <w:sz w:val="34"/>
        </w:rPr>
        <w:t>The Reformers</w:t>
      </w:r>
    </w:p>
    <w:p>
      <w:r>
        <w:rPr>
          <w:b/>
        </w:rPr>
        <w:t>Luther</w:t>
      </w:r>
      <w:r>
        <w:t xml:space="preserve"> called marriage "a worldly thing" (</w:t>
      </w:r>
      <w:r>
        <w:rPr>
          <w:i/>
        </w:rPr>
        <w:t>ein weltlich Ding</w:t>
      </w:r>
      <w:r>
        <w:t xml:space="preserve">) — </w:t>
      </w:r>
      <w:r>
        <w:rPr>
          <w:b/>
        </w:rPr>
        <w:t>not a sacrament</w:t>
      </w:r>
      <w:r>
        <w:t xml:space="preserve">, since it lacks a divine promise of grace attached to a sign and existed before Christ among all peoples. But he held it in the highest esteem as a </w:t>
      </w:r>
      <w:r>
        <w:rPr>
          <w:b/>
        </w:rPr>
        <w:t>divine estate</w:t>
      </w:r>
      <w:r>
        <w:t xml:space="preserve"> and an order of creation, married Katharina von Bora, and wrote warmly on family life. Crucially, he assigned marriage jurisdiction to the </w:t>
      </w:r>
      <w:r>
        <w:rPr>
          <w:b/>
        </w:rPr>
        <w:t>civil authority</w:t>
      </w:r>
      <w:r>
        <w:t xml:space="preserve">, and allowed </w:t>
      </w:r>
      <w:r>
        <w:rPr>
          <w:b/>
        </w:rPr>
        <w:t>divorce with remarriage</w:t>
      </w:r>
      <w:r>
        <w:t xml:space="preserve"> in cases of adultery and desertion, appealing to the Matthean exception and to 1 Cor 7:15.</w:t>
      </w:r>
    </w:p>
    <w:p>
      <w:r>
        <w:rPr>
          <w:b/>
        </w:rPr>
        <w:t>Calvin</w:t>
      </w:r>
      <w:r>
        <w:t xml:space="preserve"> likewise denied its sacramentality (</w:t>
      </w:r>
      <w:r>
        <w:rPr>
          <w:i/>
        </w:rPr>
        <w:t>Institutes</w:t>
      </w:r>
      <w:r>
        <w:t xml:space="preserve"> IV.19.34-37), calling its inclusion among the sacraments a late invention resting on the Vulgate's rendering of </w:t>
      </w:r>
      <w:r>
        <w:rPr>
          <w:i/>
        </w:rPr>
        <w:t>mystērion</w:t>
      </w:r>
      <w:r>
        <w:t xml:space="preserve"> as </w:t>
      </w:r>
      <w:r>
        <w:rPr>
          <w:i/>
        </w:rPr>
        <w:t>sacramentum</w:t>
      </w:r>
      <w:r>
        <w:t xml:space="preserve"> — a genuinely sharp philological point. Geneva's marriage ordinances placed marriage under the consistory and permitted divorce for adultery and desertion.</w:t>
      </w:r>
    </w:p>
    <w:p>
      <w:r>
        <w:rPr>
          <w:b/>
        </w:rPr>
        <w:t>The Anglican settlement</w:t>
      </w:r>
      <w:r>
        <w:t xml:space="preserve"> retained a solemn liturgical rite in the Book of Common Prayer with its enduring vows ("to have and to hold... till death us do part"), while placing marriage law under the Crown — as the events of the 1530s had made unavoidable.</w:t>
      </w:r>
    </w:p>
    <w:p>
      <w:pPr>
        <w:spacing w:before="280"/>
      </w:pPr>
      <w:r>
        <w:rPr>
          <w:b/>
          <w:color w:val="24406B"/>
          <w:sz w:val="34"/>
        </w:rPr>
        <w:t>Trent, Session XXIV (11 November 1563)</w:t>
      </w:r>
    </w:p>
    <w:p>
      <w:r>
        <w:rPr>
          <w:b/>
        </w:rPr>
        <w:t>The doctrine</w:t>
      </w:r>
      <w:r>
        <w:t xml:space="preserve"> (twelve canons), affirming against the Reformers:</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Canon</w:t>
            </w:r>
          </w:p>
        </w:tc>
        <w:tc>
          <w:tcPr>
            <w:tcW w:type="dxa" w:w="4320"/>
            <w:shd w:val="clear" w:color="auto" w:fill="E4E9F1"/>
          </w:tcPr>
          <w:p>
            <w:r>
              <w:rPr>
                <w:b/>
              </w:rPr>
            </w:r>
            <w:r>
              <w:rPr>
                <w:b/>
              </w:rPr>
              <w:t>Teaching</w:t>
            </w:r>
          </w:p>
        </w:tc>
      </w:tr>
      <w:tr>
        <w:tc>
          <w:tcPr>
            <w:tcW w:type="dxa" w:w="4320"/>
          </w:tcPr>
          <w:p>
            <w:r/>
            <w:r>
              <w:t>1</w:t>
            </w:r>
          </w:p>
        </w:tc>
        <w:tc>
          <w:tcPr>
            <w:tcW w:type="dxa" w:w="4320"/>
          </w:tcPr>
          <w:p>
            <w:r/>
            <w:r>
              <w:t xml:space="preserve">Matrimony is </w:t>
            </w:r>
            <w:r>
              <w:rPr>
                <w:b/>
              </w:rPr>
              <w:t>truly and properly one of the seven sacraments</w:t>
            </w:r>
            <w:r>
              <w:t xml:space="preserve"> of the New Law, instituted by Christ</w:t>
            </w:r>
          </w:p>
        </w:tc>
      </w:tr>
      <w:tr>
        <w:tc>
          <w:tcPr>
            <w:tcW w:type="dxa" w:w="4320"/>
          </w:tcPr>
          <w:p>
            <w:r/>
            <w:r>
              <w:t>2</w:t>
            </w:r>
          </w:p>
        </w:tc>
        <w:tc>
          <w:tcPr>
            <w:tcW w:type="dxa" w:w="4320"/>
          </w:tcPr>
          <w:p>
            <w:r/>
            <w:r>
              <w:t>Polygamy is unlawful</w:t>
            </w:r>
          </w:p>
        </w:tc>
      </w:tr>
      <w:tr>
        <w:tc>
          <w:tcPr>
            <w:tcW w:type="dxa" w:w="4320"/>
          </w:tcPr>
          <w:p>
            <w:r/>
            <w:r>
              <w:t>4</w:t>
            </w:r>
          </w:p>
        </w:tc>
        <w:tc>
          <w:tcPr>
            <w:tcW w:type="dxa" w:w="4320"/>
          </w:tcPr>
          <w:p>
            <w:r/>
            <w:r>
              <w:t xml:space="preserve">The Church may establish </w:t>
            </w:r>
            <w:r>
              <w:rPr>
                <w:b/>
              </w:rPr>
              <w:t>impediments</w:t>
            </w:r>
            <w:r>
              <w:t xml:space="preserve"> and grant dispensations</w:t>
            </w:r>
          </w:p>
        </w:tc>
      </w:tr>
      <w:tr>
        <w:tc>
          <w:tcPr>
            <w:tcW w:type="dxa" w:w="4320"/>
          </w:tcPr>
          <w:p>
            <w:r/>
            <w:r>
              <w:t>5</w:t>
            </w:r>
          </w:p>
        </w:tc>
        <w:tc>
          <w:tcPr>
            <w:tcW w:type="dxa" w:w="4320"/>
          </w:tcPr>
          <w:p>
            <w:r/>
            <w:r>
              <w:t xml:space="preserve">The bond is </w:t>
            </w:r>
            <w:r>
              <w:rPr>
                <w:b/>
              </w:rPr>
              <w:t>not dissolved by heresy, difficulty of cohabitation, or wilful desertion</w:t>
            </w:r>
          </w:p>
        </w:tc>
      </w:tr>
      <w:tr>
        <w:tc>
          <w:tcPr>
            <w:tcW w:type="dxa" w:w="4320"/>
          </w:tcPr>
          <w:p>
            <w:r/>
            <w:r>
              <w:t>7</w:t>
            </w:r>
          </w:p>
        </w:tc>
        <w:tc>
          <w:tcPr>
            <w:tcW w:type="dxa" w:w="4320"/>
          </w:tcPr>
          <w:p>
            <w:r/>
            <w:r>
              <w:t xml:space="preserve">The Church does </w:t>
            </w:r>
            <w:r>
              <w:rPr>
                <w:b/>
              </w:rPr>
              <w:t>not err</w:t>
            </w:r>
            <w:r>
              <w:t xml:space="preserve"> in teaching that the bond cannot be dissolved on account of adultery</w:t>
            </w:r>
          </w:p>
        </w:tc>
      </w:tr>
      <w:tr>
        <w:tc>
          <w:tcPr>
            <w:tcW w:type="dxa" w:w="4320"/>
          </w:tcPr>
          <w:p>
            <w:r/>
            <w:r>
              <w:t>10</w:t>
            </w:r>
          </w:p>
        </w:tc>
        <w:tc>
          <w:tcPr>
            <w:tcW w:type="dxa" w:w="4320"/>
          </w:tcPr>
          <w:p>
            <w:r/>
            <w:r>
              <w:t xml:space="preserve">The state of </w:t>
            </w:r>
            <w:r>
              <w:rPr>
                <w:b/>
              </w:rPr>
              <w:t>virginity or celibacy is better and more blessed</w:t>
            </w:r>
            <w:r>
              <w:t xml:space="preserve"> than being bound in marriage</w:t>
            </w:r>
          </w:p>
        </w:tc>
      </w:tr>
    </w:tbl>
    <w:p>
      <w:pPr>
        <w:spacing w:after="80"/>
      </w:pPr>
    </w:p>
    <w:p>
      <w:r>
        <w:rPr>
          <w:b/>
        </w:rPr>
        <w:t>Note the careful wording of canon 7.</w:t>
      </w:r>
      <w:r>
        <w:t xml:space="preserve"> It anathematises the claim that </w:t>
      </w:r>
      <w:r>
        <w:rPr>
          <w:i/>
        </w:rPr>
        <w:t>the Church errs</w:t>
      </w:r>
      <w:r>
        <w:t xml:space="preserve"> in teaching indissoluble marriage after adultery — rather than directly anathematising the practice itself. This formulation was deliberately chosen so as not to condemn the </w:t>
      </w:r>
      <w:r>
        <w:rPr>
          <w:b/>
        </w:rPr>
        <w:t>Greek Orthodox</w:t>
      </w:r>
      <w:r>
        <w:t xml:space="preserve"> practice of </w:t>
      </w:r>
      <w:r>
        <w:rPr>
          <w:i/>
        </w:rPr>
        <w:t>oikonomia</w:t>
      </w:r>
      <w:r>
        <w:t>, with Venetian bishops representing Greek communities pressing the point. It is a fine example of conciliar precision serving an ecumenical purpose four centuries before the word existed.</w:t>
      </w:r>
    </w:p>
    <w:p>
      <w:pPr>
        <w:spacing w:before="280"/>
      </w:pPr>
      <w:r>
        <w:rPr>
          <w:b/>
          <w:color w:val="24406B"/>
          <w:sz w:val="34"/>
        </w:rPr>
        <w:t>Tametsi — The Decree That Changed Everything</w:t>
      </w:r>
    </w:p>
    <w:p>
      <w:r>
        <w:t xml:space="preserve">The reform decree of the same session finally solved the clandestinity problem by requiring, </w:t>
      </w:r>
      <w:r>
        <w:rPr>
          <w:b/>
        </w:rPr>
        <w:t>for validity</w:t>
      </w:r>
      <w:r>
        <w:t xml:space="preserve">, that marriage be contracted </w:t>
      </w:r>
      <w:r>
        <w:rPr>
          <w:b/>
        </w:rPr>
        <w:t>before the parish priest (or a delegate) and two or three witnesses</w:t>
      </w:r>
      <w:r>
        <w:t>.</w:t>
      </w:r>
    </w:p>
    <w:p>
      <w:r>
        <w:rPr>
          <w:b/>
        </w:rPr>
        <w:t>This is the single most consequential practical change in the history of the sacrament.</w:t>
      </w:r>
      <w:r>
        <w:t xml:space="preserve"> For fifteen centuries a marriage was valid by consent however expressed; from 1563 the Church made </w:t>
      </w:r>
      <w:r>
        <w:rPr>
          <w:b/>
        </w:rPr>
        <w:t>canonical form</w:t>
      </w:r>
      <w:r>
        <w:t xml:space="preserve"> a condition of validity for Catholics.</w:t>
      </w:r>
    </w:p>
    <w:p>
      <w:r>
        <w:rPr>
          <w:b/>
        </w:rPr>
        <w:t>Its flaw:</w:t>
      </w:r>
      <w:r>
        <w:t xml:space="preserve"> </w:t>
      </w:r>
      <w:r>
        <w:rPr>
          <w:i/>
        </w:rPr>
        <w:t>Tametsi</w:t>
      </w:r>
      <w:r>
        <w:t xml:space="preserve"> bound only in parishes where it had been </w:t>
      </w:r>
      <w:r>
        <w:rPr>
          <w:b/>
        </w:rPr>
        <w:t>promulgated</w:t>
      </w:r>
      <w:r>
        <w:t xml:space="preserve">, producing centuries of legal chaos in mission territories and mixed regions where its force was uncertain. This was finally resolved by </w:t>
      </w:r>
      <w:r>
        <w:rPr>
          <w:b/>
        </w:rPr>
        <w:t>Ne Temere</w:t>
      </w:r>
      <w:r>
        <w:t xml:space="preserve"> (1907), which imposed canonical form universally.</w:t>
      </w:r>
    </w:p>
    <w:p>
      <w:r>
        <w:br w:type="page"/>
      </w:r>
    </w:p>
    <w:p>
      <w:r>
        <w:rPr>
          <w:b/>
          <w:color w:val="9C7A2E"/>
          <w:sz w:val="22"/>
        </w:rPr>
        <w:t>UNIT 7</w:t>
      </w:r>
    </w:p>
    <w:p>
      <w:r>
        <w:rPr>
          <w:b/>
          <w:color w:val="24406B"/>
          <w:sz w:val="40"/>
        </w:rPr>
        <w:t>From Trent to the Personalist Turn</w:t>
      </w:r>
    </w:p>
    <w:p>
      <w:pPr>
        <w:spacing w:before="280"/>
      </w:pPr>
      <w:r>
        <w:rPr>
          <w:b/>
          <w:color w:val="24406B"/>
          <w:sz w:val="34"/>
        </w:rPr>
        <w:t>The Legal Consolidation</w:t>
      </w:r>
    </w:p>
    <w:p>
      <w:pPr>
        <w:pStyle w:val="ListBullet"/>
      </w:pPr>
      <w:r>
        <w:rPr>
          <w:b/>
        </w:rPr>
        <w:t>Ne Temere</w:t>
      </w:r>
      <w:r>
        <w:t xml:space="preserve"> (Pius X, 1907) — canonical form required universally for Catholics, resolving </w:t>
      </w:r>
      <w:r>
        <w:rPr>
          <w:i/>
        </w:rPr>
        <w:t>Tametsi</w:t>
      </w:r>
      <w:r>
        <w:t>'s patchwork. Its stringency in mixed marriages became a significant source of friction with Protestants, especially in Ireland and Germany.</w:t>
      </w:r>
    </w:p>
    <w:p>
      <w:pPr>
        <w:pStyle w:val="ListBullet"/>
      </w:pPr>
      <w:r>
        <w:rPr>
          <w:b/>
        </w:rPr>
        <w:t>The 1917 Code</w:t>
      </w:r>
      <w:r>
        <w:t xml:space="preserve"> codified the classical framework: </w:t>
      </w:r>
      <w:r>
        <w:rPr>
          <w:b/>
        </w:rPr>
        <w:t>c. 1013 §1</w:t>
      </w:r>
      <w:r>
        <w:t xml:space="preserve"> stated that "the </w:t>
      </w:r>
      <w:r>
        <w:rPr>
          <w:b/>
        </w:rPr>
        <w:t>primary end</w:t>
      </w:r>
      <w:r>
        <w:t xml:space="preserve"> of marriage is the procreation and education of offspring; the </w:t>
      </w:r>
      <w:r>
        <w:rPr>
          <w:b/>
        </w:rPr>
        <w:t>secondary end</w:t>
      </w:r>
      <w:r>
        <w:t xml:space="preserve"> is mutual help and the remedy for concupiscence," and that the </w:t>
      </w:r>
      <w:r>
        <w:rPr>
          <w:b/>
        </w:rPr>
        <w:t>essential properties</w:t>
      </w:r>
      <w:r>
        <w:t xml:space="preserve"> are unity and indissolubility.</w:t>
      </w:r>
    </w:p>
    <w:p>
      <w:pPr>
        <w:spacing w:before="280"/>
      </w:pPr>
      <w:r>
        <w:rPr>
          <w:b/>
          <w:color w:val="24406B"/>
          <w:sz w:val="34"/>
        </w:rPr>
        <w:t>Casti Connubii (Pius XI, 31 December 1930)</w:t>
      </w:r>
    </w:p>
    <w:p>
      <w:r>
        <w:t xml:space="preserve">Issued in direct response to the </w:t>
      </w:r>
      <w:r>
        <w:rPr>
          <w:b/>
        </w:rPr>
        <w:t>Anglican Lambeth Conference of 1930</w:t>
      </w:r>
      <w:r>
        <w:t>, which had cautiously permitted contraception in limited circumstances — the first Christian body to do so.</w:t>
      </w:r>
    </w:p>
    <w:p>
      <w:r>
        <w:t>The encyclical reaffirms the three Augustinian goods; declares contraception "</w:t>
      </w:r>
      <w:r>
        <w:rPr>
          <w:b/>
        </w:rPr>
        <w:t>intrinsically vicious</w:t>
      </w:r>
      <w:r>
        <w:t xml:space="preserve">"; condemns eugenic sterilisation and abortion; and upholds indissolubility. It also, notably, contains genuinely warm language about </w:t>
      </w:r>
      <w:r>
        <w:rPr>
          <w:b/>
        </w:rPr>
        <w:t>conjugal love</w:t>
      </w:r>
      <w:r>
        <w:t xml:space="preserve"> as "the chief reason and purpose of matrimony, if matrimony be looked at not in the restricted sense as instituted for the proper conception and education of the child, but more widely as the blending of life as a whole" — a sentence the personalists would seize upon.</w:t>
      </w:r>
    </w:p>
    <w:p>
      <w:pPr>
        <w:spacing w:before="280"/>
      </w:pPr>
      <w:r>
        <w:rPr>
          <w:b/>
          <w:color w:val="24406B"/>
          <w:sz w:val="34"/>
        </w:rPr>
        <w:t>The Personalist Challenge</w:t>
      </w:r>
    </w:p>
    <w:p>
      <w:r>
        <w:t>The most important pre-conciliar development, and one you should be able to narrate.</w:t>
      </w:r>
    </w:p>
    <w:p>
      <w:pPr>
        <w:pStyle w:val="ListBullet"/>
      </w:pPr>
      <w:r>
        <w:rPr>
          <w:b/>
        </w:rPr>
        <w:t>Dietrich von Hildebrand</w:t>
      </w:r>
      <w:r>
        <w:t xml:space="preserve">, </w:t>
      </w:r>
      <w:r>
        <w:rPr>
          <w:i/>
        </w:rPr>
        <w:t>Marriage</w:t>
      </w:r>
      <w:r>
        <w:t xml:space="preserve"> (1929), and </w:t>
      </w:r>
      <w:r>
        <w:rPr>
          <w:b/>
        </w:rPr>
        <w:t>Herbert Doms</w:t>
      </w:r>
      <w:r>
        <w:t xml:space="preserve">, </w:t>
      </w:r>
      <w:r>
        <w:rPr>
          <w:i/>
        </w:rPr>
        <w:t>The Meaning of Marriage</w:t>
      </w:r>
      <w:r>
        <w:t xml:space="preserve"> (1935), argued that the </w:t>
      </w:r>
      <w:r>
        <w:rPr>
          <w:b/>
        </w:rPr>
        <w:t>hierarchy of ends distorts the reality</w:t>
      </w:r>
      <w:r>
        <w:t xml:space="preserve">: the mutual self-giving union of the spouses is not a </w:t>
      </w:r>
      <w:r>
        <w:rPr>
          <w:i/>
        </w:rPr>
        <w:t>means</w:t>
      </w:r>
      <w:r>
        <w:t xml:space="preserve"> to procreation but the very </w:t>
      </w:r>
      <w:r>
        <w:rPr>
          <w:b/>
        </w:rPr>
        <w:t>meaning</w:t>
      </w:r>
      <w:r>
        <w:t xml:space="preserve"> of marriage, from which procreation flows. Doms in particular argued that the traditional scheme reduced the spouses to instruments of the species.</w:t>
      </w:r>
    </w:p>
    <w:p>
      <w:pPr>
        <w:pStyle w:val="ListBullet"/>
      </w:pPr>
      <w:r>
        <w:rPr>
          <w:b/>
        </w:rPr>
        <w:t>The reaction was swift.</w:t>
      </w:r>
      <w:r>
        <w:t xml:space="preserve"> In </w:t>
      </w:r>
      <w:r>
        <w:rPr>
          <w:b/>
        </w:rPr>
        <w:t>1944 the Holy Office</w:t>
      </w:r>
      <w:r>
        <w:t xml:space="preserve"> issued a decree reaffirming the traditional hierarchy and stating that the secondary ends are not "equally principal and independent" of the primary — and in 1951 Pius XII repeated the point.</w:t>
      </w:r>
    </w:p>
    <w:p>
      <w:pPr>
        <w:pStyle w:val="ListBullet"/>
      </w:pPr>
      <w:r>
        <w:rPr>
          <w:b/>
        </w:rPr>
        <w:t>Yet the argument was not defeated</w:t>
      </w:r>
      <w:r>
        <w:t>, and its substance would be substantially received at Vatican II, which pointedly declined to repeat the hierarchy (Unit 8).</w:t>
      </w:r>
    </w:p>
    <w:p>
      <w:r>
        <w:rPr>
          <w:b/>
        </w:rPr>
        <w:t>Teaching point.</w:t>
      </w:r>
      <w:r>
        <w:t xml:space="preserve"> This is a clean case of a position condemned in one decade being substantially incorporated in the next generation — and a useful check on any account of doctrinal development that expects a straight line.</w:t>
      </w:r>
    </w:p>
    <w:p>
      <w:r>
        <w:br w:type="page"/>
      </w:r>
    </w:p>
    <w:p>
      <w:r>
        <w:rPr>
          <w:b/>
          <w:color w:val="9C7A2E"/>
          <w:sz w:val="22"/>
        </w:rPr>
        <w:t>UNIT 8</w:t>
      </w:r>
    </w:p>
    <w:p>
      <w:r>
        <w:rPr>
          <w:b/>
          <w:color w:val="24406B"/>
          <w:sz w:val="40"/>
        </w:rPr>
        <w:t>Vatican II — Gaudium et Spes 47-52</w:t>
      </w:r>
    </w:p>
    <w:p>
      <w:r>
        <w:t xml:space="preserve">The Council's treatment of marriage is contained in </w:t>
      </w:r>
      <w:r>
        <w:rPr>
          <w:i/>
        </w:rPr>
        <w:t>Gaudium et Spes</w:t>
      </w:r>
      <w:r>
        <w:t xml:space="preserve"> Part II, chapter 1, and it changed the register of Catholic teaching decisively.</w:t>
      </w:r>
    </w:p>
    <w:p>
      <w:pPr>
        <w:spacing w:before="280"/>
      </w:pPr>
      <w:r>
        <w:rPr>
          <w:b/>
          <w:color w:val="24406B"/>
          <w:sz w:val="34"/>
        </w:rPr>
        <w:t>Covenant, Not Contract</w:t>
      </w:r>
    </w:p>
    <w:p>
      <w:r>
        <w:rPr>
          <w:b/>
        </w:rPr>
        <w:t>GS 48</w:t>
      </w:r>
      <w:r>
        <w:t>: "The intimate partnership of married life and love (</w:t>
      </w:r>
      <w:r>
        <w:rPr>
          <w:b/>
        </w:rPr>
        <w:t>*intima communitas vitae et amoris coniugalis</w:t>
      </w:r>
      <w:r>
        <w:rPr>
          <w:i/>
        </w:rPr>
        <w:t xml:space="preserve">) has been established by the Creator... </w:t>
      </w:r>
      <w:r>
        <w:rPr>
          <w:i/>
        </w:rPr>
        <w:t>a conjugal covenant (</w:t>
      </w:r>
      <w:r>
        <w:t>foedus</w:t>
      </w:r>
      <w:r>
        <w:rPr>
          <w:i/>
        </w:rPr>
        <w:t>) of irrevocable personal consent</w:t>
      </w:r>
      <w:r>
        <w:t>*."</w:t>
      </w:r>
    </w:p>
    <w:p>
      <w:r>
        <w:t>Two deliberate shifts:</w:t>
      </w:r>
    </w:p>
    <w:p>
      <w:pPr>
        <w:pStyle w:val="ListBullet"/>
      </w:pPr>
      <w:r>
        <w:rPr>
          <w:b/>
        </w:rPr>
        <w:t>*Foedus* (covenant) replaces *contractus* (contract)</w:t>
      </w:r>
      <w:r>
        <w:t xml:space="preserve"> as the primary category. The 1917 Code had spoken of a contract; the biblical and personalist language of covenant now governs.</w:t>
      </w:r>
    </w:p>
    <w:p>
      <w:pPr>
        <w:pStyle w:val="ListBullet"/>
      </w:pPr>
      <w:r>
        <w:t xml:space="preserve">The emphasis falls on </w:t>
      </w:r>
      <w:r>
        <w:rPr>
          <w:b/>
        </w:rPr>
        <w:t>personal consent</w:t>
      </w:r>
      <w:r>
        <w:t xml:space="preserve"> and the </w:t>
      </w:r>
      <w:r>
        <w:rPr>
          <w:b/>
        </w:rPr>
        <w:t>communion of persons</w:t>
      </w:r>
      <w:r>
        <w:t xml:space="preserve">, not primarily on the exchange of rights over bodies (the </w:t>
      </w:r>
      <w:r>
        <w:rPr>
          <w:i/>
        </w:rPr>
        <w:t>ius in corpus</w:t>
      </w:r>
      <w:r>
        <w:t xml:space="preserve"> of the older canonical formulation).</w:t>
      </w:r>
    </w:p>
    <w:p>
      <w:pPr>
        <w:spacing w:before="280"/>
      </w:pPr>
      <w:r>
        <w:rPr>
          <w:b/>
          <w:color w:val="24406B"/>
          <w:sz w:val="34"/>
        </w:rPr>
        <w:t>The Ends of Marriage — What the Council Did Not Say</w:t>
      </w:r>
    </w:p>
    <w:p>
      <w:r>
        <w:rPr>
          <w:b/>
        </w:rPr>
        <w:t>This is the single most examinable point in the unit.</w:t>
      </w:r>
      <w:r>
        <w:t xml:space="preserve"> </w:t>
      </w:r>
      <w:r>
        <w:rPr>
          <w:i/>
        </w:rPr>
        <w:t>Gaudium et Spes</w:t>
      </w:r>
      <w:r>
        <w:t xml:space="preserve"> </w:t>
      </w:r>
      <w:r>
        <w:rPr>
          <w:b/>
        </w:rPr>
        <w:t>deliberately declines to repeat the primary/secondary hierarchy of ends.</w:t>
      </w:r>
    </w:p>
    <w:p>
      <w:pPr>
        <w:pStyle w:val="ListBullet"/>
      </w:pPr>
      <w:r>
        <w:rPr>
          <w:b/>
        </w:rPr>
        <w:t>GS 48</w:t>
      </w:r>
      <w:r>
        <w:t xml:space="preserve"> states that marriage and conjugal love "are by their very nature ordained toward the begetting and educating of children," and calls children "the supreme gift of marriage."</w:t>
      </w:r>
    </w:p>
    <w:p>
      <w:pPr>
        <w:pStyle w:val="ListBullet"/>
      </w:pPr>
      <w:r>
        <w:t xml:space="preserve">But </w:t>
      </w:r>
      <w:r>
        <w:rPr>
          <w:b/>
        </w:rPr>
        <w:t>GS 50</w:t>
      </w:r>
      <w:r>
        <w:t xml:space="preserve"> adds immediately: "marriage is </w:t>
      </w:r>
      <w:r>
        <w:rPr>
          <w:b/>
        </w:rPr>
        <w:t>not instituted solely for procreation</w:t>
      </w:r>
      <w:r>
        <w:t>"; its indissoluble character and the whole partnership "</w:t>
      </w:r>
      <w:r>
        <w:rPr>
          <w:b/>
        </w:rPr>
        <w:t>persist even when offspring are lacking</w:t>
      </w:r>
      <w:r>
        <w:t>," and conjugal love retains its "character of being a whole" regardless.</w:t>
      </w:r>
    </w:p>
    <w:p>
      <w:r>
        <w:t xml:space="preserve">The drafting history is explicit: amendments seeking to restore the "primary end" language were </w:t>
      </w:r>
      <w:r>
        <w:rPr>
          <w:b/>
        </w:rPr>
        <w:t>rejected</w:t>
      </w:r>
      <w:r>
        <w:t xml:space="preserve">. The Council chose to state the goods of marriage </w:t>
      </w:r>
      <w:r>
        <w:rPr>
          <w:b/>
        </w:rPr>
        <w:t>without ranking them</w:t>
      </w:r>
      <w:r>
        <w:t>.</w:t>
      </w:r>
    </w:p>
    <w:p>
      <w:r>
        <w:rPr>
          <w:b/>
        </w:rPr>
        <w:t>The consequence appears in the 1983 Code, c. 1055 §1</w:t>
      </w:r>
      <w:r>
        <w:t>, which defines the matrimonial covenant as ordered "</w:t>
      </w:r>
      <w:r>
        <w:rPr>
          <w:b/>
        </w:rPr>
        <w:t>to the good of the spouses (*bonum coniugum*) and the procreation and education of offspring</w:t>
      </w:r>
      <w:r>
        <w:t xml:space="preserve">" — the two placed in a single sentence with the good of the spouses named </w:t>
      </w:r>
      <w:r>
        <w:rPr>
          <w:i/>
        </w:rPr>
        <w:t>first</w:t>
      </w:r>
      <w:r>
        <w:t>, and no hierarchy asserted. Compare the 1917 Code's c. 1013 §1 and the change is unmistakable.</w:t>
      </w:r>
    </w:p>
    <w:p>
      <w:pPr>
        <w:spacing w:before="280"/>
      </w:pPr>
      <w:r>
        <w:rPr>
          <w:b/>
          <w:color w:val="24406B"/>
          <w:sz w:val="34"/>
        </w:rPr>
        <w:t>Conjugal Love</w:t>
      </w:r>
    </w:p>
    <w:p>
      <w:r>
        <w:rPr>
          <w:b/>
        </w:rPr>
        <w:t>GS 49</w:t>
      </w:r>
      <w:r>
        <w:t xml:space="preserve"> offers what earlier magisterial texts had not: a substantial theology of </w:t>
      </w:r>
      <w:r>
        <w:rPr>
          <w:b/>
        </w:rPr>
        <w:t>conjugal love</w:t>
      </w:r>
      <w:r>
        <w:t xml:space="preserve"> as such — "eminently human," involving "the good of the whole person," expressed and perfected "in a unique way" by the marital act, which is "noble and honourable" and signifies and promotes "that mutual self-giving by which spouses enrich each other."</w:t>
      </w:r>
    </w:p>
    <w:p>
      <w:pPr>
        <w:spacing w:before="280"/>
      </w:pPr>
      <w:r>
        <w:rPr>
          <w:b/>
          <w:color w:val="24406B"/>
          <w:sz w:val="34"/>
        </w:rPr>
        <w:t>The Domestic Church</w:t>
      </w:r>
    </w:p>
    <w:p>
      <w:r>
        <w:rPr>
          <w:b/>
        </w:rPr>
        <w:t>LG 11</w:t>
      </w:r>
      <w:r>
        <w:t xml:space="preserve"> calls the family "the </w:t>
      </w:r>
      <w:r>
        <w:rPr>
          <w:b/>
        </w:rPr>
        <w:t>domestic church</w:t>
      </w:r>
      <w:r>
        <w:t>" (</w:t>
      </w:r>
      <w:r>
        <w:rPr>
          <w:i/>
        </w:rPr>
        <w:t>ecclesia domestica</w:t>
      </w:r>
      <w:r>
        <w:t xml:space="preserve">) — the parents being "by word and example the first heralds of the faith to their children." This recovers a patristic image (Chrysostom's "little church") and grounds the whole modern theology of the family as an ecclesial reality, developed further in </w:t>
      </w:r>
      <w:r>
        <w:rPr>
          <w:i/>
        </w:rPr>
        <w:t>Familiaris Consortio</w:t>
      </w:r>
      <w:r>
        <w:t xml:space="preserve"> 21 and </w:t>
      </w:r>
      <w:r>
        <w:rPr>
          <w:i/>
        </w:rPr>
        <w:t>Amoris Laetitia</w:t>
      </w:r>
      <w:r>
        <w:t>.</w:t>
      </w:r>
    </w:p>
    <w:p>
      <w:pPr>
        <w:spacing w:before="280"/>
      </w:pPr>
      <w:r>
        <w:rPr>
          <w:b/>
          <w:color w:val="24406B"/>
          <w:sz w:val="34"/>
        </w:rPr>
        <w:t>The Reformed Rite</w:t>
      </w:r>
    </w:p>
    <w:p>
      <w:r>
        <w:t xml:space="preserve">The </w:t>
      </w:r>
      <w:r>
        <w:rPr>
          <w:b/>
        </w:rPr>
        <w:t>Rite of Marriage</w:t>
      </w:r>
      <w:r>
        <w:t xml:space="preserve"> (</w:t>
      </w:r>
      <w:r>
        <w:rPr>
          <w:i/>
        </w:rPr>
        <w:t>Ordo celebrandi Matrimonium</w:t>
      </w:r>
      <w:r>
        <w:t>, 1969; revised 1991) restored a Liturgy of the Word, a fuller nuptial blessing recovering ancient Trinitarian and epicletic language, and provision for celebration within Mass — as well as adaptation to local custom, which is significant for the Indian context (Unit 13).</w:t>
      </w:r>
    </w:p>
    <w:p>
      <w:r>
        <w:br w:type="page"/>
      </w:r>
    </w:p>
    <w:p>
      <w:r>
        <w:rPr>
          <w:b/>
          <w:color w:val="9C7A2E"/>
          <w:sz w:val="22"/>
        </w:rPr>
        <w:t>UNIT 9</w:t>
      </w:r>
    </w:p>
    <w:p>
      <w:r>
        <w:rPr>
          <w:b/>
          <w:color w:val="24406B"/>
          <w:sz w:val="40"/>
        </w:rPr>
        <w:t>Humanae Vitae, the Theology of the Body, and Familiaris Consortio</w:t>
      </w:r>
    </w:p>
    <w:p>
      <w:pPr>
        <w:spacing w:before="280"/>
      </w:pPr>
      <w:r>
        <w:rPr>
          <w:b/>
          <w:color w:val="24406B"/>
          <w:sz w:val="34"/>
        </w:rPr>
        <w:t>The Birth Control Commission and Humanae Vitae (1968)</w:t>
      </w:r>
    </w:p>
    <w:p>
      <w:r>
        <w:t xml:space="preserve">John XXIII established a commission on population and birth control in 1963; Paul VI expanded it. Its </w:t>
      </w:r>
      <w:r>
        <w:rPr>
          <w:b/>
        </w:rPr>
        <w:t>majority report</w:t>
      </w:r>
      <w:r>
        <w:t xml:space="preserve"> (1966) argued that the regulation of conception by other means could be consistent with the "totality" of the marriage; a </w:t>
      </w:r>
      <w:r>
        <w:rPr>
          <w:b/>
        </w:rPr>
        <w:t>minority report</w:t>
      </w:r>
      <w:r>
        <w:t xml:space="preserve"> argued that reversing the constant teaching would undermine magisterial authority itself.</w:t>
      </w:r>
    </w:p>
    <w:p>
      <w:r>
        <w:t xml:space="preserve">Both were leaked and published. </w:t>
      </w:r>
      <w:r>
        <w:rPr>
          <w:b/>
        </w:rPr>
        <w:t>Paul VI decided against the majority.</w:t>
      </w:r>
    </w:p>
    <w:p>
      <w:r>
        <w:rPr>
          <w:b/>
        </w:rPr>
        <w:t>*Humanae Vitae</w:t>
      </w:r>
      <w:r>
        <w:rPr>
          <w:i/>
        </w:rPr>
        <w:t xml:space="preserve"> (25 July 1968) rests on a single principle stated at </w:t>
      </w:r>
      <w:r>
        <w:rPr>
          <w:i/>
        </w:rPr>
        <w:t>HV 12</w:t>
      </w:r>
      <w:r>
        <w:rPr>
          <w:i/>
        </w:rPr>
        <w:t>: there is an "</w:t>
      </w:r>
      <w:r>
        <w:rPr>
          <w:i/>
        </w:rPr>
        <w:t>inseparable connection, established by God, which man on his own initiative may not break, between the unitive significance and the procreative significance</w:t>
      </w:r>
      <w:r>
        <w:t>* which are both inherent to the marriage act." From this follows the exclusion of contraception (HV 14) while permitting recourse to infertile periods (HV 16).</w:t>
      </w:r>
    </w:p>
    <w:p>
      <w:r>
        <w:rPr>
          <w:b/>
        </w:rPr>
        <w:t>The reception crisis was the gravest of the post-conciliar period.</w:t>
      </w:r>
      <w:r>
        <w:t xml:space="preserve"> Numerous episcopal conferences issued statements — the Canadian bishops' Winnipeg Statement being the best known — emphasising the role of conscience in a way widely read as softening the teaching. Theological dissent was public and organised. Whatever one's judgement of the doctrine, the </w:t>
      </w:r>
      <w:r>
        <w:rPr>
          <w:i/>
        </w:rPr>
        <w:t>pastoral</w:t>
      </w:r>
      <w:r>
        <w:t xml:space="preserve"> fact is that it precipitated a large-scale, quiet disengagement from the Church's sexual teaching among Western Catholics, and — as noted in the Penance course — from the confessional as well.</w:t>
      </w:r>
    </w:p>
    <w:p>
      <w:pPr>
        <w:spacing w:before="280"/>
      </w:pPr>
      <w:r>
        <w:rPr>
          <w:b/>
          <w:color w:val="24406B"/>
          <w:sz w:val="34"/>
        </w:rPr>
        <w:t>The Theology of the Body (John Paul II, 1979-84)</w:t>
      </w:r>
    </w:p>
    <w:p>
      <w:r>
        <w:t>129 Wednesday catecheses constituting the most substantial papal treatment of the subject ever produced. Its principal ideas:</w:t>
      </w:r>
    </w:p>
    <w:p>
      <w:pPr>
        <w:pStyle w:val="ListBullet"/>
      </w:pPr>
      <w:r>
        <w:rPr>
          <w:b/>
        </w:rPr>
        <w:t>The nuptial meaning of the body</w:t>
      </w:r>
      <w:r>
        <w:t xml:space="preserve"> — the human body has an inherent capacity to express self-giving love, and is thus a </w:t>
      </w:r>
      <w:r>
        <w:rPr>
          <w:i/>
        </w:rPr>
        <w:t>sign</w:t>
      </w:r>
      <w:r>
        <w:t xml:space="preserve"> of the person's vocation to communion.</w:t>
      </w:r>
    </w:p>
    <w:p>
      <w:pPr>
        <w:pStyle w:val="ListBullet"/>
      </w:pPr>
      <w:r>
        <w:rPr>
          <w:b/>
        </w:rPr>
        <w:t>*Communio personarum</w:t>
      </w:r>
      <w:r>
        <w:t>* — the human person is fulfilled in the mutual self-gift of persons, an image of the Trinity's own communion (connecting directly to the Trinity course).</w:t>
      </w:r>
    </w:p>
    <w:p>
      <w:pPr>
        <w:pStyle w:val="ListBullet"/>
      </w:pPr>
      <w:r>
        <w:rPr>
          <w:b/>
        </w:rPr>
        <w:t>Original solitude, unity, and nakedness</w:t>
      </w:r>
      <w:r>
        <w:t xml:space="preserve"> — a phenomenological reading of Genesis 2-3.</w:t>
      </w:r>
    </w:p>
    <w:p>
      <w:pPr>
        <w:pStyle w:val="ListBullet"/>
      </w:pPr>
      <w:r>
        <w:rPr>
          <w:b/>
        </w:rPr>
        <w:t>The language of the body</w:t>
      </w:r>
      <w:r>
        <w:t xml:space="preserve"> — the marital act </w:t>
      </w:r>
      <w:r>
        <w:rPr>
          <w:i/>
        </w:rPr>
        <w:t>speaks</w:t>
      </w:r>
      <w:r>
        <w:t>, and contraception introduces a falsification into that language: the body says "I give myself totally" while the act withholds fertility.</w:t>
      </w:r>
    </w:p>
    <w:p>
      <w:r>
        <w:rPr>
          <w:b/>
        </w:rPr>
        <w:t>Assessment.</w:t>
      </w:r>
      <w:r>
        <w:t xml:space="preserve"> The Theology of the Body is a genuine achievement, offering a positive personalist grounding for a teaching that had rested largely on natural-law argument. Its critics note that it is a work of poetic phenomenology rather than of argument, that it does not directly engage the majority report's reasoning, and that its reception has been strongest among those already convinced.</w:t>
      </w:r>
    </w:p>
    <w:p>
      <w:pPr>
        <w:spacing w:before="280"/>
      </w:pPr>
      <w:r>
        <w:rPr>
          <w:b/>
          <w:color w:val="24406B"/>
          <w:sz w:val="34"/>
        </w:rPr>
        <w:t>Familiaris Consortio (1981)</w:t>
      </w:r>
    </w:p>
    <w:p>
      <w:r>
        <w:t>The post-synodal exhortation following the 1980 Synod on the family. Three contributions to master:</w:t>
      </w:r>
    </w:p>
    <w:p>
      <w:pPr>
        <w:pStyle w:val="ListNumber"/>
      </w:pPr>
      <w:r>
        <w:rPr>
          <w:b/>
        </w:rPr>
        <w:t>The family's four tasks</w:t>
      </w:r>
      <w:r>
        <w:t>: forming a community of persons, serving life, participating in the development of society, and sharing in the life and mission of the Church.</w:t>
      </w:r>
    </w:p>
    <w:p>
      <w:pPr>
        <w:pStyle w:val="ListNumber"/>
      </w:pPr>
      <w:r>
        <w:rPr>
          <w:b/>
        </w:rPr>
        <w:t>The law of gradualness</w:t>
      </w:r>
      <w:r>
        <w:t xml:space="preserve"> (FC 34) — a careful distinction: there is a "law of gradualness" in the sense that people advance step by step toward the good, but </w:t>
      </w:r>
      <w:r>
        <w:rPr>
          <w:b/>
        </w:rPr>
        <w:t>not a "gradualness of the law"</w:t>
      </w:r>
      <w:r>
        <w:t xml:space="preserve"> as if the moral norm admitted degrees. This distinction returns at the centre of the </w:t>
      </w:r>
      <w:r>
        <w:rPr>
          <w:i/>
        </w:rPr>
        <w:t>Amoris Laetitia</w:t>
      </w:r>
      <w:r>
        <w:t xml:space="preserve"> debate.</w:t>
      </w:r>
    </w:p>
    <w:p>
      <w:pPr>
        <w:pStyle w:val="ListNumber"/>
      </w:pPr>
      <w:r>
        <w:rPr>
          <w:b/>
        </w:rPr>
        <w:t>The divorced and remarried</w:t>
      </w:r>
      <w:r>
        <w:t xml:space="preserve"> (FC 84) — they remain members of the Church and should be encouraged to participate in its life, but may not receive communion, since their state "objectively contradicts" the union of Christ and the Church; unless they can live "as brother and sister."</w:t>
      </w:r>
    </w:p>
    <w:p>
      <w:r>
        <w:br w:type="page"/>
      </w:r>
    </w:p>
    <w:p>
      <w:r>
        <w:rPr>
          <w:b/>
          <w:color w:val="9C7A2E"/>
          <w:sz w:val="22"/>
        </w:rPr>
        <w:t>UNIT 10</w:t>
      </w:r>
    </w:p>
    <w:p>
      <w:r>
        <w:rPr>
          <w:b/>
          <w:color w:val="24406B"/>
          <w:sz w:val="40"/>
        </w:rPr>
        <w:t>Amoris Laetitia and the Contemporary Debate</w:t>
      </w:r>
    </w:p>
    <w:p>
      <w:pPr>
        <w:spacing w:before="280"/>
      </w:pPr>
      <w:r>
        <w:rPr>
          <w:b/>
          <w:color w:val="24406B"/>
          <w:sz w:val="34"/>
        </w:rPr>
        <w:t>The Two Synods</w:t>
      </w:r>
    </w:p>
    <w:p>
      <w:r>
        <w:rPr>
          <w:b/>
        </w:rPr>
        <w:t>The Extraordinary Synod of 2014</w:t>
      </w:r>
      <w:r>
        <w:t xml:space="preserve"> and the </w:t>
      </w:r>
      <w:r>
        <w:rPr>
          <w:b/>
        </w:rPr>
        <w:t>Ordinary Synod of 2015</w:t>
      </w:r>
      <w:r>
        <w:t xml:space="preserve"> on the family were the most contested since the Council. The flashpoint was the pastoral care of the </w:t>
      </w:r>
      <w:r>
        <w:rPr>
          <w:b/>
        </w:rPr>
        <w:t>divorced and civilly remarried</w:t>
      </w:r>
      <w:r>
        <w:t>.</w:t>
      </w:r>
    </w:p>
    <w:p>
      <w:r>
        <w:rPr>
          <w:b/>
        </w:rPr>
        <w:t>Cardinal Walter Kasper's</w:t>
      </w:r>
      <w:r>
        <w:t xml:space="preserve"> February 2014 address to the consistory proposed a limited </w:t>
      </w:r>
      <w:r>
        <w:rPr>
          <w:i/>
        </w:rPr>
        <w:t>via poenitentialis</w:t>
      </w:r>
      <w:r>
        <w:t xml:space="preserve">: after a period of penance and discernment, and where the first marriage could not be shown null but reconciliation was impossible, admission to communion might be possible in some cases — appealing to the Orthodox practice of </w:t>
      </w:r>
      <w:r>
        <w:rPr>
          <w:i/>
        </w:rPr>
        <w:t>oikonomia</w:t>
      </w:r>
      <w:r>
        <w:t xml:space="preserve"> and to patristic evidence for a penitential path.</w:t>
      </w:r>
    </w:p>
    <w:p>
      <w:r>
        <w:t>Opposition was substantial and public, including from five cardinals in a jointly authored book, arguing that the proposal was incompatible with the indissolubility of marriage and with the Eucharistic discipline flowing from it.</w:t>
      </w:r>
    </w:p>
    <w:p>
      <w:pPr>
        <w:spacing w:before="280"/>
      </w:pPr>
      <w:r>
        <w:rPr>
          <w:b/>
          <w:color w:val="24406B"/>
          <w:sz w:val="34"/>
        </w:rPr>
        <w:t>Amoris Laetitia (19 March 2016)</w:t>
      </w:r>
    </w:p>
    <w:p>
      <w:r>
        <w:t xml:space="preserve">Most of the exhortation is a warm, practical, and widely welcomed treatment of love and family life — chapter 4's meditation on 1 Corinthians 13 is its best-known section. The controversy concerns </w:t>
      </w:r>
      <w:r>
        <w:rPr>
          <w:b/>
        </w:rPr>
        <w:t>chapter 8</w:t>
      </w:r>
      <w:r>
        <w:t>.</w:t>
      </w:r>
    </w:p>
    <w:p>
      <w:r>
        <w:rPr>
          <w:b/>
        </w:rPr>
        <w:t>Its method</w:t>
      </w:r>
      <w:r>
        <w:t xml:space="preserve"> is threefold: </w:t>
      </w:r>
      <w:r>
        <w:rPr>
          <w:b/>
        </w:rPr>
        <w:t>accompanying, discerning, and integrating</w:t>
      </w:r>
      <w:r>
        <w:t xml:space="preserve"> weakness. Its key moves:</w:t>
      </w:r>
    </w:p>
    <w:p>
      <w:pPr>
        <w:pStyle w:val="ListBullet"/>
      </w:pPr>
      <w:r>
        <w:rPr>
          <w:b/>
        </w:rPr>
        <w:t>AL 301</w:t>
      </w:r>
      <w:r>
        <w:t>: "it can no longer simply be said that all those in any 'irregular' situation are living in a state of mortal sin" — because subjective culpability may be diminished by ignorance, conditioning, or circumstances.</w:t>
      </w:r>
    </w:p>
    <w:p>
      <w:pPr>
        <w:pStyle w:val="ListBullet"/>
      </w:pPr>
      <w:r>
        <w:rPr>
          <w:b/>
        </w:rPr>
        <w:t>AL 300</w:t>
      </w:r>
      <w:r>
        <w:t>: discernment must be personal and pastoral, with a properly formed conscience, and "what is possible is simply a renewed encouragement to undertake a responsible personal and pastoral discernment of particular cases."</w:t>
      </w:r>
    </w:p>
    <w:p>
      <w:pPr>
        <w:pStyle w:val="ListBullet"/>
      </w:pPr>
      <w:r>
        <w:rPr>
          <w:b/>
        </w:rPr>
        <w:t>Footnote 351</w:t>
      </w:r>
      <w:r>
        <w:t>, attached to a discussion of those in irregular situations: "In certain cases, this can include the help of the sacraments... I would also point out that the Eucharist 'is not a prize for the perfect, but a powerful medicine and nourishment for the weak.'"</w:t>
      </w:r>
    </w:p>
    <w:p>
      <w:r>
        <w:rPr>
          <w:b/>
        </w:rPr>
        <w:t>The dubia.</w:t>
      </w:r>
      <w:r>
        <w:t xml:space="preserve"> In September 2016 four cardinals (Brandmüller, Burke, Caffarra, Meisner) submitted five </w:t>
      </w:r>
      <w:r>
        <w:rPr>
          <w:i/>
        </w:rPr>
        <w:t>dubia</w:t>
      </w:r>
      <w:r>
        <w:t xml:space="preserve"> asking for a yes-or-no clarification, principally whether AL permits communion in such cases and whether the teaching on intrinsically evil acts still stands. No formal reply was given.</w:t>
      </w:r>
    </w:p>
    <w:p>
      <w:r>
        <w:rPr>
          <w:b/>
        </w:rPr>
        <w:t>The authoritative interpretation.</w:t>
      </w:r>
      <w:r>
        <w:t xml:space="preserve"> Francis wrote to the bishops of the Buenos Aires region approving their guidelines — which allow that in some cases access to the sacraments may be possible — and stated "there are no other interpretations." Both the guidelines and the letter were subsequently published in the </w:t>
      </w:r>
      <w:r>
        <w:rPr>
          <w:i/>
        </w:rPr>
        <w:t>Acta Apostolicae Sedis</w:t>
      </w:r>
      <w:r>
        <w:t xml:space="preserve"> with a note designating them </w:t>
      </w:r>
      <w:r>
        <w:rPr>
          <w:b/>
        </w:rPr>
        <w:t>authentic magisterium</w:t>
      </w:r>
      <w:r>
        <w:t>.</w:t>
      </w:r>
    </w:p>
    <w:p>
      <w:r>
        <w:rPr>
          <w:b/>
        </w:rPr>
        <w:t>How to handle this in an essay.</w:t>
      </w:r>
      <w:r>
        <w:t xml:space="preserve"> State the interpretive dispute fairly: one reading holds AL 8 develops </w:t>
      </w:r>
      <w:r>
        <w:rPr>
          <w:i/>
        </w:rPr>
        <w:t>Familiaris Consortio</w:t>
      </w:r>
      <w:r>
        <w:t xml:space="preserve"> 84 by applying the traditional principles of imputability and the internal forum to a situation FC treated only in the objective order; another holds it introduces a discontinuity in Eucharistic discipline that the earlier teaching excluded. The </w:t>
      </w:r>
      <w:r>
        <w:rPr>
          <w:i/>
        </w:rPr>
        <w:t>AAS</w:t>
      </w:r>
      <w:r>
        <w:t xml:space="preserve"> publication settles the document's authority without ending the theological argument about its content.</w:t>
      </w:r>
    </w:p>
    <w:p>
      <w:pPr>
        <w:spacing w:before="280"/>
      </w:pPr>
      <w:r>
        <w:rPr>
          <w:b/>
          <w:color w:val="24406B"/>
          <w:sz w:val="34"/>
        </w:rPr>
        <w:t>Mitis Iudex Dominus Iesus (2015)</w:t>
      </w:r>
    </w:p>
    <w:p>
      <w:r>
        <w:t xml:space="preserve">Often overlooked but arguably of greater practical consequence: Francis's reform of the </w:t>
      </w:r>
      <w:r>
        <w:rPr>
          <w:b/>
        </w:rPr>
        <w:t>annulment process</w:t>
      </w:r>
      <w:r>
        <w:t xml:space="preserve">. It abolished the requirement of a </w:t>
      </w:r>
      <w:r>
        <w:rPr>
          <w:b/>
        </w:rPr>
        <w:t>second concordant sentence</w:t>
      </w:r>
      <w:r>
        <w:t xml:space="preserve"> before a declaration of nullity takes effect; permitted the </w:t>
      </w:r>
      <w:r>
        <w:rPr>
          <w:b/>
        </w:rPr>
        <w:t>bishop himself</w:t>
      </w:r>
      <w:r>
        <w:t xml:space="preserve"> to judge certain cases in a brief process (</w:t>
      </w:r>
      <w:r>
        <w:rPr>
          <w:i/>
        </w:rPr>
        <w:t>processus brevior</w:t>
      </w:r>
      <w:r>
        <w:t>) where nullity is manifest and both parties agree; and directed that the process be free of charge where possible. Annulment timelines fell dramatically in many dioceses.</w:t>
      </w:r>
    </w:p>
    <w:p>
      <w:r>
        <w:br w:type="page"/>
      </w:r>
    </w:p>
    <w:p>
      <w:r>
        <w:rPr>
          <w:b/>
          <w:color w:val="9C7A2E"/>
          <w:sz w:val="22"/>
        </w:rPr>
        <w:t>UNIT 11</w:t>
      </w:r>
    </w:p>
    <w:p>
      <w:r>
        <w:rPr>
          <w:b/>
          <w:color w:val="24406B"/>
          <w:sz w:val="40"/>
        </w:rPr>
        <w:t>Theological Significance</w:t>
      </w:r>
    </w:p>
    <w:p>
      <w:r>
        <w:rPr>
          <w:b/>
        </w:rPr>
        <w:t>1. The spouses are the ministers.</w:t>
      </w:r>
      <w:r>
        <w:t xml:space="preserve"> Unique among the seven: in the Latin tradition the </w:t>
      </w:r>
      <w:r>
        <w:rPr>
          <w:b/>
        </w:rPr>
        <w:t>couple confect the sacrament</w:t>
      </w:r>
      <w:r>
        <w:t xml:space="preserve"> by their consent, and the priest or deacon is the Church's qualified witness. From this follow the centrality of consent, the whole law of nullity, and the possibility (with dispensation) of a valid Catholic marriage without a priest present.</w:t>
      </w:r>
    </w:p>
    <w:p>
      <w:r>
        <w:rPr>
          <w:b/>
        </w:rPr>
        <w:t>2. The Eastern difference is structural, not merely ceremonial.</w:t>
      </w:r>
      <w:r>
        <w:t xml:space="preserve"> In the Byzantine tradition the </w:t>
      </w:r>
      <w:r>
        <w:rPr>
          <w:b/>
        </w:rPr>
        <w:t>priest is the minister</w:t>
      </w:r>
      <w:r>
        <w:t xml:space="preserve"> and the </w:t>
      </w:r>
      <w:r>
        <w:rPr>
          <w:b/>
        </w:rPr>
        <w:t>crowning</w:t>
      </w:r>
      <w:r>
        <w:t xml:space="preserve"> is the form of the sacrament, the marriage being seen as effected by the Church's blessing rather than by the exchange of consent alone. This is a genuine divergence in sacramental theology, not a difference of custom, and it partly explains why the East can accommodate </w:t>
      </w:r>
      <w:r>
        <w:rPr>
          <w:i/>
        </w:rPr>
        <w:t>oikonomia</w:t>
      </w:r>
      <w:r>
        <w:t xml:space="preserve"> for second marriages within a penitential rite while the West cannot easily do so.</w:t>
      </w:r>
    </w:p>
    <w:p>
      <w:r>
        <w:rPr>
          <w:b/>
        </w:rPr>
        <w:t>3. Covenant.</w:t>
      </w:r>
      <w:r>
        <w:t xml:space="preserve"> </w:t>
      </w:r>
      <w:r>
        <w:rPr>
          <w:i/>
        </w:rPr>
        <w:t>GS</w:t>
      </w:r>
      <w:r>
        <w:t xml:space="preserve"> 48's replacement of contract with covenant language re-roots marriage in the biblical figure (Hosea, Ephesians 5) rather than in Roman contract law — with the consequence that fidelity is modelled on God's fidelity, which does not withdraw when the other party fails.</w:t>
      </w:r>
    </w:p>
    <w:p>
      <w:r>
        <w:rPr>
          <w:b/>
        </w:rPr>
        <w:t>4. Sacramentality and baptism.</w:t>
      </w:r>
      <w:r>
        <w:t xml:space="preserve"> For the baptised, </w:t>
      </w:r>
      <w:r>
        <w:rPr>
          <w:b/>
        </w:rPr>
        <w:t>every valid marriage is a sacrament</w:t>
      </w:r>
      <w:r>
        <w:t xml:space="preserve"> (CIC c. 1055 §2) — there is no such thing as a merely natural marriage between two baptised persons. This has real consequences: it means two baptised non-practising Christians contract a sacramental marriage, and it complicates pastoral discussion of "who is really married."</w:t>
      </w:r>
    </w:p>
    <w:p>
      <w:r>
        <w:rPr>
          <w:b/>
        </w:rPr>
        <w:t>5. Indissolubility.</w:t>
      </w:r>
      <w:r>
        <w:t xml:space="preserve"> Grounded in Christ's appeal behind Moses to creation (Mk 10:6-9) and in the Ephesians analogy: an indissoluble bond signifies an irrevocable covenant. The doctrine's cost is real — it is precisely what generates the pastoral problem of the divorced and remarried — and any adequate treatment says so rather than pretending the difficulty away.</w:t>
      </w:r>
    </w:p>
    <w:p>
      <w:r>
        <w:rPr>
          <w:b/>
        </w:rPr>
        <w:t>6. Unitive and procreative.</w:t>
      </w:r>
      <w:r>
        <w:t xml:space="preserve"> </w:t>
      </w:r>
      <w:r>
        <w:rPr>
          <w:i/>
        </w:rPr>
        <w:t>HV</w:t>
      </w:r>
      <w:r>
        <w:t xml:space="preserve"> 12's "inseparable connection" is the axis of Catholic sexual ethics. </w:t>
      </w:r>
      <w:r>
        <w:rPr>
          <w:i/>
        </w:rPr>
        <w:t>GS</w:t>
      </w:r>
      <w:r>
        <w:t xml:space="preserve"> 50's refusal to rank the ends and c. 1055's </w:t>
      </w:r>
      <w:r>
        <w:rPr>
          <w:i/>
        </w:rPr>
        <w:t>bonum coniugum</w:t>
      </w:r>
      <w:r>
        <w:t xml:space="preserve"> alongside procreation give the unitive dimension a standing the manual tradition did not accord it.</w:t>
      </w:r>
    </w:p>
    <w:p>
      <w:r>
        <w:rPr>
          <w:b/>
        </w:rPr>
        <w:t>7. The domestic church.</w:t>
      </w:r>
      <w:r>
        <w:t xml:space="preserve"> </w:t>
      </w:r>
      <w:r>
        <w:rPr>
          <w:i/>
        </w:rPr>
        <w:t>LG</w:t>
      </w:r>
      <w:r>
        <w:t xml:space="preserve"> 11 and </w:t>
      </w:r>
      <w:r>
        <w:rPr>
          <w:i/>
        </w:rPr>
        <w:t>FC</w:t>
      </w:r>
      <w:r>
        <w:t xml:space="preserve"> 21 make the family a genuinely ecclesial reality with its own mission, not merely a unit the Church ministers to.</w:t>
      </w:r>
    </w:p>
    <w:p>
      <w:r>
        <w:br w:type="page"/>
      </w:r>
    </w:p>
    <w:p>
      <w:r>
        <w:rPr>
          <w:b/>
          <w:color w:val="9C7A2E"/>
          <w:sz w:val="22"/>
        </w:rPr>
        <w:t>UNIT 12</w:t>
      </w:r>
    </w:p>
    <w:p>
      <w:r>
        <w:rPr>
          <w:b/>
          <w:color w:val="24406B"/>
          <w:sz w:val="40"/>
        </w:rPr>
        <w:t>Nullity, Impediments, and Canon Law</w:t>
      </w:r>
    </w:p>
    <w:p>
      <w:pPr>
        <w:spacing w:before="280"/>
      </w:pPr>
      <w:r>
        <w:rPr>
          <w:b/>
          <w:color w:val="24406B"/>
          <w:sz w:val="34"/>
        </w:rPr>
        <w:t>Nullity Is Not Divorce</w:t>
      </w:r>
    </w:p>
    <w:p>
      <w:r>
        <w:t xml:space="preserve">The distinction must be stated exactly: </w:t>
      </w:r>
      <w:r>
        <w:rPr>
          <w:b/>
        </w:rPr>
        <w:t>a declaration of nullity states that what appeared to be a marriage never in fact was one</w:t>
      </w:r>
      <w:r>
        <w:t>, because something essential was missing from the start. It does not dissolve a marriage; it declares that no bond ever came into existence. Children of a putative marriage remain legitimate (c. 1137).</w:t>
      </w:r>
    </w:p>
    <w:p>
      <w:pPr>
        <w:spacing w:before="280"/>
      </w:pPr>
      <w:r>
        <w:rPr>
          <w:b/>
          <w:color w:val="24406B"/>
          <w:sz w:val="34"/>
        </w:rPr>
        <w:t>Grounds of Nullity</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E4E9F1"/>
          </w:tcPr>
          <w:p>
            <w:r>
              <w:rPr>
                <w:b/>
              </w:rPr>
            </w:r>
            <w:r>
              <w:rPr>
                <w:b/>
              </w:rPr>
              <w:t>Category</w:t>
            </w:r>
          </w:p>
        </w:tc>
        <w:tc>
          <w:tcPr>
            <w:tcW w:type="dxa" w:w="2880"/>
            <w:shd w:val="clear" w:color="auto" w:fill="E4E9F1"/>
          </w:tcPr>
          <w:p>
            <w:r>
              <w:rPr>
                <w:b/>
              </w:rPr>
            </w:r>
            <w:r>
              <w:rPr>
                <w:b/>
              </w:rPr>
              <w:t>Canons</w:t>
            </w:r>
          </w:p>
        </w:tc>
        <w:tc>
          <w:tcPr>
            <w:tcW w:type="dxa" w:w="2880"/>
            <w:shd w:val="clear" w:color="auto" w:fill="E4E9F1"/>
          </w:tcPr>
          <w:p>
            <w:r>
              <w:rPr>
                <w:b/>
              </w:rPr>
            </w:r>
            <w:r>
              <w:rPr>
                <w:b/>
              </w:rPr>
              <w:t>Examples</w:t>
            </w:r>
          </w:p>
        </w:tc>
      </w:tr>
      <w:tr>
        <w:tc>
          <w:tcPr>
            <w:tcW w:type="dxa" w:w="2880"/>
          </w:tcPr>
          <w:p>
            <w:r/>
            <w:r>
              <w:rPr>
                <w:b/>
              </w:rPr>
              <w:t>Defect of consent</w:t>
            </w:r>
          </w:p>
        </w:tc>
        <w:tc>
          <w:tcPr>
            <w:tcW w:type="dxa" w:w="2880"/>
          </w:tcPr>
          <w:p>
            <w:r/>
            <w:r>
              <w:t>cc. 1095-1103</w:t>
            </w:r>
          </w:p>
        </w:tc>
        <w:tc>
          <w:tcPr>
            <w:tcW w:type="dxa" w:w="2880"/>
          </w:tcPr>
          <w:p>
            <w:r/>
            <w:r>
              <w:t xml:space="preserve">Lack of sufficient use of reason; </w:t>
            </w:r>
            <w:r>
              <w:rPr>
                <w:b/>
              </w:rPr>
              <w:t>grave lack of discretion of judgement</w:t>
            </w:r>
            <w:r>
              <w:t xml:space="preserve"> concerning essential rights and duties; </w:t>
            </w:r>
            <w:r>
              <w:rPr>
                <w:b/>
              </w:rPr>
              <w:t>incapacity to assume</w:t>
            </w:r>
            <w:r>
              <w:t xml:space="preserve"> the essential obligations for causes of a psychic nature (c. 1095 — by far the most commonly invoked ground today); error about a quality directly and principally intended; </w:t>
            </w:r>
            <w:r>
              <w:rPr>
                <w:b/>
              </w:rPr>
              <w:t>total or partial simulation</w:t>
            </w:r>
            <w:r>
              <w:t xml:space="preserve"> (excluding indissolubility, fidelity, or children); force or grave fear</w:t>
            </w:r>
          </w:p>
        </w:tc>
      </w:tr>
      <w:tr>
        <w:tc>
          <w:tcPr>
            <w:tcW w:type="dxa" w:w="2880"/>
          </w:tcPr>
          <w:p>
            <w:r/>
            <w:r>
              <w:rPr>
                <w:b/>
              </w:rPr>
              <w:t>Impediments</w:t>
            </w:r>
          </w:p>
        </w:tc>
        <w:tc>
          <w:tcPr>
            <w:tcW w:type="dxa" w:w="2880"/>
          </w:tcPr>
          <w:p>
            <w:r/>
            <w:r>
              <w:t>cc. 1083-1094</w:t>
            </w:r>
          </w:p>
        </w:tc>
        <w:tc>
          <w:tcPr>
            <w:tcW w:type="dxa" w:w="2880"/>
          </w:tcPr>
          <w:p>
            <w:r/>
            <w:r>
              <w:t xml:space="preserve">Age; antecedent and perpetual impotence; </w:t>
            </w:r>
            <w:r>
              <w:rPr>
                <w:b/>
              </w:rPr>
              <w:t>prior bond</w:t>
            </w:r>
            <w:r>
              <w:t>; disparity of cult; sacred orders; perpetual public vow of chastity; abduction; crime; consanguinity; affinity; public propriety; legal adoption</w:t>
            </w:r>
          </w:p>
        </w:tc>
      </w:tr>
      <w:tr>
        <w:tc>
          <w:tcPr>
            <w:tcW w:type="dxa" w:w="2880"/>
          </w:tcPr>
          <w:p>
            <w:r/>
            <w:r>
              <w:rPr>
                <w:b/>
              </w:rPr>
              <w:t>Defect of form</w:t>
            </w:r>
          </w:p>
        </w:tc>
        <w:tc>
          <w:tcPr>
            <w:tcW w:type="dxa" w:w="2880"/>
          </w:tcPr>
          <w:p>
            <w:r/>
            <w:r>
              <w:t>c. 1108</w:t>
            </w:r>
          </w:p>
        </w:tc>
        <w:tc>
          <w:tcPr>
            <w:tcW w:type="dxa" w:w="2880"/>
          </w:tcPr>
          <w:p>
            <w:r/>
            <w:r>
              <w:t>Marriage not celebrated before the local ordinary, parish priest, or delegated priest or deacon, and two witnesses</w:t>
            </w:r>
          </w:p>
        </w:tc>
      </w:tr>
    </w:tbl>
    <w:p>
      <w:pPr>
        <w:spacing w:after="80"/>
      </w:pPr>
    </w:p>
    <w:p>
      <w:pPr>
        <w:spacing w:before="280"/>
      </w:pPr>
      <w:r>
        <w:rPr>
          <w:b/>
          <w:color w:val="24406B"/>
          <w:sz w:val="34"/>
        </w:rPr>
        <w:t>Dissolution of a Valid Bond — the Three Exceptions</w:t>
      </w:r>
    </w:p>
    <w:p>
      <w:r>
        <w:t xml:space="preserve">A </w:t>
      </w:r>
      <w:r>
        <w:rPr>
          <w:b/>
        </w:rPr>
        <w:t>ratified and consummated</w:t>
      </w:r>
      <w:r>
        <w:t xml:space="preserve"> sacramental marriage cannot be dissolved by any power on earth (c. 1141). But three genuine dissolutions exist, and knowing them is essential:</w:t>
      </w:r>
    </w:p>
    <w:p>
      <w:pPr>
        <w:pStyle w:val="ListNumber"/>
      </w:pPr>
      <w:r>
        <w:rPr>
          <w:b/>
        </w:rPr>
        <w:t>Ratum non consummatum</w:t>
      </w:r>
      <w:r>
        <w:t xml:space="preserve"> (c. 1142) — a valid but unconsummated marriage may be dissolved by the Roman Pontiff for a just cause.</w:t>
      </w:r>
    </w:p>
    <w:p>
      <w:pPr>
        <w:pStyle w:val="ListNumber"/>
      </w:pPr>
      <w:r>
        <w:rPr>
          <w:b/>
        </w:rPr>
        <w:t>The Pauline privilege</w:t>
      </w:r>
      <w:r>
        <w:t xml:space="preserve"> (cc. 1143-1147) — a marriage between two </w:t>
      </w:r>
      <w:r>
        <w:rPr>
          <w:i/>
        </w:rPr>
        <w:t>unbaptised</w:t>
      </w:r>
      <w:r>
        <w:t xml:space="preserve"> persons may be dissolved in favour of the faith when one is baptised and the other departs. Rooted in 1 Cor 7:12-15.</w:t>
      </w:r>
    </w:p>
    <w:p>
      <w:pPr>
        <w:pStyle w:val="ListNumber"/>
      </w:pPr>
      <w:r>
        <w:rPr>
          <w:b/>
        </w:rPr>
        <w:t>The Petrine privilege / privilege of the faith</w:t>
      </w:r>
      <w:r>
        <w:t xml:space="preserve"> — dissolution by papal act of a marriage between a baptised and an unbaptised person, in favour of the faith of the Catholic party.</w:t>
      </w:r>
    </w:p>
    <w:p>
      <w:r>
        <w:t xml:space="preserve">Note what all three have in common: none dissolves a </w:t>
      </w:r>
      <w:r>
        <w:rPr>
          <w:i/>
        </w:rPr>
        <w:t>consummated sacramental</w:t>
      </w:r>
      <w:r>
        <w:t xml:space="preserve"> marriage.</w:t>
      </w:r>
    </w:p>
    <w:p>
      <w:pPr>
        <w:spacing w:before="280"/>
      </w:pPr>
      <w:r>
        <w:rPr>
          <w:b/>
          <w:color w:val="24406B"/>
          <w:sz w:val="34"/>
        </w:rPr>
        <w:t>Mixed Marriages and Disparity of Cult</w:t>
      </w:r>
    </w:p>
    <w:p>
      <w:pPr>
        <w:pStyle w:val="ListBullet"/>
      </w:pPr>
      <w:r>
        <w:rPr>
          <w:b/>
        </w:rPr>
        <w:t>Mixed marriage</w:t>
      </w:r>
      <w:r>
        <w:t xml:space="preserve"> (Catholic with a baptised non-Catholic) requires the </w:t>
      </w:r>
      <w:r>
        <w:rPr>
          <w:b/>
        </w:rPr>
        <w:t>permission</w:t>
      </w:r>
      <w:r>
        <w:t xml:space="preserve"> of the ordinary (c. 1124).</w:t>
      </w:r>
    </w:p>
    <w:p>
      <w:pPr>
        <w:pStyle w:val="ListBullet"/>
      </w:pPr>
      <w:r>
        <w:rPr>
          <w:b/>
        </w:rPr>
        <w:t>Disparity of cult</w:t>
      </w:r>
      <w:r>
        <w:t xml:space="preserve"> (Catholic with a non-baptised person) is a </w:t>
      </w:r>
      <w:r>
        <w:rPr>
          <w:b/>
        </w:rPr>
        <w:t>diriment impediment</w:t>
      </w:r>
      <w:r>
        <w:t xml:space="preserve"> requiring </w:t>
      </w:r>
      <w:r>
        <w:rPr>
          <w:b/>
        </w:rPr>
        <w:t>dispensation</w:t>
      </w:r>
      <w:r>
        <w:t xml:space="preserve"> (c. 1086) — without which the marriage is invalid.</w:t>
      </w:r>
    </w:p>
    <w:p>
      <w:pPr>
        <w:pStyle w:val="ListBullet"/>
      </w:pPr>
      <w:r>
        <w:t xml:space="preserve">In both cases the Catholic party must declare readiness to remove dangers of defecting from the faith and promise sincerely to do all in their power to have the children baptised and raised Catholic; the other party is </w:t>
      </w:r>
      <w:r>
        <w:rPr>
          <w:b/>
        </w:rPr>
        <w:t>informed</w:t>
      </w:r>
      <w:r>
        <w:t xml:space="preserve"> of this promise but no longer required to make it (a significant softening from </w:t>
      </w:r>
      <w:r>
        <w:rPr>
          <w:i/>
        </w:rPr>
        <w:t>Ne Temere</w:t>
      </w:r>
      <w:r>
        <w:t xml:space="preserve">, made in </w:t>
      </w:r>
      <w:r>
        <w:rPr>
          <w:i/>
        </w:rPr>
        <w:t>Matrimonia Mixta</w:t>
      </w:r>
      <w:r>
        <w:t>, 1970).</w:t>
      </w:r>
    </w:p>
    <w:p>
      <w:r>
        <w:br w:type="page"/>
      </w:r>
    </w:p>
    <w:p>
      <w:r>
        <w:rPr>
          <w:b/>
          <w:color w:val="9C7A2E"/>
          <w:sz w:val="22"/>
        </w:rPr>
        <w:t>UNIT 13</w:t>
      </w:r>
    </w:p>
    <w:p>
      <w:r>
        <w:rPr>
          <w:b/>
          <w:color w:val="24406B"/>
          <w:sz w:val="40"/>
        </w:rPr>
        <w:t>Practical and Pastoral Application — The Indian Context</w:t>
      </w:r>
    </w:p>
    <w:p>
      <w:pPr>
        <w:spacing w:before="280"/>
      </w:pPr>
      <w:r>
        <w:rPr>
          <w:b/>
          <w:color w:val="24406B"/>
          <w:sz w:val="34"/>
        </w:rPr>
        <w:t>Arranged Marriage and the Theology of Consent</w:t>
      </w:r>
    </w:p>
    <w:p>
      <w:r>
        <w:t>This is the most theologically interesting pastoral question in the Indian context, and it deserves careful treatment rather than either dismissal or uncritical endorsement.</w:t>
      </w:r>
    </w:p>
    <w:p>
      <w:r>
        <w:rPr>
          <w:b/>
        </w:rPr>
        <w:t>The doctrinal position is clear:</w:t>
      </w:r>
      <w:r>
        <w:t xml:space="preserve"> consent is the efficient cause of marriage and must be a </w:t>
      </w:r>
      <w:r>
        <w:rPr>
          <w:b/>
        </w:rPr>
        <w:t>free act of the will</w:t>
      </w:r>
      <w:r>
        <w:t xml:space="preserve"> (c. 1057). Marriage contracted through </w:t>
      </w:r>
      <w:r>
        <w:rPr>
          <w:b/>
        </w:rPr>
        <w:t>force or grave fear inflicted from outside</w:t>
      </w:r>
      <w:r>
        <w:t xml:space="preserve">, even indirectly, from which one can only escape by choosing marriage, is </w:t>
      </w:r>
      <w:r>
        <w:rPr>
          <w:b/>
        </w:rPr>
        <w:t>invalid</w:t>
      </w:r>
      <w:r>
        <w:t xml:space="preserve"> (c. 1103).</w:t>
      </w:r>
    </w:p>
    <w:p>
      <w:r>
        <w:rPr>
          <w:b/>
        </w:rPr>
        <w:t>But arrangement is not, in itself, coercion.</w:t>
      </w:r>
      <w:r>
        <w:t xml:space="preserve"> A marriage arranged by families in which both parties freely consent is entirely valid, and the Church has never taught otherwise — European Catholic marriage was largely arranged for most of its history. The pastoral task is therefore </w:t>
      </w:r>
      <w:r>
        <w:rPr>
          <w:b/>
        </w:rPr>
        <w:t>discernment of the actual freedom of the consent</w:t>
      </w:r>
      <w:r>
        <w:t>, not opposition to the custom. Practical markers: was there a genuine right of refusal? Was refusal survivable socially and economically? Was there adequate knowledge of the other party?</w:t>
      </w:r>
    </w:p>
    <w:p>
      <w:r>
        <w:rPr>
          <w:b/>
        </w:rPr>
        <w:t>The genuinely difficult cases</w:t>
      </w:r>
      <w:r>
        <w:t xml:space="preserve"> are those where refusal, though formally possible, would carry consequences (disinheritance, ostracism, the sister's prospects) severe enough to raise the question of grave fear. These require real pastoral judgement, and c. 1103 exists precisely for them.</w:t>
      </w:r>
    </w:p>
    <w:p>
      <w:pPr>
        <w:spacing w:before="280"/>
      </w:pPr>
      <w:r>
        <w:rPr>
          <w:b/>
          <w:color w:val="24406B"/>
          <w:sz w:val="34"/>
        </w:rPr>
        <w:t>Dowry</w:t>
      </w:r>
    </w:p>
    <w:p>
      <w:r>
        <w:t xml:space="preserve">Prohibited by the </w:t>
      </w:r>
      <w:r>
        <w:rPr>
          <w:b/>
        </w:rPr>
        <w:t>Dowry Prohibition Act 1961</w:t>
      </w:r>
      <w:r>
        <w:t xml:space="preserve"> and persistent nonetheless, including among Christians. The theological objection is direct: </w:t>
      </w:r>
      <w:r>
        <w:rPr>
          <w:b/>
        </w:rPr>
        <w:t>dowry treats the bride as a transaction</w:t>
      </w:r>
      <w:r>
        <w:t>, which contradicts the covenant of mutual self-gift that constitutes the sacrament. Several Indian episcopal conferences and dioceses have legislated against clergy witnessing dowry marriages. The pastoral difficulty is that the family, not the couple, typically drives the practice.</w:t>
      </w:r>
    </w:p>
    <w:p>
      <w:pPr>
        <w:spacing w:before="280"/>
      </w:pPr>
      <w:r>
        <w:rPr>
          <w:b/>
          <w:color w:val="24406B"/>
          <w:sz w:val="34"/>
        </w:rPr>
        <w:t>Caste Endogamy</w:t>
      </w:r>
    </w:p>
    <w:p>
      <w:r>
        <w:t xml:space="preserve">The same argument the vault has already made for baptism, the Eucharist, and orders applies here with equal force: if baptism incorporates into a body in which there is "neither slave nor free" (Gal 3:28), caste-endogamous marriage among Christians — and the matrimonial advertisements that specify it — contradicts what the earlier sacrament effected. </w:t>
      </w:r>
      <w:r>
        <w:rPr>
          <w:b/>
        </w:rPr>
        <w:t>George Soares-Prabhu's</w:t>
      </w:r>
      <w:r>
        <w:t xml:space="preserve"> judgement that caste in the Church parodies the Eucharist extends naturally: marriage is precisely where caste boundaries are policed most effectively, which makes it the practical mechanism by which caste is reproduced in the Christian community generation after generation.</w:t>
      </w:r>
    </w:p>
    <w:p>
      <w:pPr>
        <w:spacing w:before="280"/>
      </w:pPr>
      <w:r>
        <w:rPr>
          <w:b/>
          <w:color w:val="24406B"/>
          <w:sz w:val="34"/>
        </w:rPr>
        <w:t>Mixed Marriage and Disparity of Cult in a Plural Society</w:t>
      </w:r>
    </w:p>
    <w:p>
      <w:r>
        <w:t>Statistically far more common in India than in most of the Catholic world, and the pastoral load is correspondingly heavier:</w:t>
      </w:r>
    </w:p>
    <w:p>
      <w:pPr>
        <w:pStyle w:val="ListBullet"/>
      </w:pPr>
      <w:r>
        <w:rPr>
          <w:b/>
        </w:rPr>
        <w:t>Disparity of cult</w:t>
      </w:r>
      <w:r>
        <w:t xml:space="preserve"> with Hindu, Muslim, or Sikh partners requires dispensation, and the promise regarding the children's baptism raises real difficulties where the other family expects otherwise.</w:t>
      </w:r>
    </w:p>
    <w:p>
      <w:pPr>
        <w:pStyle w:val="ListBullet"/>
      </w:pPr>
      <w:r>
        <w:rPr>
          <w:b/>
        </w:rPr>
        <w:t>Interchurch marriages</w:t>
      </w:r>
      <w:r>
        <w:t xml:space="preserve"> between Latin, Syro-Malabar, and Syro-Malankara Catholics raise questions of </w:t>
      </w:r>
      <w:r>
        <w:rPr>
          <w:b/>
        </w:rPr>
        <w:t>ritual church membership</w:t>
      </w:r>
      <w:r>
        <w:t xml:space="preserve"> — the children's ascription to a </w:t>
      </w:r>
      <w:r>
        <w:rPr>
          <w:i/>
        </w:rPr>
        <w:t>sui iuris</w:t>
      </w:r>
      <w:r>
        <w:t xml:space="preserve"> Church, and which liturgical tradition the family will practise. This is a genuinely Indian pastoral question with little Western literature.</w:t>
      </w:r>
    </w:p>
    <w:p>
      <w:pPr>
        <w:pStyle w:val="ListBullet"/>
      </w:pPr>
      <w:r>
        <w:rPr>
          <w:b/>
        </w:rPr>
        <w:t>Civil law</w:t>
      </w:r>
      <w:r>
        <w:t xml:space="preserve">: the </w:t>
      </w:r>
      <w:r>
        <w:rPr>
          <w:b/>
        </w:rPr>
        <w:t>Indian Christian Marriage Act 1872</w:t>
      </w:r>
      <w:r>
        <w:t xml:space="preserve"> governs the solemnisation of Christian marriages, and the </w:t>
      </w:r>
      <w:r>
        <w:rPr>
          <w:b/>
        </w:rPr>
        <w:t>Indian Divorce Act 1869</w:t>
      </w:r>
      <w:r>
        <w:t xml:space="preserve">, substantially amended in </w:t>
      </w:r>
      <w:r>
        <w:rPr>
          <w:b/>
        </w:rPr>
        <w:t>2001</w:t>
      </w:r>
      <w:r>
        <w:t xml:space="preserve">, governs dissolution — the amendment having removed the grossly discriminatory requirement that a wife prove adultery </w:t>
      </w:r>
      <w:r>
        <w:rPr>
          <w:i/>
        </w:rPr>
        <w:t>plus</w:t>
      </w:r>
      <w:r>
        <w:t xml:space="preserve"> an additional ground. A pastor must know that a civil decree has no effect on the canonical bond.</w:t>
      </w:r>
    </w:p>
    <w:p>
      <w:pPr>
        <w:spacing w:before="280"/>
      </w:pPr>
      <w:r>
        <w:rPr>
          <w:b/>
          <w:color w:val="24406B"/>
          <w:sz w:val="34"/>
        </w:rPr>
        <w:t>Marriage Preparation</w:t>
      </w:r>
    </w:p>
    <w:p>
      <w:r>
        <w:t xml:space="preserve">The FABC has consistently emphasised family ministry as central to the Asian Church's mission, and </w:t>
      </w:r>
      <w:r>
        <w:rPr>
          <w:b/>
        </w:rPr>
        <w:t>Amaladoss's</w:t>
      </w:r>
      <w:r>
        <w:t xml:space="preserve"> rule on inculturation applies: preparation programmes transplanted from Europe address a companionate-marriage model that may not describe the couple's actual situation. Effective preparation in this context engages the </w:t>
      </w:r>
      <w:r>
        <w:rPr>
          <w:b/>
        </w:rPr>
        <w:t>families</w:t>
      </w:r>
      <w:r>
        <w:t>, not only the couple.</w:t>
      </w:r>
    </w:p>
    <w:p>
      <w:r>
        <w:br w:type="page"/>
      </w:r>
    </w:p>
    <w:p>
      <w:r>
        <w:rPr>
          <w:b/>
          <w:color w:val="9C7A2E"/>
          <w:sz w:val="22"/>
        </w:rPr>
        <w:t>UNIT 14</w:t>
      </w:r>
    </w:p>
    <w:p>
      <w:r>
        <w:rPr>
          <w:b/>
          <w:color w:val="24406B"/>
          <w:sz w:val="40"/>
        </w:rPr>
        <w:t>Examination Preparation</w:t>
      </w:r>
    </w:p>
    <w:p>
      <w:pPr>
        <w:spacing w:before="280"/>
      </w:pPr>
      <w:r>
        <w:rPr>
          <w:b/>
          <w:color w:val="24406B"/>
          <w:sz w:val="34"/>
        </w:rPr>
        <w:t>Likely Essay Questions</w:t>
      </w:r>
    </w:p>
    <w:p>
      <w:pPr>
        <w:pStyle w:val="ListNumber"/>
      </w:pPr>
      <w:r>
        <w:t>"Jesus's argument on divorce is not a ruling between Shammai and Hillel but an appeal behind Moses to creation." Discuss, and assess its force as a foundation for indissolubility.</w:t>
      </w:r>
    </w:p>
    <w:p>
      <w:pPr>
        <w:pStyle w:val="ListNumber"/>
      </w:pPr>
      <w:r>
        <w:t>Examine the Matthean exception clause and evaluate the principal interpretations.</w:t>
      </w:r>
    </w:p>
    <w:p>
      <w:pPr>
        <w:pStyle w:val="ListNumber"/>
      </w:pPr>
      <w:r>
        <w:t>Trace Augustine's three goods of marriage and assess how far his account of concupiscence shaped the Western tradition's unease about sexuality.</w:t>
      </w:r>
    </w:p>
    <w:p>
      <w:pPr>
        <w:pStyle w:val="ListNumber"/>
      </w:pPr>
      <w:r>
        <w:t>Explain the twelfth-century dispute between the consent and consummation schools, and show how Alexander III's synthesis governs Catholic law to this day.</w:t>
      </w:r>
    </w:p>
    <w:p>
      <w:pPr>
        <w:pStyle w:val="ListNumber"/>
      </w:pPr>
      <w:r>
        <w:t xml:space="preserve">"The most consequential act of Trent on marriage was disciplinary, not doctrinal." Discuss with reference to </w:t>
      </w:r>
      <w:r>
        <w:rPr>
          <w:i/>
        </w:rPr>
        <w:t>Tametsi</w:t>
      </w:r>
      <w:r>
        <w:t>.</w:t>
      </w:r>
    </w:p>
    <w:p>
      <w:pPr>
        <w:pStyle w:val="ListNumber"/>
      </w:pPr>
      <w:r>
        <w:t>Account for the condemnation of Doms and von Hildebrand in 1944 and the substantial reception of their position at Vatican II.</w:t>
      </w:r>
    </w:p>
    <w:p>
      <w:pPr>
        <w:pStyle w:val="ListNumber"/>
      </w:pPr>
      <w:r>
        <w:t xml:space="preserve">What exactly did </w:t>
      </w:r>
      <w:r>
        <w:rPr>
          <w:i/>
        </w:rPr>
        <w:t>Gaudium et Spes</w:t>
      </w:r>
      <w:r>
        <w:t xml:space="preserve"> change about the ends of marriage, and how is the change registered in the 1983 Code?</w:t>
      </w:r>
    </w:p>
    <w:p>
      <w:pPr>
        <w:pStyle w:val="ListNumber"/>
      </w:pPr>
      <w:r>
        <w:t xml:space="preserve">Assess the argument of </w:t>
      </w:r>
      <w:r>
        <w:rPr>
          <w:i/>
        </w:rPr>
        <w:t>Humanae Vitae</w:t>
      </w:r>
      <w:r>
        <w:t xml:space="preserve"> 12 and the reasons for its contested reception.</w:t>
      </w:r>
    </w:p>
    <w:p>
      <w:pPr>
        <w:pStyle w:val="ListNumber"/>
      </w:pPr>
      <w:r>
        <w:t xml:space="preserve">"Amoris Laetitia 8 either develops </w:t>
      </w:r>
      <w:r>
        <w:rPr>
          <w:i/>
        </w:rPr>
        <w:t>Familiaris Consortio</w:t>
      </w:r>
      <w:r>
        <w:t xml:space="preserve"> 84 or contradicts it." Argue for one reading.</w:t>
      </w:r>
    </w:p>
    <w:p>
      <w:pPr>
        <w:pStyle w:val="ListNumber"/>
      </w:pPr>
      <w:r>
        <w:t>Is arranged marriage compatible with the Church's doctrine of matrimonial consent? Answer with reference to cc. 1057 and 1103.</w:t>
      </w:r>
    </w:p>
    <w:p>
      <w:pPr>
        <w:pStyle w:val="ListNumber"/>
      </w:pPr>
      <w:r>
        <w:t>"Marriage is where caste is reproduced in the Indian Church." Discuss the theological implications.</w:t>
      </w:r>
    </w:p>
    <w:p>
      <w:pPr>
        <w:spacing w:before="280"/>
      </w:pPr>
      <w:r>
        <w:rPr>
          <w:b/>
          <w:color w:val="24406B"/>
          <w:sz w:val="34"/>
        </w:rPr>
        <w:t>Ten-Second Recall Anchors</w:t>
      </w:r>
    </w:p>
    <w:p>
      <w:pPr>
        <w:pStyle w:val="ListBullet"/>
      </w:pPr>
      <w:r>
        <w:rPr>
          <w:b/>
        </w:rPr>
        <w:t>*'ezer kenegdo</w:t>
      </w:r>
      <w:r>
        <w:t>* — a counterpart standing face to face, not a subordinate.</w:t>
      </w:r>
    </w:p>
    <w:p>
      <w:pPr>
        <w:pStyle w:val="ListBullet"/>
      </w:pPr>
      <w:r>
        <w:rPr>
          <w:b/>
        </w:rPr>
        <w:t>"From the beginning it was not so"</w:t>
      </w:r>
      <w:r>
        <w:t xml:space="preserve"> — Jesus goes behind Moses to creation.</w:t>
      </w:r>
    </w:p>
    <w:p>
      <w:pPr>
        <w:pStyle w:val="ListBullet"/>
      </w:pPr>
      <w:r>
        <w:rPr>
          <w:b/>
        </w:rPr>
        <w:t>*Mystērion* → *sacramentum</w:t>
      </w:r>
      <w:r>
        <w:t>* — the Vulgate bridge at Eph 5:32.</w:t>
      </w:r>
    </w:p>
    <w:p>
      <w:pPr>
        <w:pStyle w:val="ListBullet"/>
      </w:pPr>
      <w:r>
        <w:rPr>
          <w:b/>
        </w:rPr>
        <w:t>"Proles, fides, sacramentum"</w:t>
      </w:r>
      <w:r>
        <w:t xml:space="preserve"> — Augustine's three goods.</w:t>
      </w:r>
    </w:p>
    <w:p>
      <w:pPr>
        <w:pStyle w:val="ListBullet"/>
      </w:pPr>
      <w:r>
        <w:rPr>
          <w:b/>
        </w:rPr>
        <w:t>*Consensus facit nuptias</w:t>
      </w:r>
      <w:r>
        <w:t>* — consent makes the marriage; consummation makes it absolutely indissoluble.</w:t>
      </w:r>
    </w:p>
    <w:p>
      <w:pPr>
        <w:pStyle w:val="ListBullet"/>
      </w:pPr>
      <w:r>
        <w:rPr>
          <w:b/>
        </w:rPr>
        <w:t>"The spouses are the ministers"</w:t>
      </w:r>
      <w:r>
        <w:t xml:space="preserve"> — unique among the seven; the East differs.</w:t>
      </w:r>
    </w:p>
    <w:p>
      <w:pPr>
        <w:pStyle w:val="ListBullet"/>
      </w:pPr>
      <w:r>
        <w:rPr>
          <w:b/>
        </w:rPr>
        <w:t>"Tametsi 1563: form for validity"</w:t>
      </w:r>
      <w:r>
        <w:t xml:space="preserve"> — and </w:t>
      </w:r>
      <w:r>
        <w:rPr>
          <w:i/>
        </w:rPr>
        <w:t>Ne Temere</w:t>
      </w:r>
      <w:r>
        <w:t xml:space="preserve"> 1907 made it universal.</w:t>
      </w:r>
    </w:p>
    <w:p>
      <w:pPr>
        <w:pStyle w:val="ListBullet"/>
      </w:pPr>
      <w:r>
        <w:rPr>
          <w:b/>
        </w:rPr>
        <w:t>"1944 condemned it; 1965 received it"</w:t>
      </w:r>
      <w:r>
        <w:t xml:space="preserve"> — the personalist turn.</w:t>
      </w:r>
    </w:p>
    <w:p>
      <w:pPr>
        <w:pStyle w:val="ListBullet"/>
      </w:pPr>
      <w:r>
        <w:rPr>
          <w:b/>
        </w:rPr>
        <w:t>"GS 50 drops the hierarchy of ends"</w:t>
      </w:r>
      <w:r>
        <w:t xml:space="preserve"> — and c. 1055 names </w:t>
      </w:r>
      <w:r>
        <w:rPr>
          <w:i/>
        </w:rPr>
        <w:t>bonum coniugum</w:t>
      </w:r>
      <w:r>
        <w:t xml:space="preserve"> first.</w:t>
      </w:r>
    </w:p>
    <w:p>
      <w:pPr>
        <w:pStyle w:val="ListBullet"/>
      </w:pPr>
      <w:r>
        <w:rPr>
          <w:b/>
        </w:rPr>
        <w:t>"HV 12: the inseparable connection."</w:t>
      </w:r>
    </w:p>
    <w:p>
      <w:pPr>
        <w:pStyle w:val="ListBullet"/>
      </w:pPr>
      <w:r>
        <w:rPr>
          <w:b/>
        </w:rPr>
        <w:t>"Footnote 351"</w:t>
      </w:r>
      <w:r>
        <w:t xml:space="preserve"> — and the Buenos Aires letter in the </w:t>
      </w:r>
      <w:r>
        <w:rPr>
          <w:i/>
        </w:rPr>
        <w:t>AAS</w:t>
      </w:r>
      <w:r>
        <w:t>.</w:t>
      </w:r>
    </w:p>
    <w:p>
      <w:pPr>
        <w:pStyle w:val="ListBullet"/>
      </w:pPr>
      <w:r>
        <w:rPr>
          <w:b/>
        </w:rPr>
        <w:t>"Nullity is not divorce."</w:t>
      </w:r>
    </w:p>
    <w:p>
      <w:pPr>
        <w:spacing w:before="280"/>
      </w:pPr>
      <w:r>
        <w:rPr>
          <w:b/>
          <w:color w:val="24406B"/>
          <w:sz w:val="34"/>
        </w:rPr>
        <w:t>Comparative Analysis Exercises</w:t>
      </w:r>
    </w:p>
    <w:p>
      <w:pPr>
        <w:pStyle w:val="ListBullet"/>
      </w:pPr>
      <w:r>
        <w:t>Compare 1917 CIC c. 1013 §1 with 1983 CIC c. 1055 §1 and state precisely what changed.</w:t>
      </w:r>
    </w:p>
    <w:p>
      <w:pPr>
        <w:pStyle w:val="ListBullet"/>
      </w:pPr>
      <w:r>
        <w:t xml:space="preserve">Set Trent Session XXIV canon 7 beside the Orthodox practice of </w:t>
      </w:r>
      <w:r>
        <w:rPr>
          <w:i/>
        </w:rPr>
        <w:t>oikonomia</w:t>
      </w:r>
      <w:r>
        <w:t xml:space="preserve"> and account for the canon's careful wording.</w:t>
      </w:r>
    </w:p>
    <w:p>
      <w:pPr>
        <w:pStyle w:val="ListBullet"/>
      </w:pPr>
      <w:r>
        <w:t xml:space="preserve">Compare </w:t>
      </w:r>
      <w:r>
        <w:rPr>
          <w:i/>
        </w:rPr>
        <w:t>Familiaris Consortio</w:t>
      </w:r>
      <w:r>
        <w:t xml:space="preserve"> 84 with </w:t>
      </w:r>
      <w:r>
        <w:rPr>
          <w:i/>
        </w:rPr>
        <w:t>Amoris Laetitia</w:t>
      </w:r>
      <w:r>
        <w:t xml:space="preserve"> 301-305 and footnote 351.</w:t>
      </w:r>
    </w:p>
    <w:p>
      <w:pPr>
        <w:pStyle w:val="ListBullet"/>
      </w:pPr>
      <w:r>
        <w:t>Compare the Latin and Byzantine forms of the sacrament (consent versus crowning) and trace the consequences for the treatment of second marriages.</w:t>
      </w:r>
    </w:p>
    <w:p>
      <w:pPr>
        <w:pStyle w:val="ListBullet"/>
      </w:pPr>
      <w:r>
        <w:t xml:space="preserve">Compare the majority and minority reports of the Birth Control Commission with </w:t>
      </w:r>
      <w:r>
        <w:rPr>
          <w:i/>
        </w:rPr>
        <w:t>Humanae Vitae</w:t>
      </w:r>
      <w:r>
        <w:t xml:space="preserve"> 12.</w:t>
      </w:r>
    </w:p>
    <w:p>
      <w:pPr>
        <w:spacing w:before="280"/>
      </w:pPr>
      <w:r>
        <w:rPr>
          <w:b/>
          <w:color w:val="24406B"/>
          <w:sz w:val="34"/>
        </w:rPr>
        <w:t>Further Reading</w:t>
      </w:r>
    </w:p>
    <w:p>
      <w:r>
        <w:rPr>
          <w:b/>
        </w:rPr>
        <w:t>Primary:</w:t>
      </w:r>
      <w:r>
        <w:t xml:space="preserve"> Gen 1-2 · Hos 1-3 · Mal 2:14-16 · Mk 10:2-12; Mt 19:3-9 · 1 Cor 7 · </w:t>
      </w:r>
      <w:r>
        <w:rPr>
          <w:b/>
        </w:rPr>
        <w:t>Eph 5:21-33</w:t>
      </w:r>
      <w:r>
        <w:t xml:space="preserve"> · Augustine, </w:t>
      </w:r>
      <w:r>
        <w:rPr>
          <w:i/>
        </w:rPr>
        <w:t>De bono coniugali</w:t>
      </w:r>
      <w:r>
        <w:t xml:space="preserve"> · Aquinas, </w:t>
      </w:r>
      <w:r>
        <w:rPr>
          <w:i/>
        </w:rPr>
        <w:t>ST</w:t>
      </w:r>
      <w:r>
        <w:t xml:space="preserve"> Suppl. qq. 41-68 · </w:t>
      </w:r>
      <w:r>
        <w:rPr>
          <w:b/>
        </w:rPr>
        <w:t>Trent Session XXIV and *Tametsi</w:t>
      </w:r>
      <w:r>
        <w:rPr>
          <w:i/>
        </w:rPr>
        <w:t xml:space="preserve"> · </w:t>
      </w:r>
      <w:r>
        <w:t>Casti Connubii</w:t>
      </w:r>
      <w:r>
        <w:rPr>
          <w:i/>
        </w:rPr>
        <w:t xml:space="preserve"> · </w:t>
      </w:r>
      <w:r>
        <w:rPr>
          <w:i/>
        </w:rPr>
        <w:t>GS 47-52</w:t>
      </w:r>
      <w:r>
        <w:rPr>
          <w:i/>
        </w:rPr>
        <w:t xml:space="preserve"> · </w:t>
      </w:r>
      <w:r>
        <w:t>Humanae Vitae</w:t>
      </w:r>
      <w:r>
        <w:rPr>
          <w:i/>
        </w:rPr>
        <w:t xml:space="preserve"> · </w:t>
      </w:r>
      <w:r>
        <w:t>Familiaris Consortio</w:t>
      </w:r>
      <w:r>
        <w:rPr>
          <w:i/>
        </w:rPr>
        <w:t xml:space="preserve"> · </w:t>
      </w:r>
      <w:r>
        <w:t>Amoris Laetitia* ch. 8 · CIC cc. 1055-1165</w:t>
      </w:r>
    </w:p>
    <w:p>
      <w:r>
        <w:rPr>
          <w:b/>
        </w:rPr>
        <w:t>Modern:</w:t>
      </w:r>
      <w:r>
        <w:t xml:space="preserve"> Theodore Mackin, </w:t>
      </w:r>
      <w:r>
        <w:rPr>
          <w:i/>
        </w:rPr>
        <w:t>What Is Marriage?</w:t>
      </w:r>
      <w:r>
        <w:t xml:space="preserve"> and </w:t>
      </w:r>
      <w:r>
        <w:rPr>
          <w:i/>
        </w:rPr>
        <w:t>Divorce and Remarriage</w:t>
      </w:r>
      <w:r>
        <w:t xml:space="preserve"> · John Witte Jr., </w:t>
      </w:r>
      <w:r>
        <w:rPr>
          <w:i/>
        </w:rPr>
        <w:t>From Sacrament to Contract</w:t>
      </w:r>
      <w:r>
        <w:t xml:space="preserve"> · Michael Lawler, </w:t>
      </w:r>
      <w:r>
        <w:rPr>
          <w:i/>
        </w:rPr>
        <w:t>Marriage and the Catholic Church</w:t>
      </w:r>
      <w:r>
        <w:t xml:space="preserve"> · Cormac Burke, </w:t>
      </w:r>
      <w:r>
        <w:rPr>
          <w:i/>
        </w:rPr>
        <w:t>The Theology of Marriage</w:t>
      </w:r>
      <w:r>
        <w:t xml:space="preserve"> · Dietrich von Hildebrand, </w:t>
      </w:r>
      <w:r>
        <w:rPr>
          <w:i/>
        </w:rPr>
        <w:t>Marriage: The Mystery of Faithful Love</w:t>
      </w:r>
      <w:r>
        <w:t xml:space="preserve"> · John Paul II, </w:t>
      </w:r>
      <w:r>
        <w:rPr>
          <w:i/>
        </w:rPr>
        <w:t>Man and Woman He Created Them</w:t>
      </w:r>
      <w:r>
        <w:t xml:space="preserve"> (Theology of the Body)</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