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120"/>
        <w:jc w:val="center"/>
      </w:pPr>
      <w:r>
        <w:rPr>
          <w:rFonts w:ascii="Arial" w:cs="Arial" w:eastAsia="Arial" w:hAnsi="Arial"/>
          <w:b/>
          <w:bCs/>
          <w:color w:val="1B3A5C"/>
          <w:sz w:val="36"/>
          <w:szCs w:val="36"/>
        </w:rPr>
        <w:t xml:space="preserve">VATICAN II AND THE EVOLUTION OF MODERN CATHOLIC THOUGHT</w:t>
      </w:r>
    </w:p>
    <w:p>
      <w:pPr>
        <w:pBdr>
          <w:bottom w:val="single" w:color="1B3A5C" w:sz="6" w:space="1"/>
        </w:pBdr>
        <w:spacing w:before="0" w:after="80"/>
      </w:pPr>
      <w:r>
        <w:t xml:space="preserve"/>
      </w:r>
    </w:p>
    <w:p>
      <w:pPr>
        <w:spacing w:before="160" w:after="80"/>
        <w:jc w:val="center"/>
      </w:pPr>
      <w:r>
        <w:rPr>
          <w:rFonts w:ascii="Arial" w:cs="Arial" w:eastAsia="Arial" w:hAnsi="Arial"/>
          <w:b/>
          <w:bCs/>
          <w:color w:val="6B2737"/>
          <w:sz w:val="30"/>
          <w:szCs w:val="30"/>
        </w:rPr>
        <w:t xml:space="preserve">UNIT 4</w:t>
      </w:r>
    </w:p>
    <w:p>
      <w:pPr>
        <w:spacing w:before="0" w:after="240"/>
        <w:jc w:val="center"/>
      </w:pPr>
      <w:r>
        <w:rPr>
          <w:rFonts w:ascii="Arial" w:cs="Arial" w:eastAsia="Arial" w:hAnsi="Arial"/>
          <w:b/>
          <w:bCs/>
          <w:color w:val="1B3A5C"/>
          <w:sz w:val="28"/>
          <w:szCs w:val="28"/>
        </w:rPr>
        <w:t xml:space="preserve">THE UNIVERSAL CALL TO HOLINESS</w:t>
      </w:r>
    </w:p>
    <w:p>
      <w:pPr>
        <w:spacing w:before="0" w:after="80"/>
        <w:jc w:val="center"/>
      </w:pPr>
      <w:r>
        <w:rPr>
          <w:rFonts w:ascii="Garamond" w:cs="Garamond" w:eastAsia="Garamond" w:hAnsi="Garamond"/>
          <w:i/>
          <w:iCs/>
          <w:color w:val="3D3D3D"/>
          <w:sz w:val="24"/>
          <w:szCs w:val="24"/>
        </w:rPr>
        <w:t xml:space="preserve">Theological Class Notes</w:t>
      </w:r>
    </w:p>
    <w:p>
      <w:pPr>
        <w:spacing w:before="0" w:after="320"/>
        <w:jc w:val="center"/>
      </w:pPr>
      <w:r>
        <w:rPr>
          <w:rFonts w:ascii="Garamond" w:cs="Garamond" w:eastAsia="Garamond" w:hAnsi="Garamond"/>
          <w:i/>
          <w:iCs/>
          <w:color w:val="3D3D3D"/>
          <w:sz w:val="22"/>
          <w:szCs w:val="22"/>
        </w:rPr>
        <w:t xml:space="preserve">In the Method and Voice of Fr. Joseph Lobo SJ</w:t>
      </w:r>
    </w:p>
    <w:p>
      <w:pPr>
        <w:pBdr>
          <w:bottom w:val="single" w:color="1B3A5C" w:sz="6" w:space="1"/>
        </w:pBdr>
        <w:spacing w:before="0" w:after="80"/>
      </w:pPr>
      <w:r>
        <w:t xml:space="preserve"/>
      </w:r>
    </w:p>
    <w:p>
      <w:pPr>
        <w:spacing w:before="0" w:after="200"/>
      </w:pPr>
      <w:r>
        <w:t xml:space="preserve"/>
      </w:r>
    </w:p>
    <w:p>
      <w:pPr>
        <w:spacing w:before="60" w:after="60"/>
      </w:pPr>
      <w:r>
        <w:rPr>
          <w:rFonts w:ascii="Arial" w:cs="Arial" w:eastAsia="Arial" w:hAnsi="Arial"/>
          <w:b/>
          <w:bCs/>
          <w:color w:val="1B3A5C"/>
          <w:sz w:val="22"/>
          <w:szCs w:val="22"/>
        </w:rPr>
        <w:t xml:space="preserve">Course: </w:t>
      </w:r>
      <w:r>
        <w:rPr>
          <w:rFonts w:ascii="Garamond" w:cs="Garamond" w:eastAsia="Garamond" w:hAnsi="Garamond"/>
          <w:color w:val="3D3D3D"/>
          <w:sz w:val="22"/>
          <w:szCs w:val="22"/>
        </w:rPr>
        <w:t xml:space="preserve">Vatican II and the Evolution of Modern Catholic Thought</w:t>
      </w:r>
    </w:p>
    <w:p>
      <w:pPr>
        <w:spacing w:before="60" w:after="60"/>
      </w:pPr>
      <w:r>
        <w:rPr>
          <w:rFonts w:ascii="Arial" w:cs="Arial" w:eastAsia="Arial" w:hAnsi="Arial"/>
          <w:b/>
          <w:bCs/>
          <w:color w:val="1B3A5C"/>
          <w:sz w:val="22"/>
          <w:szCs w:val="22"/>
        </w:rPr>
        <w:t xml:space="preserve">Level: </w:t>
      </w:r>
      <w:r>
        <w:rPr>
          <w:rFonts w:ascii="Garamond" w:cs="Garamond" w:eastAsia="Garamond" w:hAnsi="Garamond"/>
          <w:color w:val="3D3D3D"/>
          <w:sz w:val="22"/>
          <w:szCs w:val="22"/>
        </w:rPr>
        <w:t xml:space="preserve">B.Th. (Year 2–3) | M.Th. | STL</w:t>
      </w:r>
    </w:p>
    <w:p>
      <w:pPr>
        <w:spacing w:before="60" w:after="60"/>
      </w:pPr>
      <w:r>
        <w:rPr>
          <w:rFonts w:ascii="Arial" w:cs="Arial" w:eastAsia="Arial" w:hAnsi="Arial"/>
          <w:b/>
          <w:bCs/>
          <w:color w:val="1B3A5C"/>
          <w:sz w:val="22"/>
          <w:szCs w:val="22"/>
        </w:rPr>
        <w:t xml:space="preserve">Region: </w:t>
      </w:r>
      <w:r>
        <w:rPr>
          <w:rFonts w:ascii="Garamond" w:cs="Garamond" w:eastAsia="Garamond" w:hAnsi="Garamond"/>
          <w:color w:val="3D3D3D"/>
          <w:sz w:val="22"/>
          <w:szCs w:val="22"/>
        </w:rPr>
        <w:t xml:space="preserve">West Bengal, India</w:t>
      </w:r>
    </w:p>
    <w:p>
      <w:pPr>
        <w:spacing w:before="60" w:after="60"/>
      </w:pPr>
      <w:r>
        <w:rPr>
          <w:rFonts w:ascii="Arial" w:cs="Arial" w:eastAsia="Arial" w:hAnsi="Arial"/>
          <w:b/>
          <w:bCs/>
          <w:color w:val="1B3A5C"/>
          <w:sz w:val="22"/>
          <w:szCs w:val="22"/>
        </w:rPr>
        <w:t xml:space="preserve">Primary Documents: </w:t>
      </w:r>
      <w:r>
        <w:rPr>
          <w:rFonts w:ascii="Garamond" w:cs="Garamond" w:eastAsia="Garamond" w:hAnsi="Garamond"/>
          <w:color w:val="3D3D3D"/>
          <w:sz w:val="22"/>
          <w:szCs w:val="22"/>
        </w:rPr>
        <w:t xml:space="preserve">Lumen Gentium §§ 8, 10, 32, 40–42 | Perfectae Caritatis | Nostra Aetate | Sacrosanctum Concilium</w:t>
      </w:r>
    </w:p>
    <w:p>
      <w:pPr>
        <w:spacing w:before="60" w:after="60"/>
      </w:pPr>
      <w:r>
        <w:rPr>
          <w:rFonts w:ascii="Arial" w:cs="Arial" w:eastAsia="Arial" w:hAnsi="Arial"/>
          <w:b/>
          <w:bCs/>
          <w:color w:val="1B3A5C"/>
          <w:sz w:val="22"/>
          <w:szCs w:val="22"/>
        </w:rPr>
        <w:t xml:space="preserve">Connected Units: </w:t>
      </w:r>
      <w:r>
        <w:rPr>
          <w:rFonts w:ascii="Garamond" w:cs="Garamond" w:eastAsia="Garamond" w:hAnsi="Garamond"/>
          <w:color w:val="3D3D3D"/>
          <w:sz w:val="22"/>
          <w:szCs w:val="22"/>
        </w:rPr>
        <w:t xml:space="preserve">Unit 3 (Holy Spirit) → Unit 4 (Universal Holiness) → Unit 5 (Ecclesiology)</w:t>
      </w:r>
    </w:p>
    <w:p>
      <w:pPr>
        <w:spacing w:before="0" w:after="200"/>
      </w:pPr>
      <w:r>
        <w:t xml:space="preserve"/>
      </w:r>
    </w:p>
    <w:p>
      <w:pPr>
        <w:spacing w:before="0" w:after="0"/>
      </w:pPr>
      <w:r>
        <w:br w:type="page"/>
      </w:r>
    </w:p>
    <w:p>
      <w:pPr>
        <w:pStyle w:val="Heading1"/>
        <w:pBdr>
          <w:bottom w:val="single" w:color="1B3A5C" w:sz="8" w:space="4"/>
        </w:pBdr>
        <w:spacing w:before="360" w:after="180"/>
      </w:pPr>
      <w:r>
        <w:rPr>
          <w:rFonts w:ascii="Arial" w:cs="Arial" w:eastAsia="Arial" w:hAnsi="Arial"/>
          <w:b/>
          <w:bCs/>
          <w:color w:val="1B3A5C"/>
          <w:sz w:val="32"/>
          <w:szCs w:val="32"/>
        </w:rPr>
        <w:t xml:space="preserve">I. THE PROBLEMATIC: Holiness Privatised and Hierarchised</w:t>
      </w:r>
    </w:p>
    <w:p>
      <w:pPr>
        <w:spacing w:before="80" w:after="120" w:line="280"/>
        <w:jc w:val="both"/>
      </w:pPr>
      <w:r>
        <w:rPr>
          <w:rFonts w:ascii="Garamond" w:cs="Garamond" w:eastAsia="Garamond" w:hAnsi="Garamond"/>
          <w:b w:val="false"/>
          <w:bCs w:val="false"/>
          <w:i w:val="false"/>
          <w:iCs w:val="false"/>
          <w:color w:val="3D3D3D"/>
          <w:sz w:val="23"/>
          <w:szCs w:val="23"/>
        </w:rPr>
        <w:t xml:space="preserve">By way of introducing this unit, let me begin with a well-known contradiction — one that is not merely an academic puzzle but a lived institutional reality in the Church we inhabit, and nowhere more visibly than in the Church of West Bengal and the broader Indian subcontinent.</w:t>
      </w:r>
    </w:p>
    <w:p>
      <w:pPr>
        <w:spacing w:before="80" w:after="120" w:line="280"/>
        <w:jc w:val="both"/>
      </w:pPr>
      <w:r>
        <w:rPr>
          <w:rFonts w:ascii="Garamond" w:cs="Garamond" w:eastAsia="Garamond" w:hAnsi="Garamond"/>
          <w:b w:val="false"/>
          <w:bCs w:val="false"/>
          <w:i w:val="false"/>
          <w:iCs w:val="false"/>
          <w:color w:val="3D3D3D"/>
          <w:sz w:val="23"/>
          <w:szCs w:val="23"/>
        </w:rPr>
        <w:t xml:space="preserve">We say — and Lumen Gentium §40 declares with the full weight of the Second Vatican Council — that every baptised Christian, of whatever rank or status, is called to the fullness of Christian life and to the perfection of charity. Every one. The Dalit catechist in Purulia. The Santhali woman in the forests of Jhargram. The brick-kiln labourer bonded by advance-payment in Murshidabad. The tea-garden picker in the Dooars who earns less in a month than a suburban parish priest spends on monthly utilities.</w:t>
      </w:r>
    </w:p>
    <w:p>
      <w:pPr>
        <w:spacing w:before="80" w:after="120" w:line="280"/>
        <w:jc w:val="both"/>
      </w:pPr>
      <w:r>
        <w:rPr>
          <w:rFonts w:ascii="Garamond" w:cs="Garamond" w:eastAsia="Garamond" w:hAnsi="Garamond"/>
          <w:b w:val="false"/>
          <w:bCs w:val="false"/>
          <w:i w:val="false"/>
          <w:iCs w:val="false"/>
          <w:color w:val="3D3D3D"/>
          <w:sz w:val="23"/>
          <w:szCs w:val="23"/>
        </w:rPr>
        <w:t xml:space="preserve">But the observable institutional reality contradicts this profession at nearly every level. First, the Church has functioned — and in significant sectors continues to function — as a two-tier spiritual society: the ordained and the vowed on one tier, moving toward holiness; the laity on a second tier, patiently waiting for the clergy to mediate their access to God. The priest is the holy one; the layman is the ordinary one. The religious is in the ‘state of perfection’; the married person is making the best of a less-than-ideal arrangement.</w:t>
      </w:r>
    </w:p>
    <w:p>
      <w:pPr>
        <w:spacing w:before="80" w:after="120" w:line="280"/>
        <w:jc w:val="both"/>
      </w:pPr>
      <w:r>
        <w:rPr>
          <w:rFonts w:ascii="Garamond" w:cs="Garamond" w:eastAsia="Garamond" w:hAnsi="Garamond"/>
          <w:b w:val="false"/>
          <w:bCs w:val="false"/>
          <w:i w:val="false"/>
          <w:iCs w:val="false"/>
          <w:color w:val="3D3D3D"/>
          <w:sz w:val="23"/>
          <w:szCs w:val="23"/>
        </w:rPr>
        <w:t xml:space="preserve">Second, holiness has been systematically privatised — reduced to personal piety, interior prayer, reception of sacraments, occasional retreat, voluntary mortification. The world — with its labour conditions, its caste structures, its exploitative taxation, its migration patterns — is treated as the location where holiness is threatened, not the location where holiness is expressed and tested.</w:t>
      </w:r>
    </w:p>
    <w:p>
      <w:pPr>
        <w:spacing w:before="80" w:after="120" w:line="280"/>
        <w:jc w:val="both"/>
      </w:pPr>
      <w:r>
        <w:rPr>
          <w:rFonts w:ascii="Garamond" w:cs="Garamond" w:eastAsia="Garamond" w:hAnsi="Garamond"/>
          <w:b w:val="false"/>
          <w:bCs w:val="false"/>
          <w:i w:val="false"/>
          <w:iCs w:val="false"/>
          <w:color w:val="3D3D3D"/>
          <w:sz w:val="23"/>
          <w:szCs w:val="23"/>
        </w:rPr>
        <w:t xml:space="preserve">Third, and most gravely for our context: in a society deeply structured by hierarchical access to the sacred — where for centuries the Brahmin was the intermediary between the divine and the human, and where this model was unconsciously replicated inside Catholic parish structures — the universality of the baptismal call to holiness has been routinely denied in practice even while it was professed in doctrine.</w:t>
      </w:r>
    </w:p>
    <w:p>
      <w:pPr>
        <w:spacing w:before="80" w:after="120" w:line="280"/>
        <w:jc w:val="both"/>
      </w:pPr>
      <w:r>
        <w:rPr>
          <w:rFonts w:ascii="Garamond" w:cs="Garamond" w:eastAsia="Garamond" w:hAnsi="Garamond"/>
          <w:b w:val="false"/>
          <w:bCs w:val="false"/>
          <w:i w:val="false"/>
          <w:iCs w:val="false"/>
          <w:color w:val="3D3D3D"/>
          <w:sz w:val="23"/>
          <w:szCs w:val="23"/>
        </w:rPr>
        <w:t xml:space="preserve">In one sentence, if I were to respond to this problematic: Vatican II’s doctrine of the universal call to holiness is not a pious exhortation appended to the Constitution on the Church — it is a theological revolution rooted in Baptism, animated by charity, demanding structural transformation of the Church’s life, and posing an inescapable demand to the Church in India.</w:t>
      </w:r>
    </w:p>
    <w:p>
      <w:pPr>
        <w:spacing w:before="0" w:after="10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II. THEOLOGICAL FOUNDATIONS: Three Pillars</w:t>
      </w:r>
    </w:p>
    <w:p>
      <w:pPr>
        <w:pStyle w:val="Heading2"/>
        <w:spacing w:before="280" w:after="120"/>
      </w:pPr>
      <w:r>
        <w:rPr>
          <w:rFonts w:ascii="Arial" w:cs="Arial" w:eastAsia="Arial" w:hAnsi="Arial"/>
          <w:b/>
          <w:bCs/>
          <w:color w:val="2E6DA4"/>
          <w:sz w:val="26"/>
          <w:szCs w:val="26"/>
        </w:rPr>
        <w:t xml:space="preserve">A. Foundation One — Baptism: The Sacramental Root of Universal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The universal call to holiness is rooted not in ordination, not in religious vows, not in any form of institutional credentialing. It is rooted in Baptism — and in Baptism alone.</w:t>
      </w:r>
    </w:p>
    <w:p>
      <w:pPr>
        <w:spacing w:before="80" w:after="120" w:line="280"/>
        <w:jc w:val="both"/>
      </w:pPr>
      <w:r>
        <w:rPr>
          <w:rFonts w:ascii="Garamond" w:cs="Garamond" w:eastAsia="Garamond" w:hAnsi="Garamond"/>
          <w:b w:val="false"/>
          <w:bCs w:val="false"/>
          <w:i w:val="false"/>
          <w:iCs w:val="false"/>
          <w:color w:val="3D3D3D"/>
          <w:sz w:val="23"/>
          <w:szCs w:val="23"/>
        </w:rPr>
        <w:t xml:space="preserve">Let me be precise about what Baptism does, theologically. Drawing on 2 Peter 1:4, the tradition affirms that through Baptism the believer becomes a partaker of the divine nature — theias koinonoi physeos. This is not a metaphor. It is an ontological claim: the baptised person shares in God’s own life. Through incorporation into Christ — the Vine to whom every baptised person is grafted (John 15:5) — and through the seal of the Spirit in Confirmation, every member of the baptised community receives the triple munera: the priestly, prophetic, and kingly offices of Christ.</w:t>
      </w:r>
    </w:p>
    <w:p>
      <w:pPr>
        <w:spacing w:before="80" w:after="120" w:line="280"/>
        <w:jc w:val="both"/>
      </w:pPr>
      <w:r>
        <w:rPr>
          <w:rFonts w:ascii="Garamond" w:cs="Garamond" w:eastAsia="Garamond" w:hAnsi="Garamond"/>
          <w:b w:val="false"/>
          <w:bCs w:val="false"/>
          <w:i w:val="false"/>
          <w:iCs w:val="false"/>
          <w:color w:val="3D3D3D"/>
          <w:sz w:val="23"/>
          <w:szCs w:val="23"/>
        </w:rPr>
        <w:t xml:space="preserve">This has a consequence that is not always drawn with sufficient rigour: the moment a person is baptised, they possess everything necessary to begin the journey of holiness. There is no subsequent sacrament, no further institutional category, no additional credential that brings them ‘closer’ to God in any essential way. Ordination does not increase proximity to the divine. Religious vows do not create a spiritual advantage. The Dalit child baptised in a village parish in Nadia district stands, in the order of divine gift, at exactly the same distance from God as the Cardinal in his scarlet.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Application — The Contradiction of Dalit Baptism</w:t>
            </w:r>
          </w:p>
          <w:p>
            <w:pPr>
              <w:spacing w:before="60" w:after="60" w:line="260"/>
              <w:jc w:val="both"/>
            </w:pPr>
            <w:r>
              <w:rPr>
                <w:rFonts w:ascii="Garamond" w:cs="Garamond" w:eastAsia="Garamond" w:hAnsi="Garamond"/>
                <w:b w:val="false"/>
                <w:bCs w:val="false"/>
                <w:i w:val="false"/>
                <w:iCs w:val="false"/>
                <w:color w:val="333333"/>
                <w:sz w:val="22"/>
                <w:szCs w:val="22"/>
              </w:rPr>
              <w:t xml:space="preserve">When a Dalit person is baptised, the Church declares their full and equal dignity as a child of God — partaker of the divine nature — in a society that has historically denied them basic human dignity.</w:t>
            </w:r>
          </w:p>
          <w:p>
            <w:pPr>
              <w:spacing w:before="60" w:after="60" w:line="260"/>
              <w:jc w:val="both"/>
            </w:pPr>
            <w:r>
              <w:rPr>
                <w:rFonts w:ascii="Garamond" w:cs="Garamond" w:eastAsia="Garamond" w:hAnsi="Garamond"/>
                <w:b w:val="false"/>
                <w:bCs w:val="false"/>
                <w:i w:val="false"/>
                <w:iCs w:val="false"/>
                <w:color w:val="333333"/>
                <w:sz w:val="22"/>
                <w:szCs w:val="22"/>
              </w:rPr>
              <w:t xml:space="preserve">The Church that baptises a Dalit person into the fullness of Christ’s life and then seats them at the back of the parish, excludes them from pastoral councils, assigns them menial institutional roles, and addresses them by first name while addressing caste-Hindu converts by honourific title — that Church contradicts its own sacramental theology at the moment of its most solemn act.</w:t>
            </w:r>
          </w:p>
          <w:p>
            <w:pPr>
              <w:spacing w:before="60" w:after="60" w:line="260"/>
              <w:jc w:val="both"/>
            </w:pPr>
            <w:r>
              <w:rPr>
                <w:rFonts w:ascii="Garamond" w:cs="Garamond" w:eastAsia="Garamond" w:hAnsi="Garamond"/>
                <w:b w:val="false"/>
                <w:bCs w:val="false"/>
                <w:i w:val="false"/>
                <w:iCs w:val="false"/>
                <w:color w:val="333333"/>
                <w:sz w:val="22"/>
                <w:szCs w:val="22"/>
              </w:rPr>
              <w:t xml:space="preserve">What Baptism declares, the community must enact. A Church that does not enact in its structures what it declares in its sacraments has become, in Paul’s precise language, a noisy gong and a clanging cymbal (1 Cor 13:1).</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B. Foundation Two — Caritas: The Animating Principle</w:t>
      </w:r>
    </w:p>
    <w:p>
      <w:pPr>
        <w:spacing w:before="80" w:after="120" w:line="280"/>
        <w:jc w:val="both"/>
      </w:pPr>
      <w:r>
        <w:rPr>
          <w:rFonts w:ascii="Garamond" w:cs="Garamond" w:eastAsia="Garamond" w:hAnsi="Garamond"/>
          <w:b w:val="false"/>
          <w:bCs w:val="false"/>
          <w:i w:val="false"/>
          <w:iCs w:val="false"/>
          <w:color w:val="3D3D3D"/>
          <w:sz w:val="23"/>
          <w:szCs w:val="23"/>
        </w:rPr>
        <w:t xml:space="preserve">Lumen Gentium §42 establishes what I would call the hierarchy-within-holiness: of all the means of sanctification, charity is not one means among others. It is the form of all the others. The text quotes 1 John 4:16 — ‘God is love, and he who abides in love abides in God, and God in him’ — and then draws the strikingly direct conclusion: ‘The first and most necessary gift is love, by which we love God above all things and our neighbour because of God.’</w:t>
      </w:r>
    </w:p>
    <w:p>
      <w:pPr>
        <w:spacing w:before="80" w:after="120" w:line="280"/>
        <w:jc w:val="both"/>
      </w:pPr>
      <w:r>
        <w:rPr>
          <w:rFonts w:ascii="Garamond" w:cs="Garamond" w:eastAsia="Garamond" w:hAnsi="Garamond"/>
          <w:b w:val="false"/>
          <w:bCs w:val="false"/>
          <w:i w:val="false"/>
          <w:iCs w:val="false"/>
          <w:color w:val="3D3D3D"/>
          <w:sz w:val="23"/>
          <w:szCs w:val="23"/>
        </w:rPr>
        <w:t xml:space="preserve">And then the most radical sentence in the entire chapter: ‘Charity, as the bond of perfection and the fullness of the law, rules over all the means of attaining holiness and gives life to these same means.’ In other words, prayer without charity is religious performance. Sacramental participation without charity is ritual. Ascesis without charity is spiritual self-improvement. Holiness, at its heart, is not a programme of personal refinement. It is the progressive conformation of one’s life to the pattern of divine love.</w:t>
      </w:r>
    </w:p>
    <w:p>
      <w:pPr>
        <w:spacing w:before="80" w:after="120" w:line="280"/>
        <w:jc w:val="both"/>
      </w:pPr>
      <w:r>
        <w:rPr>
          <w:rFonts w:ascii="Garamond" w:cs="Garamond" w:eastAsia="Garamond" w:hAnsi="Garamond"/>
          <w:b w:val="false"/>
          <w:bCs w:val="false"/>
          <w:i w:val="false"/>
          <w:iCs w:val="false"/>
          <w:color w:val="3D3D3D"/>
          <w:sz w:val="23"/>
          <w:szCs w:val="23"/>
        </w:rPr>
        <w:t xml:space="preserve">LG §42 gives five practical means through which this love grows: hearing the Word of God, partaking in the sacraments (especially the Eucharist), dedicated prayer, self-denial, and — the fifth, which is most frequently omitted in privatised spirituality — active fraternal service. For the students in this room, the fifth means is not optional. It is not advanced practice for the spiritually accomplished. It is a constituent element of holiness from the beginning.</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 Foundation Three — Kenosis: Imitating Christ’s Self-Emptying</w:t>
      </w:r>
    </w:p>
    <w:p>
      <w:pPr>
        <w:spacing w:before="80" w:after="120" w:line="280"/>
        <w:jc w:val="both"/>
      </w:pPr>
      <w:r>
        <w:rPr>
          <w:rFonts w:ascii="Garamond" w:cs="Garamond" w:eastAsia="Garamond" w:hAnsi="Garamond"/>
          <w:b w:val="false"/>
          <w:bCs w:val="false"/>
          <w:i w:val="false"/>
          <w:iCs w:val="false"/>
          <w:color w:val="3D3D3D"/>
          <w:sz w:val="23"/>
          <w:szCs w:val="23"/>
        </w:rPr>
        <w:t xml:space="preserve">The deepest theological grammar of Christian holiness is kenosis. Paul’s letter to the Philippians (2:7) describes Christ’s incarnation with the verb ekenosen heauton — he emptied himself. This is not a metaphor for humility as a personal virtue. It is a description of the constitutive movement of the divine self-gift: the infinite becomes finite, the eternal enters time, the Lord assumes the form of a servant.</w:t>
      </w:r>
    </w:p>
    <w:p>
      <w:pPr>
        <w:spacing w:before="80" w:after="120" w:line="280"/>
        <w:jc w:val="both"/>
      </w:pPr>
      <w:r>
        <w:rPr>
          <w:rFonts w:ascii="Garamond" w:cs="Garamond" w:eastAsia="Garamond" w:hAnsi="Garamond"/>
          <w:b w:val="false"/>
          <w:bCs w:val="false"/>
          <w:i w:val="false"/>
          <w:iCs w:val="false"/>
          <w:color w:val="3D3D3D"/>
          <w:sz w:val="23"/>
          <w:szCs w:val="23"/>
        </w:rPr>
        <w:t xml:space="preserve">Holiness, understood through this grammar, is not self-aggrandisement, not the accumulation of spiritual achievements, not the progressive refinement of the self. It is the progressive surrender of the self to God and to the neighbour. The direction of movement is downward — in the direction Christ moved. Not triumphalist ascent but cruciform descent.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Indian Resonance of Kenosis</w:t>
            </w:r>
          </w:p>
          <w:p>
            <w:pPr>
              <w:spacing w:before="60" w:after="60" w:line="260"/>
              <w:jc w:val="both"/>
            </w:pPr>
            <w:r>
              <w:rPr>
                <w:rFonts w:ascii="Garamond" w:cs="Garamond" w:eastAsia="Garamond" w:hAnsi="Garamond"/>
                <w:b w:val="false"/>
                <w:bCs w:val="false"/>
                <w:i w:val="false"/>
                <w:iCs w:val="false"/>
                <w:color w:val="333333"/>
                <w:sz w:val="22"/>
                <w:szCs w:val="22"/>
              </w:rPr>
              <w:t xml:space="preserve">Kenosis is not alien to Indian spiritual soil. The concept of seva in Hindu and Sikh tradition — selfless service as a form of worship — traces the same contour. Gandhi’s sarvodaya — the uplift of all, beginning with the last — is a political instantiation of kenotic logic. Ambedkar’s willingness to bear personal cost in fighting for Dalit dignity is a form of kenosis in the public square.</w:t>
            </w:r>
          </w:p>
          <w:p>
            <w:pPr>
              <w:spacing w:before="60" w:after="60" w:line="260"/>
              <w:jc w:val="both"/>
            </w:pPr>
            <w:r>
              <w:rPr>
                <w:rFonts w:ascii="Garamond" w:cs="Garamond" w:eastAsia="Garamond" w:hAnsi="Garamond"/>
                <w:b w:val="false"/>
                <w:bCs w:val="false"/>
                <w:i w:val="false"/>
                <w:iCs w:val="false"/>
                <w:color w:val="333333"/>
                <w:sz w:val="22"/>
                <w:szCs w:val="22"/>
              </w:rPr>
              <w:t xml:space="preserve">The theology student who recognises these resonances is not syncretising the Gospel. They are doing what Justin Martyr called reading the logoi spermatikoi — the seeds of the Word scattered across human traditions — and recognising in them anticipations of what Christ makes fully explicit. This is the work the Church in India is called to do.</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III. ETYMOLOGICAL RECOVERY: From Hagioi to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Here I want to make a move that is methodologically essential in any serious engagement with Vatican II’s theology of holiness. We need to recover a word from the domestication it has undergone in centuries of institutional use.</w:t>
      </w:r>
    </w:p>
    <w:p>
      <w:pPr>
        <w:spacing w:before="80" w:after="120" w:line="280"/>
        <w:jc w:val="both"/>
      </w:pPr>
      <w:r>
        <w:rPr>
          <w:rFonts w:ascii="Garamond" w:cs="Garamond" w:eastAsia="Garamond" w:hAnsi="Garamond"/>
          <w:b w:val="false"/>
          <w:bCs w:val="false"/>
          <w:i w:val="false"/>
          <w:iCs w:val="false"/>
          <w:color w:val="3D3D3D"/>
          <w:sz w:val="23"/>
          <w:szCs w:val="23"/>
        </w:rPr>
        <w:t xml:space="preserve">The word is hagioi — the Greek term Paul uses throughout his letters to address Christian communities. In 1 Corinthians 1:2, he writes ‘to the Church of God at Corinth, to those sanctified in Christ Jesus, called to be saints [hagioi], together with all those everywhere who call on the name of our Lord Jesus Christ.’ In Philippians 1:1: ‘to all the saints [hagioi] in Christ Jesus at Philippi.’ In Romans 1:7: ‘to all in Rome who are loved by God and called to be saints [hagioi].’</w:t>
      </w:r>
    </w:p>
    <w:p>
      <w:pPr>
        <w:spacing w:before="80" w:after="120" w:line="280"/>
        <w:jc w:val="both"/>
      </w:pPr>
      <w:r>
        <w:rPr>
          <w:rFonts w:ascii="Garamond" w:cs="Garamond" w:eastAsia="Garamond" w:hAnsi="Garamond"/>
          <w:b w:val="false"/>
          <w:bCs w:val="false"/>
          <w:i w:val="false"/>
          <w:iCs w:val="false"/>
          <w:color w:val="3D3D3D"/>
          <w:sz w:val="23"/>
          <w:szCs w:val="23"/>
        </w:rPr>
        <w:t xml:space="preserve">Notice what Paul does not say. He does not address his letters ‘to the clergy and religious of Corinth, and to the ordinary Christians in their care.’ He addresses the entire community as hagioi. The saints. The holy ones. This is not a compliment. It is a theological designation: these are persons set apart by God, called out of the world and into a life of covenantal intimacy with the divine.</w:t>
      </w:r>
    </w:p>
    <w:p>
      <w:pPr>
        <w:spacing w:before="80" w:after="120" w:line="280"/>
        <w:jc w:val="both"/>
      </w:pPr>
      <w:r>
        <w:rPr>
          <w:rFonts w:ascii="Garamond" w:cs="Garamond" w:eastAsia="Garamond" w:hAnsi="Garamond"/>
          <w:b w:val="false"/>
          <w:bCs w:val="false"/>
          <w:i w:val="false"/>
          <w:iCs w:val="false"/>
          <w:color w:val="3D3D3D"/>
          <w:sz w:val="23"/>
          <w:szCs w:val="23"/>
        </w:rPr>
        <w:t xml:space="preserve">Now observe what has happened to this word over the centuries of institutional Church life. Hagioi — the designation of the entire baptised community — has been progressively narrowed. By the mediaeval period, ‘saint’ means a canonised individual, formally declared holy by papal decree after a process of investigation. Holiness has migrated from a communal designation of the baptised to an elite category of exceptional individuals, officially certified as having attained what the rest of the community can only aspire toward.</w:t>
      </w:r>
    </w:p>
    <w:p>
      <w:pPr>
        <w:spacing w:before="80" w:after="120" w:line="280"/>
        <w:jc w:val="both"/>
      </w:pPr>
      <w:r>
        <w:rPr>
          <w:rFonts w:ascii="Garamond" w:cs="Garamond" w:eastAsia="Garamond" w:hAnsi="Garamond"/>
          <w:b w:val="false"/>
          <w:bCs w:val="false"/>
          <w:i w:val="false"/>
          <w:iCs w:val="false"/>
          <w:color w:val="3D3D3D"/>
          <w:sz w:val="23"/>
          <w:szCs w:val="23"/>
        </w:rPr>
        <w:t xml:space="preserve">Vatican II’s Chapter Five of Lumen Gentium is, among other things, a recovery of the Pauline usage. The hagioi are not a spiritual elite. The hagioi are the People of God. Every baptised person is — in Paul’s theological vocabulary — a hagios, a holy one. The Council does not invent this teaching. It recovers it from domestication.</w:t>
      </w:r>
    </w:p>
    <w:p>
      <w:pPr>
        <w:spacing w:before="80" w:after="120" w:line="280"/>
        <w:jc w:val="both"/>
      </w:pPr>
      <w:r>
        <w:rPr>
          <w:rFonts w:ascii="Garamond" w:cs="Garamond" w:eastAsia="Garamond" w:hAnsi="Garamond"/>
          <w:b w:val="false"/>
          <w:bCs w:val="false"/>
          <w:i w:val="false"/>
          <w:iCs w:val="false"/>
          <w:color w:val="3D3D3D"/>
          <w:sz w:val="23"/>
          <w:szCs w:val="23"/>
        </w:rPr>
        <w:t xml:space="preserve">A second etymology is worth noting. The Latin word sanctus — from which we derive ‘sanctification’, ‘sanctity’, ‘holiness’ — shares its root with sancire: to make firm, to ratify, to establish. To be sanctified is to be firmly established in one’s true identity as a child of God. Holiness is not a condition you travel toward. It is a condition you were established in at Baptism and are called to inhabit more fully throughout your life.</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IV. SCRIPTURAL CONSTELLATION</w:t>
      </w:r>
    </w:p>
    <w:p>
      <w:pPr>
        <w:spacing w:before="80" w:after="120" w:line="280"/>
        <w:jc w:val="both"/>
      </w:pPr>
      <w:r>
        <w:rPr>
          <w:rFonts w:ascii="Garamond" w:cs="Garamond" w:eastAsia="Garamond" w:hAnsi="Garamond"/>
          <w:b w:val="false"/>
          <w:bCs w:val="false"/>
          <w:i w:val="false"/>
          <w:iCs w:val="false"/>
          <w:color w:val="3D3D3D"/>
          <w:sz w:val="23"/>
          <w:szCs w:val="23"/>
        </w:rPr>
        <w:t xml:space="preserve">Let me now build what I call a scriptural constellation — multiple texts from different traditions of the canon, each adding a different dimension to our argument, none sufficient alone.</w:t>
      </w:r>
    </w:p>
    <w:p>
      <w:pPr>
        <w:pStyle w:val="Heading3"/>
        <w:spacing w:before="200" w:after="80"/>
      </w:pPr>
      <w:r>
        <w:rPr>
          <w:rFonts w:ascii="Arial" w:cs="Arial" w:eastAsia="Arial" w:hAnsi="Arial"/>
          <w:b/>
          <w:bCs/>
          <w:i/>
          <w:iCs/>
          <w:color w:val="2E6DA4"/>
          <w:sz w:val="24"/>
          <w:szCs w:val="24"/>
        </w:rPr>
        <w:t xml:space="preserve">Text 1: 1 Thessalonians 4:3 — The Explicit Will of God</w:t>
      </w:r>
    </w:p>
    <w:p>
      <w:pPr>
        <w:spacing w:before="80" w:after="120" w:line="280"/>
        <w:jc w:val="both"/>
      </w:pPr>
      <w:r>
        <w:rPr>
          <w:rFonts w:ascii="Garamond" w:cs="Garamond" w:eastAsia="Garamond" w:hAnsi="Garamond"/>
          <w:b w:val="false"/>
          <w:bCs w:val="false"/>
          <w:i w:val="false"/>
          <w:iCs w:val="false"/>
          <w:color w:val="3D3D3D"/>
          <w:sz w:val="23"/>
          <w:szCs w:val="23"/>
        </w:rPr>
        <w:t xml:space="preserve">Paul is unambiguous: ‘For this is the will of God, your sanctification.’ Not: this is one of several things God desires. Not: this is the will of God for those who have freely chosen the religious life or holy orders. This is the will of God, period. For you. Now. In the conditions of your actual life. The Greek hagiasmos — sanctification, the process of becoming holy — is not the prerogative of a category of Christians. It is the universal divine will for every member of the baptised community.</w:t>
      </w:r>
    </w:p>
    <w:p>
      <w:pPr>
        <w:pStyle w:val="Heading3"/>
        <w:spacing w:before="200" w:after="80"/>
      </w:pPr>
      <w:r>
        <w:rPr>
          <w:rFonts w:ascii="Arial" w:cs="Arial" w:eastAsia="Arial" w:hAnsi="Arial"/>
          <w:b/>
          <w:bCs/>
          <w:i/>
          <w:iCs/>
          <w:color w:val="2E6DA4"/>
          <w:sz w:val="24"/>
          <w:szCs w:val="24"/>
        </w:rPr>
        <w:t xml:space="preserve">Text 2: Matthew 5:48 — Address to the Crowd</w:t>
      </w:r>
    </w:p>
    <w:p>
      <w:pPr>
        <w:spacing w:before="80" w:after="120" w:line="280"/>
        <w:jc w:val="both"/>
      </w:pPr>
      <w:r>
        <w:rPr>
          <w:rFonts w:ascii="Garamond" w:cs="Garamond" w:eastAsia="Garamond" w:hAnsi="Garamond"/>
          <w:b w:val="false"/>
          <w:bCs w:val="false"/>
          <w:i w:val="false"/>
          <w:iCs w:val="false"/>
          <w:color w:val="3D3D3D"/>
          <w:sz w:val="23"/>
          <w:szCs w:val="23"/>
        </w:rPr>
        <w:t xml:space="preserve">Jesus says: ‘Be you therefore perfect, even as your heavenly Father is perfect.’ This text is heard too often as an impossibly demanding standard addressed to already-holy disciples. But notice its location in Matthew’s narrative. It comes at the close of the Sermon on the Mount — addressed to the ochlos, the crowd, the ordinary mass of people on the hillside in Galilee. The crowd includes fishermen, farmers, tax collectors, women, children, the poor, the sick. Jesus does not calibrate his demand to the spiritually advanced. He addresses it to the crowd. The fullness of the divine life is the standard Jesus sets for everyone who calls him Lord.</w:t>
      </w:r>
    </w:p>
    <w:p>
      <w:pPr>
        <w:pStyle w:val="Heading3"/>
        <w:spacing w:before="200" w:after="80"/>
      </w:pPr>
      <w:r>
        <w:rPr>
          <w:rFonts w:ascii="Arial" w:cs="Arial" w:eastAsia="Arial" w:hAnsi="Arial"/>
          <w:b/>
          <w:bCs/>
          <w:i/>
          <w:iCs/>
          <w:color w:val="2E6DA4"/>
          <w:sz w:val="24"/>
          <w:szCs w:val="24"/>
        </w:rPr>
        <w:t xml:space="preserve">Text 3: 1 Peter 2:4–5, 9 — The Priestly People</w:t>
      </w:r>
    </w:p>
    <w:p>
      <w:pPr>
        <w:spacing w:before="80" w:after="120" w:line="280"/>
        <w:jc w:val="both"/>
      </w:pPr>
      <w:r>
        <w:rPr>
          <w:rFonts w:ascii="Garamond" w:cs="Garamond" w:eastAsia="Garamond" w:hAnsi="Garamond"/>
          <w:b w:val="false"/>
          <w:bCs w:val="false"/>
          <w:i w:val="false"/>
          <w:iCs w:val="false"/>
          <w:color w:val="3D3D3D"/>
          <w:sz w:val="23"/>
          <w:szCs w:val="23"/>
        </w:rPr>
        <w:t xml:space="preserve">‘Come to him, a living stone, rejected by men but chosen and precious in God’s sight, and like living stones let yourselves be built into a spiritual house, to be a holy priesthood, to offer spiritual sacrifices acceptable to God through Jesus Christ.’ And again: ‘But you are a chosen race, a royal priesthood, a holy nation, God’s own people.’</w:t>
      </w:r>
    </w:p>
    <w:p>
      <w:pPr>
        <w:spacing w:before="80" w:after="120" w:line="280"/>
        <w:jc w:val="both"/>
      </w:pPr>
      <w:r>
        <w:rPr>
          <w:rFonts w:ascii="Garamond" w:cs="Garamond" w:eastAsia="Garamond" w:hAnsi="Garamond"/>
          <w:b w:val="false"/>
          <w:bCs w:val="false"/>
          <w:i w:val="false"/>
          <w:iCs w:val="false"/>
          <w:color w:val="3D3D3D"/>
          <w:sz w:val="23"/>
          <w:szCs w:val="23"/>
        </w:rPr>
        <w:t xml:space="preserve">This text is addressed not to the ordained but to the entire community of the baptised. The entire community is a holy priesthood. The entire community is called to offer spiritual sacrifices — that is, to sanctify the ordinary material of human life (work, relationships, suffering, joy) by offering it to God through Christ. This is not the exceptional vocation of the few. It is the constitutive identity of the many.</w:t>
      </w:r>
    </w:p>
    <w:p>
      <w:pPr>
        <w:pStyle w:val="Heading3"/>
        <w:spacing w:before="200" w:after="80"/>
      </w:pPr>
      <w:r>
        <w:rPr>
          <w:rFonts w:ascii="Arial" w:cs="Arial" w:eastAsia="Arial" w:hAnsi="Arial"/>
          <w:b/>
          <w:bCs/>
          <w:i/>
          <w:iCs/>
          <w:color w:val="2E6DA4"/>
          <w:sz w:val="24"/>
          <w:szCs w:val="24"/>
        </w:rPr>
        <w:t xml:space="preserve">Text 4: John 15:5 — The Condition of Fruitfulness</w:t>
      </w:r>
    </w:p>
    <w:p>
      <w:pPr>
        <w:spacing w:before="80" w:after="120" w:line="280"/>
        <w:jc w:val="both"/>
      </w:pPr>
      <w:r>
        <w:rPr>
          <w:rFonts w:ascii="Garamond" w:cs="Garamond" w:eastAsia="Garamond" w:hAnsi="Garamond"/>
          <w:b w:val="false"/>
          <w:bCs w:val="false"/>
          <w:i w:val="false"/>
          <w:iCs w:val="false"/>
          <w:color w:val="3D3D3D"/>
          <w:sz w:val="23"/>
          <w:szCs w:val="23"/>
        </w:rPr>
        <w:t xml:space="preserve">‘I am the vine, you are the branches. Whoever abides in me and I in him, he it is that bears much fruit, for apart from me you can do nothing.’ The Greek verb here is menein — to abide, to remain, to dwell. Holiness, in John’s theological grammar, is not a project of human self-improvement. It is the fruit of dwelling in Christ — of remaining in the organic union established at Baptism. The branches do not produce the fruit. The vine does. The branch’s work is not to produce but to remain.</w:t>
      </w:r>
    </w:p>
    <w:p>
      <w:pPr>
        <w:spacing w:before="80" w:after="120" w:line="280"/>
        <w:jc w:val="both"/>
      </w:pPr>
      <w:r>
        <w:rPr>
          <w:rFonts w:ascii="Garamond" w:cs="Garamond" w:eastAsia="Garamond" w:hAnsi="Garamond"/>
          <w:b w:val="false"/>
          <w:bCs w:val="false"/>
          <w:i w:val="false"/>
          <w:iCs w:val="false"/>
          <w:color w:val="3D3D3D"/>
          <w:sz w:val="23"/>
          <w:szCs w:val="23"/>
        </w:rPr>
        <w:t xml:space="preserve">This has a direct consequence for the ‘spirituality of the marketplace’ that we will develop later in this unit: the Christian does not bring holiness to the world. The Christian allows the holiness that already dwells within them, through their union with Christ, to manifest in the ordinary conditions of daily life.</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V. THE CONCEPTUAL PAIR: Two Models of Priesthood</w:t>
      </w:r>
    </w:p>
    <w:p>
      <w:pPr>
        <w:spacing w:before="80" w:after="120" w:line="280"/>
        <w:jc w:val="both"/>
      </w:pPr>
      <w:r>
        <w:rPr>
          <w:rFonts w:ascii="Garamond" w:cs="Garamond" w:eastAsia="Garamond" w:hAnsi="Garamond"/>
          <w:b w:val="false"/>
          <w:bCs w:val="false"/>
          <w:i w:val="false"/>
          <w:iCs w:val="false"/>
          <w:color w:val="3D3D3D"/>
          <w:sz w:val="23"/>
          <w:szCs w:val="23"/>
        </w:rPr>
        <w:t xml:space="preserve">We come now to what I identify as the most practically consequential distinction in the entire body of Vatican II’s teaching on holiness: the relationship between the Common Priesthood of all the faithful and the Ministerial Priesthood of the ordained.</w:t>
      </w:r>
    </w:p>
    <w:p>
      <w:pPr>
        <w:spacing w:before="80" w:after="120" w:line="280"/>
        <w:jc w:val="both"/>
      </w:pPr>
      <w:r>
        <w:rPr>
          <w:rFonts w:ascii="Garamond" w:cs="Garamond" w:eastAsia="Garamond" w:hAnsi="Garamond"/>
          <w:b w:val="false"/>
          <w:bCs w:val="false"/>
          <w:i w:val="false"/>
          <w:iCs w:val="false"/>
          <w:color w:val="3D3D3D"/>
          <w:sz w:val="23"/>
          <w:szCs w:val="23"/>
        </w:rPr>
        <w:t xml:space="preserve">Lumen Gentium §10 makes the distinction with theological precision: ‘Though they differ from one another in essence and not only in degree, the common priesthood of the faithful and the ministerial or hierarchical priesthood are nonetheless interrelated: each of them in its own special way is a participation in the one priesthood of Christ.’</w:t>
      </w:r>
    </w:p>
    <w:p>
      <w:pPr>
        <w:spacing w:before="80" w:after="120" w:line="280"/>
        <w:jc w:val="both"/>
      </w:pPr>
      <w:r>
        <w:rPr>
          <w:rFonts w:ascii="Garamond" w:cs="Garamond" w:eastAsia="Garamond" w:hAnsi="Garamond"/>
          <w:b w:val="false"/>
          <w:bCs w:val="false"/>
          <w:i w:val="false"/>
          <w:iCs w:val="false"/>
          <w:color w:val="3D3D3D"/>
          <w:sz w:val="23"/>
          <w:szCs w:val="23"/>
        </w:rPr>
        <w:t xml:space="preserve">Let me examine the two models carefully, and show what each produces in practice.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jc w:val="center"/>
            </w:pPr>
            <w:r>
              <w:rPr>
                <w:rFonts w:ascii="Arial" w:cs="Arial" w:eastAsia="Arial" w:hAnsi="Arial"/>
                <w:b/>
                <w:bCs/>
                <w:color w:val="1B3A5C"/>
                <w:sz w:val="22"/>
                <w:szCs w:val="22"/>
              </w:rPr>
              <w:t xml:space="preserve">Common Priesthood (All the Baptised)</w:t>
            </w:r>
          </w:p>
        </w:tc>
        <w:tc>
          <w:tcPr>
            <w:tcW w:type="dxa" w:w="45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jc w:val="center"/>
            </w:pPr>
            <w:r>
              <w:rPr>
                <w:rFonts w:ascii="Arial" w:cs="Arial" w:eastAsia="Arial" w:hAnsi="Arial"/>
                <w:b/>
                <w:bCs/>
                <w:color w:val="1B3A5C"/>
                <w:sz w:val="22"/>
                <w:szCs w:val="22"/>
              </w:rPr>
              <w:t xml:space="preserve">Ministerial Priesthood (The Ordained)</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Foundation: Baptism and Confirmation</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Foundation: Holy Orders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Exercises through: life, work, prayer, witness, suffering, service</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Exercises through: proclamation of the Word, celebration of sacraments, pastoral governance</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Offers spiritual sacrifices: daily life transformed into worship (1 Pet 2:5)</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Acts in persona Christi: in the person of Christ, especially in the Eucharist</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Extends to the whole world: the baptised sanctify the secular from within</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Ordered to serve the Common Priesthood: not superior, but ministerially distinct</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Not a ‘lower’ form — it is the primary form in which Christ’s priesthood is present in the world</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Not a ‘superior’ form — it has a specific function but no superior proximity to God</w:t>
            </w:r>
          </w:p>
        </w:tc>
      </w:tr>
    </w:tbl>
    <w:p>
      <w:pPr>
        <w:spacing w:before="0" w:after="120"/>
      </w:pPr>
      <w:r>
        <w:t xml:space="preserve"/>
      </w:r>
    </w:p>
    <w:p>
      <w:pPr>
        <w:spacing w:before="80" w:after="120" w:line="280"/>
        <w:jc w:val="both"/>
      </w:pPr>
      <w:r>
        <w:rPr>
          <w:rFonts w:ascii="Garamond" w:cs="Garamond" w:eastAsia="Garamond" w:hAnsi="Garamond"/>
          <w:b w:val="false"/>
          <w:bCs w:val="false"/>
          <w:i w:val="false"/>
          <w:iCs w:val="false"/>
          <w:color w:val="3D3D3D"/>
          <w:sz w:val="23"/>
          <w:szCs w:val="23"/>
        </w:rPr>
        <w:t xml:space="preserve">The critical phrase in LG §10 is that the two priesthoods differ ‘in essence and not only in degree.’ This is sometimes read as asserting the superiority of the ordained priesthood — but that reading inverts the Council’s logic. The difference in essence means: these are two different functions within the one Body, not two different rungs on a spiritual ladder. The ordained priest does not possess a ‘more intense’ form of the same reality as the baptised lay person. They possess a different function, ordered toward a different service.</w:t>
      </w:r>
    </w:p>
    <w:p>
      <w:pPr>
        <w:spacing w:before="80" w:after="120" w:line="280"/>
        <w:jc w:val="both"/>
      </w:pPr>
      <w:r>
        <w:rPr>
          <w:rFonts w:ascii="Garamond" w:cs="Garamond" w:eastAsia="Garamond" w:hAnsi="Garamond"/>
          <w:b w:val="false"/>
          <w:bCs w:val="false"/>
          <w:i w:val="false"/>
          <w:iCs w:val="false"/>
          <w:color w:val="3D3D3D"/>
          <w:sz w:val="23"/>
          <w:szCs w:val="23"/>
        </w:rPr>
        <w:t xml:space="preserve">And LG §10 is explicit that the ministerial priesthood ‘is directed at unfolding the baptismal grace of all Christians.’ The ordained priest’s ministry is ordered toward the baptised. The Common Priesthood is not a precondition for ordination that is then superseded. The Common Priesthood is the permanent reality that the ordained priesthood is meant to 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Indian Application — Caste and the Clerical Model</w:t>
            </w:r>
          </w:p>
          <w:p>
            <w:pPr>
              <w:spacing w:before="60" w:after="60" w:line="260"/>
              <w:jc w:val="both"/>
            </w:pPr>
            <w:r>
              <w:rPr>
                <w:rFonts w:ascii="Garamond" w:cs="Garamond" w:eastAsia="Garamond" w:hAnsi="Garamond"/>
                <w:b w:val="false"/>
                <w:bCs w:val="false"/>
                <w:i w:val="false"/>
                <w:iCs w:val="false"/>
                <w:color w:val="333333"/>
                <w:sz w:val="22"/>
                <w:szCs w:val="22"/>
              </w:rPr>
              <w:t xml:space="preserve">In India, the distinction between ordained clergy and laity has often been culturally reinforced by caste dynamics. The priest functions as a Brahmin-equivalent sacred intermediary — the essential mediator between a laity that is, in this model, spiritually deficient without clerical intervention.</w:t>
            </w:r>
          </w:p>
          <w:p>
            <w:pPr>
              <w:spacing w:before="60" w:after="60" w:line="260"/>
              <w:jc w:val="both"/>
            </w:pPr>
            <w:r>
              <w:rPr>
                <w:rFonts w:ascii="Garamond" w:cs="Garamond" w:eastAsia="Garamond" w:hAnsi="Garamond"/>
                <w:b w:val="false"/>
                <w:bCs w:val="false"/>
                <w:i w:val="false"/>
                <w:iCs w:val="false"/>
                <w:color w:val="333333"/>
                <w:sz w:val="22"/>
                <w:szCs w:val="22"/>
              </w:rPr>
              <w:t xml:space="preserve">Vatican II’s theology of the two priesthoods directly dismantles this model. The priest is not a sacred intermediary between God and a spiritually inferior laity. The priest is the servant of a community that already possesses, by virtue of Baptism, the fullness of Christ’s priestly office. A parish structure that makes the laity structurally dependent on the clergy for access to the divine contradicts not only the Council but the sacramental theology on which the Council’s teaching rests.</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VI. HOLINESS IN EVERY STATE OF LIFE: LG §41</w:t>
      </w:r>
    </w:p>
    <w:p>
      <w:pPr>
        <w:spacing w:before="80" w:after="120" w:line="280"/>
        <w:jc w:val="both"/>
      </w:pPr>
      <w:r>
        <w:rPr>
          <w:rFonts w:ascii="Garamond" w:cs="Garamond" w:eastAsia="Garamond" w:hAnsi="Garamond"/>
          <w:b w:val="false"/>
          <w:bCs w:val="false"/>
          <w:i w:val="false"/>
          <w:iCs w:val="false"/>
          <w:color w:val="3D3D3D"/>
          <w:sz w:val="23"/>
          <w:szCs w:val="23"/>
        </w:rPr>
        <w:t xml:space="preserve">Lumen Gentium §41 contains what may be its most practically radical statement: ‘The classes and duties of life are many, but holiness is one.’ Let me unpack each of the states the Council names, drawing out the theological claim that each carries.</w:t>
      </w:r>
    </w:p>
    <w:p>
      <w:pPr>
        <w:pStyle w:val="Heading2"/>
        <w:spacing w:before="280" w:after="120"/>
      </w:pPr>
      <w:r>
        <w:rPr>
          <w:rFonts w:ascii="Arial" w:cs="Arial" w:eastAsia="Arial" w:hAnsi="Arial"/>
          <w:b/>
          <w:bCs/>
          <w:color w:val="2E6DA4"/>
          <w:sz w:val="26"/>
          <w:szCs w:val="26"/>
        </w:rPr>
        <w:t xml:space="preserve">A. Bishops and Church Leaders</w:t>
      </w:r>
    </w:p>
    <w:p>
      <w:pPr>
        <w:spacing w:before="80" w:after="120" w:line="280"/>
        <w:jc w:val="both"/>
      </w:pPr>
      <w:r>
        <w:rPr>
          <w:rFonts w:ascii="Garamond" w:cs="Garamond" w:eastAsia="Garamond" w:hAnsi="Garamond"/>
          <w:b w:val="false"/>
          <w:bCs w:val="false"/>
          <w:i w:val="false"/>
          <w:iCs w:val="false"/>
          <w:color w:val="3D3D3D"/>
          <w:sz w:val="23"/>
          <w:szCs w:val="23"/>
        </w:rPr>
        <w:t xml:space="preserve">The Council defines episcopal authority with absolute clarity: authority in the Church is service, not domination. Bishops are called to abandon what the text calls ‘a power mentality’, to act as Good Shepherds after the model of Christ, and to exercise ‘the perfect duty of pastoral charity’. LG §41 is unambiguous: anything less than selfless service is considered unworthy of the charge given by Christ.</w:t>
      </w:r>
    </w:p>
    <w:p>
      <w:pPr>
        <w:spacing w:before="80" w:after="120" w:line="280"/>
        <w:jc w:val="both"/>
      </w:pPr>
      <w:r>
        <w:rPr>
          <w:rFonts w:ascii="Garamond" w:cs="Garamond" w:eastAsia="Garamond" w:hAnsi="Garamond"/>
          <w:b w:val="false"/>
          <w:bCs w:val="false"/>
          <w:i w:val="false"/>
          <w:iCs w:val="false"/>
          <w:color w:val="3D3D3D"/>
          <w:sz w:val="23"/>
          <w:szCs w:val="23"/>
        </w:rPr>
        <w:t xml:space="preserve">The pastoral standard is the Johannine Christ who lays down his life for the sheep — not the hireling who flees when the wolf comes (John 10:11–13). Episcopal dignity is not a justification for institutional self-protection. It is a call to heightened accountability before the standard of the servant-shepherd.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Indian Church — Power and Diocese</w:t>
            </w:r>
          </w:p>
          <w:p>
            <w:pPr>
              <w:spacing w:before="60" w:after="60" w:line="260"/>
              <w:jc w:val="both"/>
            </w:pPr>
            <w:r>
              <w:rPr>
                <w:rFonts w:ascii="Garamond" w:cs="Garamond" w:eastAsia="Garamond" w:hAnsi="Garamond"/>
                <w:b w:val="false"/>
                <w:bCs w:val="false"/>
                <w:i w:val="false"/>
                <w:iCs w:val="false"/>
                <w:color w:val="333333"/>
                <w:sz w:val="22"/>
                <w:szCs w:val="22"/>
              </w:rPr>
              <w:t xml:space="preserve">The Church in India has witnessed public controversies involving bishops accused of financial mismanagement, land deals, sexual abuse, and the arbitrary exercise of authority. Each of these cases is not merely a moral failure but a theological failure: the failure of episcopal holiness as defined by the Council. Vatican II does not allow the bishop to appeal to episcopal dignity as a defence for institutional self-interest. The standard is the Good Shepherd who lays down his life.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B. Priests: Growing Holy Through Pastoral Labour</w:t>
      </w:r>
    </w:p>
    <w:p>
      <w:pPr>
        <w:spacing w:before="80" w:after="120" w:line="280"/>
        <w:jc w:val="both"/>
      </w:pPr>
      <w:r>
        <w:rPr>
          <w:rFonts w:ascii="Garamond" w:cs="Garamond" w:eastAsia="Garamond" w:hAnsi="Garamond"/>
          <w:b w:val="false"/>
          <w:bCs w:val="false"/>
          <w:i w:val="false"/>
          <w:iCs w:val="false"/>
          <w:color w:val="3D3D3D"/>
          <w:sz w:val="23"/>
          <w:szCs w:val="23"/>
        </w:rPr>
        <w:t xml:space="preserve">Priests are called to cultivate an ascesis suited to pastors — not monks. This is Larkin’s important distinction that we engaged in Unit 3: the priest’s path to holiness runs through the hardships of pastoral care, not around them. LG §41 says priests should ‘grow daily in their love of God and their neighbour by the exercise of their office’ — drawing nourishment from contemplation and growing through the difficulties of apostolic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Priests in Poverty Contexts</w:t>
            </w:r>
          </w:p>
          <w:p>
            <w:pPr>
              <w:spacing w:before="60" w:after="60" w:line="260"/>
              <w:jc w:val="both"/>
            </w:pPr>
            <w:r>
              <w:rPr>
                <w:rFonts w:ascii="Garamond" w:cs="Garamond" w:eastAsia="Garamond" w:hAnsi="Garamond"/>
                <w:b w:val="false"/>
                <w:bCs w:val="false"/>
                <w:i w:val="false"/>
                <w:iCs w:val="false"/>
                <w:color w:val="333333"/>
                <w:sz w:val="22"/>
                <w:szCs w:val="22"/>
              </w:rPr>
              <w:t xml:space="preserve">Many priests in Bengal serve communities that are profoundly poor: tribal, Dalit, migrant, riverbank communities. The exhaustion and difficulty of this ministry is not an obstacle to their holiness. According to Vatican II, it is the very medium through which their holiness is forged. A priest who retreats from pastoral difficulty into a comfortable rectory life in order to maintain ‘spiritual equilibrium’ has misunderstood the Council’s theology of priestly holiness.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C. Married Couples: Holiness as Sacramental Sign</w:t>
      </w:r>
    </w:p>
    <w:p>
      <w:pPr>
        <w:spacing w:before="80" w:after="120" w:line="280"/>
        <w:jc w:val="both"/>
      </w:pPr>
      <w:r>
        <w:rPr>
          <w:rFonts w:ascii="Garamond" w:cs="Garamond" w:eastAsia="Garamond" w:hAnsi="Garamond"/>
          <w:b w:val="false"/>
          <w:bCs w:val="false"/>
          <w:i w:val="false"/>
          <w:iCs w:val="false"/>
          <w:color w:val="3D3D3D"/>
          <w:sz w:val="23"/>
          <w:szCs w:val="23"/>
        </w:rPr>
        <w:t xml:space="preserve">LG §41 teaches that married couples achieve holiness by ‘supporting each other with faithful love’ and training their children in Christian doctrine. But the more fundamental claim is this: their marriage is not a lesser form of religious life. It is a sacrament — a tangible, visible sign of the love with which Christ loved the Church (Eph 5:25). The holiness of a faithful marriage that builds a community of love and service is not a compromise pending ordination. It is a full expression of the universal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Inter-Caste Marriages as Gospel Witness</w:t>
            </w:r>
          </w:p>
          <w:p>
            <w:pPr>
              <w:spacing w:before="60" w:after="60" w:line="260"/>
              <w:jc w:val="both"/>
            </w:pPr>
            <w:r>
              <w:rPr>
                <w:rFonts w:ascii="Garamond" w:cs="Garamond" w:eastAsia="Garamond" w:hAnsi="Garamond"/>
                <w:b w:val="false"/>
                <w:bCs w:val="false"/>
                <w:i w:val="false"/>
                <w:iCs w:val="false"/>
                <w:color w:val="333333"/>
                <w:sz w:val="22"/>
                <w:szCs w:val="22"/>
              </w:rPr>
              <w:t xml:space="preserve">In West Bengal, inter-caste marriages among Catholics are sometimes treated as social problems by parish communities rather than occasions of Gospel witness. Vatican II invites a different reading: a marriage that overcomes caste barriers through love is a sacramental kenosis — the self-emptying of social privilege for the sake of love. It is, in the Council’s theological vocabulary, a particularly powerful expression of the holiness to which all are called.</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D. Widows, Single Persons, and Those Who Live Alone</w:t>
      </w:r>
    </w:p>
    <w:p>
      <w:pPr>
        <w:spacing w:before="80" w:after="120" w:line="280"/>
        <w:jc w:val="both"/>
      </w:pPr>
      <w:r>
        <w:rPr>
          <w:rFonts w:ascii="Garamond" w:cs="Garamond" w:eastAsia="Garamond" w:hAnsi="Garamond"/>
          <w:b w:val="false"/>
          <w:bCs w:val="false"/>
          <w:i w:val="false"/>
          <w:iCs w:val="false"/>
          <w:color w:val="3D3D3D"/>
          <w:sz w:val="23"/>
          <w:szCs w:val="23"/>
        </w:rPr>
        <w:t xml:space="preserve">LG §41 is remarkable in its pastoral attentiveness here: those who live as widows or single persons ‘are able to make great contributions toward holiness and apostolic endeavour in the Church.’ The person who is alone — by choice or by circumstance — is not spiritually incomplete. They are called to a particular expression of holiness: complete openness to God’s will and apostolic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The Dalit Widow</w:t>
            </w:r>
          </w:p>
          <w:p>
            <w:pPr>
              <w:spacing w:before="60" w:after="60" w:line="260"/>
              <w:jc w:val="both"/>
            </w:pPr>
            <w:r>
              <w:rPr>
                <w:rFonts w:ascii="Garamond" w:cs="Garamond" w:eastAsia="Garamond" w:hAnsi="Garamond"/>
                <w:b w:val="false"/>
                <w:bCs w:val="false"/>
                <w:i w:val="false"/>
                <w:iCs w:val="false"/>
                <w:color w:val="333333"/>
                <w:sz w:val="22"/>
                <w:szCs w:val="22"/>
              </w:rPr>
              <w:t xml:space="preserve">In India, widowhood — especially in rural and poor communities — is often a condition of severe social marginalisation. The Dalit widow whose land has been seized under the guise of customary law. The tribal widow whose husband died in a distant brick kiln. The migrant woman abandoned after her husband’s death far from home. Vatican II says: these persons are not spiritually disadvantaged. They are persons who may be in a particular form of union with the self-emptying Christ. The Church’s pastoral care for them is not merely social service. It is recognition of their particular vocation.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E. Laborers and Workers: Holy Labor</w:t>
      </w:r>
    </w:p>
    <w:p>
      <w:pPr>
        <w:spacing w:before="80" w:after="120" w:line="280"/>
        <w:jc w:val="both"/>
      </w:pPr>
      <w:r>
        <w:rPr>
          <w:rFonts w:ascii="Garamond" w:cs="Garamond" w:eastAsia="Garamond" w:hAnsi="Garamond"/>
          <w:b w:val="false"/>
          <w:bCs w:val="false"/>
          <w:i w:val="false"/>
          <w:iCs w:val="false"/>
          <w:color w:val="3D3D3D"/>
          <w:sz w:val="23"/>
          <w:szCs w:val="23"/>
        </w:rPr>
        <w:t xml:space="preserve">Here Vatican II makes what is, in my judgment, one of its most practically radical statements. LG §41 calls workers to imitate ‘the very Christ who plied His hands with carpenter’s tools.’ Jesus was a carpenter. He spent thirty of his thirty-three years doing manual labour in a workshop in Nazareth. He did not spend thirty years in liturgical prayer and theological reflection. Manual work is a form of participation in the creative activity of God.</w:t>
      </w:r>
    </w:p>
    <w:p>
      <w:pPr>
        <w:spacing w:before="80" w:after="120" w:line="280"/>
        <w:jc w:val="both"/>
      </w:pPr>
      <w:r>
        <w:rPr>
          <w:rFonts w:ascii="Garamond" w:cs="Garamond" w:eastAsia="Garamond" w:hAnsi="Garamond"/>
          <w:b w:val="false"/>
          <w:bCs w:val="false"/>
          <w:i w:val="false"/>
          <w:iCs w:val="false"/>
          <w:color w:val="3D3D3D"/>
          <w:sz w:val="23"/>
          <w:szCs w:val="23"/>
        </w:rPr>
        <w:t xml:space="preserve">This means: the brick kiln worker’s labour is holy. The domestic worker’s service is holy. The auto-rickshaw driver’s daily endurance is holy. The tea-garden picker’s rhythmic work is holy — not despite their ordinariness, but through it, when offered to God in charity.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Theology of Holy Labor in Context</w:t>
            </w:r>
          </w:p>
          <w:p>
            <w:pPr>
              <w:spacing w:before="60" w:after="60" w:line="260"/>
              <w:jc w:val="both"/>
            </w:pPr>
            <w:r>
              <w:rPr>
                <w:rFonts w:ascii="Garamond" w:cs="Garamond" w:eastAsia="Garamond" w:hAnsi="Garamond"/>
                <w:b w:val="false"/>
                <w:bCs w:val="false"/>
                <w:i w:val="false"/>
                <w:iCs w:val="false"/>
                <w:color w:val="333333"/>
                <w:sz w:val="22"/>
                <w:szCs w:val="22"/>
              </w:rPr>
              <w:t xml:space="preserve">Tea garden workers in North Bengal — tribal communities (Oraon, Munda, Santhali) earning among the lowest agricultural wages in India, often denied basic welfare entitlements (PF, ESI, housing) — are, in Vatican II’s explicit theological language, imitating Christ the Carpenter through their daily labour. Their exploitation is a desecration of holy labour. A Church that does not name this desecration is a Church that has not read Lumen Gentium §41.</w:t>
            </w:r>
          </w:p>
          <w:p>
            <w:pPr>
              <w:spacing w:before="60" w:after="60" w:line="260"/>
              <w:jc w:val="both"/>
            </w:pPr>
            <w:r>
              <w:rPr>
                <w:rFonts w:ascii="Garamond" w:cs="Garamond" w:eastAsia="Garamond" w:hAnsi="Garamond"/>
                <w:b w:val="false"/>
                <w:bCs w:val="false"/>
                <w:i w:val="false"/>
                <w:iCs w:val="false"/>
                <w:color w:val="333333"/>
                <w:sz w:val="22"/>
                <w:szCs w:val="22"/>
              </w:rPr>
              <w:t xml:space="preserve">Brick kiln workers, many from SC/ST communities, trapped in advance-payment debt bondage: Vatican II says their voluntary sharing of each other’s burdens in these conditions is a profound form of holiness. The Church’s advocacy for their rights is not a social preference. It is a theological duty.</w:t>
            </w:r>
          </w:p>
          <w:p>
            <w:pPr>
              <w:spacing w:before="60" w:after="60" w:line="260"/>
              <w:jc w:val="both"/>
            </w:pPr>
            <w:r>
              <w:rPr>
                <w:rFonts w:ascii="Garamond" w:cs="Garamond" w:eastAsia="Garamond" w:hAnsi="Garamond"/>
                <w:b w:val="false"/>
                <w:bCs w:val="false"/>
                <w:i w:val="false"/>
                <w:iCs w:val="false"/>
                <w:color w:val="333333"/>
                <w:sz w:val="22"/>
                <w:szCs w:val="22"/>
              </w:rPr>
              <w:t xml:space="preserve">Domestic workers — predominantly women, often Dalit, working in middle-class households without minimum wage, without rest days, without legal protection — are exercising holy labour. A Catholic household that exploits a domestic worker while attending Sunday Mass is practising what James calls dead faith (Jas 2:17) and rejecting the Council’s theology of holiness in daily life.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F. The Poor, the Infirm, and the Persecuted</w:t>
      </w:r>
    </w:p>
    <w:p>
      <w:pPr>
        <w:spacing w:before="80" w:after="120" w:line="280"/>
        <w:jc w:val="both"/>
      </w:pPr>
      <w:r>
        <w:rPr>
          <w:rFonts w:ascii="Garamond" w:cs="Garamond" w:eastAsia="Garamond" w:hAnsi="Garamond"/>
          <w:b w:val="false"/>
          <w:bCs w:val="false"/>
          <w:i w:val="false"/>
          <w:iCs w:val="false"/>
          <w:color w:val="3D3D3D"/>
          <w:sz w:val="23"/>
          <w:szCs w:val="23"/>
        </w:rPr>
        <w:t xml:space="preserve">This is the most theologically explosive passage in LG §41. The Council declares that those suffering from poverty, sickness, or persecution for justice’s sake are ‘united with the suffering Christ in a special way for the salvation of the world, and the Lord has called them blessed.’</w:t>
      </w:r>
    </w:p>
    <w:p>
      <w:pPr>
        <w:spacing w:before="80" w:after="120" w:line="280"/>
        <w:jc w:val="both"/>
      </w:pPr>
      <w:r>
        <w:rPr>
          <w:rFonts w:ascii="Garamond" w:cs="Garamond" w:eastAsia="Garamond" w:hAnsi="Garamond"/>
          <w:b w:val="false"/>
          <w:bCs w:val="false"/>
          <w:i w:val="false"/>
          <w:iCs w:val="false"/>
          <w:color w:val="3D3D3D"/>
          <w:sz w:val="23"/>
          <w:szCs w:val="23"/>
        </w:rPr>
        <w:t xml:space="preserve">The theological claim is staggering: the poor, sick, and persecuted are not spiritually disadvantaged people in need of rescue. They are persons in a particular form of union with Christ. Their suffering, embraced in faith, participates in the redemptive work of the Cross.</w:t>
      </w:r>
    </w:p>
    <w:p>
      <w:pPr>
        <w:spacing w:before="80" w:after="120" w:line="280"/>
        <w:jc w:val="both"/>
      </w:pPr>
      <w:r>
        <w:rPr>
          <w:rFonts w:ascii="Garamond" w:cs="Garamond" w:eastAsia="Garamond" w:hAnsi="Garamond"/>
          <w:b w:val="false"/>
          <w:bCs w:val="false"/>
          <w:i w:val="false"/>
          <w:iCs w:val="false"/>
          <w:color w:val="3D3D3D"/>
          <w:sz w:val="23"/>
          <w:szCs w:val="23"/>
        </w:rPr>
        <w:t xml:space="preserve">I must add a critical clarification that is essential for preventing this teaching from becoming a theology of passive acceptance. The same Vatican II that says the poor are specially united with Christ (LG §41) also says in Gaudium et Spes §69 that poverty is a structural injustice that must be overcome. These two statements must be held simultaneously. The poor are holy despite the injustice they suffer — and the Church must fight the injustice because they are holy.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The Blessed and the Structural</w:t>
            </w:r>
          </w:p>
          <w:p>
            <w:pPr>
              <w:spacing w:before="60" w:after="60" w:line="260"/>
              <w:jc w:val="both"/>
            </w:pPr>
            <w:r>
              <w:rPr>
                <w:rFonts w:ascii="Garamond" w:cs="Garamond" w:eastAsia="Garamond" w:hAnsi="Garamond"/>
                <w:b w:val="false"/>
                <w:bCs w:val="false"/>
                <w:i w:val="false"/>
                <w:iCs w:val="false"/>
                <w:color w:val="333333"/>
                <w:sz w:val="22"/>
                <w:szCs w:val="22"/>
              </w:rPr>
              <w:t xml:space="preserve">Sundarbans communities repeatedly displaced by cyclones (Amphan 2020, Yaas 2021), living with the daily reality of climate-driven poverty: Vatican II says their suffering unites them with Christ. The Church’s accompaniment of these communities is not charity to the spiritually neutral — it is ministry to persons in whom Christ suffers.</w:t>
            </w:r>
          </w:p>
          <w:p>
            <w:pPr>
              <w:spacing w:before="60" w:after="60" w:line="260"/>
              <w:jc w:val="both"/>
            </w:pPr>
            <w:r>
              <w:rPr>
                <w:rFonts w:ascii="Garamond" w:cs="Garamond" w:eastAsia="Garamond" w:hAnsi="Garamond"/>
                <w:b w:val="false"/>
                <w:bCs w:val="false"/>
                <w:i w:val="false"/>
                <w:iCs w:val="false"/>
                <w:color w:val="333333"/>
                <w:sz w:val="22"/>
                <w:szCs w:val="22"/>
              </w:rPr>
              <w:t xml:space="preserve">Human rights defenders, land rights activists, and anti-trafficking advocates in Bengal who face false cases, threats, and suppression for their work of justice: Vatican II calls such persons ‘blessed’ (Matt 5:10). The Church must name and defend their blessing — not merely mourn it in retrospect.</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VII. PERFECTAE CARITATIS: Five Principles for Religious Life</w:t>
      </w:r>
    </w:p>
    <w:p>
      <w:pPr>
        <w:spacing w:before="80" w:after="120" w:line="280"/>
        <w:jc w:val="both"/>
      </w:pPr>
      <w:r>
        <w:rPr>
          <w:rFonts w:ascii="Garamond" w:cs="Garamond" w:eastAsia="Garamond" w:hAnsi="Garamond"/>
          <w:b w:val="false"/>
          <w:bCs w:val="false"/>
          <w:i w:val="false"/>
          <w:iCs w:val="false"/>
          <w:color w:val="3D3D3D"/>
          <w:sz w:val="23"/>
          <w:szCs w:val="23"/>
        </w:rPr>
        <w:t xml:space="preserve">The Decree on the Adaptation and Renewal of Religious Life applies the universal call to holiness to consecrated religious with five guiding principles. I want to read each principle not merely as a directive but as a diagnostic — a question the Council poses to every religious congregation.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c>
          <w:tcPr>
            <w:tcW w:type="dxa" w:w="20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Principle</w:t>
            </w:r>
          </w:p>
        </w:tc>
        <w:tc>
          <w:tcPr>
            <w:tcW w:type="dxa" w:w="22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Council’s Formulation</w:t>
            </w:r>
          </w:p>
        </w:tc>
        <w:tc>
          <w:tcPr>
            <w:tcW w:type="dxa" w:w="25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The Diagnostic Question</w:t>
            </w:r>
          </w:p>
        </w:tc>
        <w:tc>
          <w:tcPr>
            <w:tcW w:type="dxa" w:w="2326"/>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West Bengal Application</w:t>
            </w:r>
          </w:p>
        </w:tc>
      </w:tr>
      <w:tr>
        <w:tc>
          <w:tcPr>
            <w:tcW w:type="dxa" w:w="2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1</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Gospel is the ultimate norm</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Are our rules and structures actually judged by the Gospel — or by institutional tradition?</w:t>
            </w:r>
          </w:p>
        </w:tc>
        <w:tc>
          <w:tcPr>
            <w:tcW w:type="dxa" w:w="23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Which takes precedence in your community: the Sermon on the Mount or the custom of fifty years?</w:t>
            </w:r>
          </w:p>
        </w:tc>
      </w:tr>
      <w:tr>
        <w:tc>
          <w:tcPr>
            <w:tcW w:type="dxa" w:w="2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2</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Return to the charism of the founder</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Rediscover why the congregation was founded and for whom</w:t>
            </w:r>
          </w:p>
        </w:tc>
        <w:tc>
          <w:tcPr>
            <w:tcW w:type="dxa" w:w="23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If your congregation was founded for Dalit girls — is your school still serving them?</w:t>
            </w:r>
          </w:p>
        </w:tc>
      </w:tr>
      <w:tr>
        <w:tc>
          <w:tcPr>
            <w:tcW w:type="dxa" w:w="2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3</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Full integration into the Church’s renewal</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Religious life is not a world apart; it is the Church’s renewal from within</w:t>
            </w:r>
          </w:p>
        </w:tc>
        <w:tc>
          <w:tcPr>
            <w:tcW w:type="dxa" w:w="23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Does your community engage the pastoral renewal of the diocese or maintain institutional autonomy?</w:t>
            </w:r>
          </w:p>
        </w:tc>
      </w:tr>
      <w:tr>
        <w:tc>
          <w:tcPr>
            <w:tcW w:type="dxa" w:w="2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4</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Prophetic interaction with the contemporary world</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Read the signs of the times; respond to today’s issues</w:t>
            </w:r>
          </w:p>
        </w:tc>
        <w:tc>
          <w:tcPr>
            <w:tcW w:type="dxa" w:w="23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Does your community have a position on migration, bonded labour, or ecological devastation in Bengal?</w:t>
            </w:r>
          </w:p>
        </w:tc>
      </w:tr>
      <w:tr>
        <w:tc>
          <w:tcPr>
            <w:tcW w:type="dxa" w:w="2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5</w:t>
            </w:r>
          </w:p>
        </w:tc>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Following of Christ as the primary goal</w:t>
            </w:r>
          </w:p>
        </w:tc>
        <w:tc>
          <w:tcPr>
            <w:tcW w:type="dxa" w:w="2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Not institutional efficiency — discipleship</w:t>
            </w:r>
          </w:p>
        </w:tc>
        <w:tc>
          <w:tcPr>
            <w:tcW w:type="dxa" w:w="23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What does your community’s schedule reveal about what you actually value?</w:t>
            </w:r>
          </w:p>
        </w:tc>
      </w:tr>
    </w:tbl>
    <w:p>
      <w:pPr>
        <w:spacing w:before="0" w:after="120"/>
      </w:pPr>
      <w:r>
        <w:t xml:space="preserve"/>
      </w:r>
    </w:p>
    <w:p>
      <w:pPr>
        <w:spacing w:before="80" w:after="120" w:line="280"/>
        <w:jc w:val="both"/>
      </w:pPr>
      <w:r>
        <w:rPr>
          <w:rFonts w:ascii="Garamond" w:cs="Garamond" w:eastAsia="Garamond" w:hAnsi="Garamond"/>
          <w:b w:val="false"/>
          <w:bCs w:val="false"/>
          <w:i w:val="false"/>
          <w:iCs w:val="false"/>
          <w:color w:val="3D3D3D"/>
          <w:sz w:val="23"/>
          <w:szCs w:val="23"/>
        </w:rPr>
        <w:t xml:space="preserve">Principle Two deserves particular attention for the Indian context. Many religious congregations in India were founded specifically to serve Dalit, tribal, or poor communities. Perfectae Caritatis §2’s call to return to the founder’s charism poses a direct examination of conscience: If your congregation was founded to educate Dalit girls — and your school’s student body today is overwhelmingly upper-class or upper-caste — have you returned to your charism or departed from it? This is not an accusation. It is the Council asking the question that Fr. Founder or Sr. Foundress would ask.</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VIII. THE SPIRITUALITY OF THE MARKETPLACE: Integration or Bifurcation?</w:t>
      </w:r>
    </w:p>
    <w:p>
      <w:pPr>
        <w:spacing w:before="80" w:after="120" w:line="280"/>
        <w:jc w:val="both"/>
      </w:pPr>
      <w:r>
        <w:rPr>
          <w:rFonts w:ascii="Garamond" w:cs="Garamond" w:eastAsia="Garamond" w:hAnsi="Garamond"/>
          <w:b w:val="false"/>
          <w:bCs w:val="false"/>
          <w:i w:val="false"/>
          <w:iCs w:val="false"/>
          <w:color w:val="3D3D3D"/>
          <w:sz w:val="23"/>
          <w:szCs w:val="23"/>
        </w:rPr>
        <w:t xml:space="preserve">I want now to develop what the source material calls ‘the Spirituality of the Marketplace’ — and here I want to name two opposite failures that both claim, in different ways, to be authentic expressions of Christian life.</w:t>
      </w:r>
    </w:p>
    <w:p>
      <w:pPr>
        <w:pStyle w:val="Heading2"/>
        <w:spacing w:before="280" w:after="120"/>
      </w:pPr>
      <w:r>
        <w:rPr>
          <w:rFonts w:ascii="Arial" w:cs="Arial" w:eastAsia="Arial" w:hAnsi="Arial"/>
          <w:b/>
          <w:bCs/>
          <w:color w:val="2E6DA4"/>
          <w:sz w:val="26"/>
          <w:szCs w:val="26"/>
        </w:rPr>
        <w:t xml:space="preserve">Failure One — Activism: Ministry Without Prayer</w:t>
      </w:r>
    </w:p>
    <w:p>
      <w:pPr>
        <w:spacing w:before="80" w:after="120" w:line="280"/>
        <w:jc w:val="both"/>
      </w:pPr>
      <w:r>
        <w:rPr>
          <w:rFonts w:ascii="Garamond" w:cs="Garamond" w:eastAsia="Garamond" w:hAnsi="Garamond"/>
          <w:b w:val="false"/>
          <w:bCs w:val="false"/>
          <w:i w:val="false"/>
          <w:iCs w:val="false"/>
          <w:color w:val="3D3D3D"/>
          <w:sz w:val="23"/>
          <w:szCs w:val="23"/>
        </w:rPr>
        <w:t xml:space="preserve">The first failure is activism: the person who acts in the apostolate without personal union with God. This is not a description of busy people. It is a description of a particular spiritual pathology: ministry becomes work, work becomes busyness, busyness becomes exhaustion and compassion fatigue, and eventually the abandonment of mission. The activist serves the poor but has no interior life sustaining the service. They are, in the Johannine image, a branch severed from the vine — still producing motion for a season, but no longer producing fruit.</w:t>
      </w:r>
    </w:p>
    <w:p>
      <w:pPr>
        <w:pStyle w:val="Heading2"/>
        <w:spacing w:before="280" w:after="120"/>
      </w:pPr>
      <w:r>
        <w:rPr>
          <w:rFonts w:ascii="Arial" w:cs="Arial" w:eastAsia="Arial" w:hAnsi="Arial"/>
          <w:b/>
          <w:bCs/>
          <w:color w:val="2E6DA4"/>
          <w:sz w:val="26"/>
          <w:szCs w:val="26"/>
        </w:rPr>
        <w:t xml:space="preserve">Failure Two — Pietism: Prayer Without Mission</w:t>
      </w:r>
    </w:p>
    <w:p>
      <w:pPr>
        <w:spacing w:before="80" w:after="120" w:line="280"/>
        <w:jc w:val="both"/>
      </w:pPr>
      <w:r>
        <w:rPr>
          <w:rFonts w:ascii="Garamond" w:cs="Garamond" w:eastAsia="Garamond" w:hAnsi="Garamond"/>
          <w:b w:val="false"/>
          <w:bCs w:val="false"/>
          <w:i w:val="false"/>
          <w:iCs w:val="false"/>
          <w:color w:val="3D3D3D"/>
          <w:sz w:val="23"/>
          <w:szCs w:val="23"/>
        </w:rPr>
        <w:t xml:space="preserve">The second failure is pietism: the person who maintains a rich interior spiritual life entirely disconnected from apostolic engagement. Extensive prayer, regular retreats, deep devotion — but no real encounter with the poor, the marginalised, the suffering of the world. The pietist keeps God safely in the chapel while the world burns outside. Gaudium et Spes §1 indicts this position directly: ‘The joys and hopes, the griefs and anxieties of the people of this age, especially those who are poor or in any way afflicted — these are the joys and hopes, the griefs and anxieties of the followers of Christ.’ A Christian who does not share the griefs and anxieties of the poor is not a follower of Christ in the sense Vatican II intends.</w:t>
      </w:r>
    </w:p>
    <w:p>
      <w:pPr>
        <w:pStyle w:val="Heading2"/>
        <w:spacing w:before="280" w:after="120"/>
      </w:pPr>
      <w:r>
        <w:rPr>
          <w:rFonts w:ascii="Arial" w:cs="Arial" w:eastAsia="Arial" w:hAnsi="Arial"/>
          <w:b/>
          <w:bCs/>
          <w:color w:val="2E6DA4"/>
          <w:sz w:val="26"/>
          <w:szCs w:val="26"/>
        </w:rPr>
        <w:t xml:space="preserve">The Vatican II Synthesis: Prayer and Apostolate as In-Breath and Out-Breath</w:t>
      </w:r>
    </w:p>
    <w:p>
      <w:pPr>
        <w:spacing w:before="80" w:after="120" w:line="280"/>
        <w:jc w:val="both"/>
      </w:pPr>
      <w:r>
        <w:rPr>
          <w:rFonts w:ascii="Garamond" w:cs="Garamond" w:eastAsia="Garamond" w:hAnsi="Garamond"/>
          <w:b w:val="false"/>
          <w:bCs w:val="false"/>
          <w:i w:val="false"/>
          <w:iCs w:val="false"/>
          <w:color w:val="3D3D3D"/>
          <w:sz w:val="23"/>
          <w:szCs w:val="23"/>
        </w:rPr>
        <w:t xml:space="preserve">Vatican II’s synthesis is not a compromise between these two failures. It is the refusal of the framework that generates them. Prayer and apostolate are not alternatives between which the spiritual person must choose. They are two co-equal expressions of the same holiness — the in-breath and the out-breath of Christian life. The depth of prayer enables the depth of engagement. The depth of engagement deepens prayer. They are organically connected.</w:t>
      </w:r>
    </w:p>
    <w:p>
      <w:pPr>
        <w:spacing w:before="80" w:after="120" w:line="280"/>
        <w:jc w:val="both"/>
      </w:pPr>
      <w:r>
        <w:rPr>
          <w:rFonts w:ascii="Garamond" w:cs="Garamond" w:eastAsia="Garamond" w:hAnsi="Garamond"/>
          <w:b w:val="false"/>
          <w:bCs w:val="false"/>
          <w:i w:val="false"/>
          <w:iCs w:val="false"/>
          <w:color w:val="3D3D3D"/>
          <w:sz w:val="23"/>
          <w:szCs w:val="23"/>
        </w:rPr>
        <w:t xml:space="preserve">The model the course text offers here is, I think, exactly right: Mother Teresa of Calcutta. She was ‘set apart to be a part’. Set apart: vowed religious, consecrated life, intense daily Eucharist and prayer. A part: physically present among the dying, the destitute, the abandoned — inside their suffering, not managing it from a distance. The depth of her prayer enabled the depth of her engagement. The depth of her engagement deepened her prayer.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Formation Note for West Bengal — The Two Formations We Produce</w:t>
            </w:r>
          </w:p>
          <w:p>
            <w:pPr>
              <w:spacing w:before="60" w:after="60" w:line="260"/>
              <w:jc w:val="both"/>
            </w:pPr>
            <w:r>
              <w:rPr>
                <w:rFonts w:ascii="Garamond" w:cs="Garamond" w:eastAsia="Garamond" w:hAnsi="Garamond"/>
                <w:b w:val="false"/>
                <w:bCs w:val="false"/>
                <w:i w:val="false"/>
                <w:iCs w:val="false"/>
                <w:color w:val="333333"/>
                <w:sz w:val="22"/>
                <w:szCs w:val="22"/>
              </w:rPr>
              <w:t xml:space="preserve">Indian seminary and religious formation programmes sometimes produce graduates who are very good at one or the other: strong in devotion but disengaged from social reality (excellent liturgical ministers, deeply personal prayer life, but uncomfortable with actual poverty and unable to engage socio-political realities); or strongly activist but spiritually thin (deeply engaged in development work and justice, but prayer life and theological reflection have become casualties of overwork).</w:t>
            </w:r>
          </w:p>
          <w:p>
            <w:pPr>
              <w:spacing w:before="60" w:after="60" w:line="260"/>
              <w:jc w:val="both"/>
            </w:pPr>
            <w:r>
              <w:rPr>
                <w:rFonts w:ascii="Garamond" w:cs="Garamond" w:eastAsia="Garamond" w:hAnsi="Garamond"/>
                <w:b w:val="false"/>
                <w:bCs w:val="false"/>
                <w:i w:val="false"/>
                <w:iCs w:val="false"/>
                <w:color w:val="333333"/>
                <w:sz w:val="22"/>
                <w:szCs w:val="22"/>
              </w:rPr>
              <w:t xml:space="preserve">Vatican II says both are failures. The formation programme that produces one without the other has failed its students and failed the Church. The examination of conscience for formators is direct: which of the two forms of failure is your programme more likely to produce — and what structural changes would correct it?</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IX. NOSTRA AETATE: Holiness Across Traditions — Dialogue as Theological Duty</w:t>
      </w:r>
    </w:p>
    <w:p>
      <w:pPr>
        <w:spacing w:before="80" w:after="120" w:line="280"/>
        <w:jc w:val="both"/>
      </w:pPr>
      <w:r>
        <w:rPr>
          <w:rFonts w:ascii="Garamond" w:cs="Garamond" w:eastAsia="Garamond" w:hAnsi="Garamond"/>
          <w:b w:val="false"/>
          <w:bCs w:val="false"/>
          <w:i w:val="false"/>
          <w:iCs w:val="false"/>
          <w:color w:val="3D3D3D"/>
          <w:sz w:val="23"/>
          <w:szCs w:val="23"/>
        </w:rPr>
        <w:t xml:space="preserve">Let me turn now to Nostra Aetate — the Declaration on the Church’s Relation to Non-Christian Religions — and read it in conversation with the universal call to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The foundational statement of NA §2 is worth reading with care: ‘The Catholic Church rejects nothing that is true and holy in these religions. The Church looks with sincere reverence upon those ways of conduct and of life, those precepts and teachings which, though differing in many aspects from the ones she holds and sets forth, nonetheless often reflect a ray of that Truth which enlightens all men.’</w:t>
      </w:r>
    </w:p>
    <w:p>
      <w:pPr>
        <w:spacing w:before="80" w:after="120" w:line="280"/>
        <w:jc w:val="both"/>
      </w:pPr>
      <w:r>
        <w:rPr>
          <w:rFonts w:ascii="Garamond" w:cs="Garamond" w:eastAsia="Garamond" w:hAnsi="Garamond"/>
          <w:b w:val="false"/>
          <w:bCs w:val="false"/>
          <w:i w:val="false"/>
          <w:iCs w:val="false"/>
          <w:color w:val="3D3D3D"/>
          <w:sz w:val="23"/>
          <w:szCs w:val="23"/>
        </w:rPr>
        <w:t xml:space="preserve">This is an extraordinary theological move. The Church does not merely tolerate non-Christian religions. It looks with sincere reverence upon what is true and holy in them. The Latin here is sincerum reverentiam — genuine, not performative, reverence. This reverence is not conditional on whether the other religion agrees with Catholic doctrine. It is reverence for the ‘ray of that Truth’ that the Church recognises as present, however partially, in human traditions across the world.</w:t>
      </w:r>
    </w:p>
    <w:p>
      <w:pPr>
        <w:pStyle w:val="Heading2"/>
        <w:spacing w:before="280" w:after="120"/>
      </w:pPr>
      <w:r>
        <w:rPr>
          <w:rFonts w:ascii="Arial" w:cs="Arial" w:eastAsia="Arial" w:hAnsi="Arial"/>
          <w:b/>
          <w:bCs/>
          <w:color w:val="2E6DA4"/>
          <w:sz w:val="26"/>
          <w:szCs w:val="26"/>
        </w:rPr>
        <w:t xml:space="preserve">Specific Recognition of Indian Traditions</w:t>
      </w:r>
    </w:p>
    <w:p>
      <w:pPr>
        <w:spacing w:before="80" w:after="120" w:line="280"/>
        <w:jc w:val="both"/>
      </w:pPr>
      <w:r>
        <w:rPr>
          <w:rFonts w:ascii="Garamond" w:cs="Garamond" w:eastAsia="Garamond" w:hAnsi="Garamond"/>
          <w:b w:val="false"/>
          <w:bCs w:val="false"/>
          <w:i w:val="false"/>
          <w:iCs w:val="false"/>
          <w:color w:val="3D3D3D"/>
          <w:sz w:val="23"/>
          <w:szCs w:val="23"/>
        </w:rPr>
        <w:t xml:space="preserve">Nostra Aetate is specific about Hinduism and Buddhism in ways that are immediately relevant to the theological student preparing for ministry in West Bengal.</w:t>
      </w:r>
    </w:p>
    <w:p>
      <w:pPr>
        <w:spacing w:before="80" w:after="120" w:line="280"/>
        <w:jc w:val="both"/>
      </w:pPr>
      <w:r>
        <w:rPr>
          <w:rFonts w:ascii="Garamond" w:cs="Garamond" w:eastAsia="Garamond" w:hAnsi="Garamond"/>
          <w:b w:val="false"/>
          <w:bCs w:val="false"/>
          <w:i w:val="false"/>
          <w:iCs w:val="false"/>
          <w:color w:val="3D3D3D"/>
          <w:sz w:val="23"/>
          <w:szCs w:val="23"/>
        </w:rPr>
        <w:t xml:space="preserve">On Hinduism: NA §2 recognises the tradition’s contemplation of the divine mystery, its exploration of freedom through ascetical practices (tapas), profound meditation (dhyana), and love and trust toward God (bhakti). These are not described as inferior approximations of Christian prayer. They are described as genuine human responses to the mystery of the divine.</w:t>
      </w:r>
    </w:p>
    <w:p>
      <w:pPr>
        <w:spacing w:before="80" w:after="120" w:line="280"/>
        <w:jc w:val="both"/>
      </w:pPr>
      <w:r>
        <w:rPr>
          <w:rFonts w:ascii="Garamond" w:cs="Garamond" w:eastAsia="Garamond" w:hAnsi="Garamond"/>
          <w:b w:val="false"/>
          <w:bCs w:val="false"/>
          <w:i w:val="false"/>
          <w:iCs w:val="false"/>
          <w:color w:val="3D3D3D"/>
          <w:sz w:val="23"/>
          <w:szCs w:val="23"/>
        </w:rPr>
        <w:t xml:space="preserve">On Buddhism: the document recognises its engagement with the radical insufficiency of the changeable world (anicca — impermanence) and the path toward perfect liberation (Nibbana) or supreme illumination. Again: the Council’s stance is not condescension. It is theological respect for a tradition that has pursued, through different means, what the Christian tradition calls the beatific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What Nostra Aetate Demands in Practice</w:t>
            </w:r>
          </w:p>
          <w:p>
            <w:pPr>
              <w:spacing w:before="60" w:after="60" w:line="260"/>
              <w:jc w:val="both"/>
            </w:pPr>
            <w:r>
              <w:rPr>
                <w:rFonts w:ascii="Garamond" w:cs="Garamond" w:eastAsia="Garamond" w:hAnsi="Garamond"/>
                <w:b w:val="false"/>
                <w:bCs w:val="false"/>
                <w:i w:val="false"/>
                <w:iCs w:val="false"/>
                <w:color w:val="333333"/>
                <w:sz w:val="22"/>
                <w:szCs w:val="22"/>
              </w:rPr>
              <w:t xml:space="preserve">A Catholic priest entering a Hindu family’s home for pastoral care should come with respectful curiosity about their spiritual life — not automatic religious superiority. The question ‘How does your family pray?’ is not a pastoral nicety. It is a Nostra Aetate imperative.</w:t>
            </w:r>
          </w:p>
          <w:p>
            <w:pPr>
              <w:spacing w:before="60" w:after="60" w:line="260"/>
              <w:jc w:val="both"/>
            </w:pPr>
            <w:r>
              <w:rPr>
                <w:rFonts w:ascii="Garamond" w:cs="Garamond" w:eastAsia="Garamond" w:hAnsi="Garamond"/>
                <w:b w:val="false"/>
                <w:bCs w:val="false"/>
                <w:i w:val="false"/>
                <w:iCs w:val="false"/>
                <w:color w:val="333333"/>
                <w:sz w:val="22"/>
                <w:szCs w:val="22"/>
              </w:rPr>
              <w:t xml:space="preserve">A theology student preparing for ministry in a religiously plural district of Bengal (most of Bengal is religiously plural) should have substantive knowledge of Hindu and Buddhist traditions as genuine spiritual paths — not merely as objects of eventual evangelisation.</w:t>
            </w:r>
          </w:p>
          <w:p>
            <w:pPr>
              <w:spacing w:before="60" w:after="60" w:line="260"/>
              <w:jc w:val="both"/>
            </w:pPr>
            <w:r>
              <w:rPr>
                <w:rFonts w:ascii="Garamond" w:cs="Garamond" w:eastAsia="Garamond" w:hAnsi="Garamond"/>
                <w:b w:val="false"/>
                <w:bCs w:val="false"/>
                <w:i w:val="false"/>
                <w:iCs w:val="false"/>
                <w:color w:val="333333"/>
                <w:sz w:val="22"/>
                <w:szCs w:val="22"/>
              </w:rPr>
              <w:t xml:space="preserve">The Church’s dialogue with Ramakrishna Mission, with Tagore’s Brahmo spiritual tradition, with tribal animist communities — all are theologically grounded in Nostra Aetate. These are not pastoral experiments. They are Council directives.</w:t>
            </w:r>
          </w:p>
        </w:tc>
      </w:tr>
    </w:tbl>
    <w:p>
      <w:pPr>
        <w:spacing w:before="80" w:after="120" w:line="280"/>
        <w:jc w:val="both"/>
      </w:pPr>
      <w:r>
        <w:rPr>
          <w:rFonts w:ascii="Garamond" w:cs="Garamond" w:eastAsia="Garamond" w:hAnsi="Garamond"/>
          <w:b w:val="false"/>
          <w:bCs w:val="false"/>
          <w:i w:val="false"/>
          <w:iCs w:val="false"/>
          <w:color w:val="3D3D3D"/>
          <w:sz w:val="23"/>
          <w:szCs w:val="23"/>
        </w:rPr>
        <w:t xml:space="preserve">One clarification is necessary. Nostra Aetate does not collapse into a pluralism that treats all religious claims as equally valid or as interchangeable paths to the same destination. The document maintains the Church’s missionary self-understanding. It calls Catholics to dialogue and collaboration precisely in order to ‘preserve and promote their spiritual and moral values.’ And it maintains the proclamation that in Christ is found ‘the fullness of religious life.’ The balance the Council achieves is: sincere reverence + genuine dialogue + continued proclamation. Not one of these at the expense of the others.</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 SACROSANCTUM CONCILIUM: Liturgy as Source and Summit</w:t>
      </w:r>
    </w:p>
    <w:p>
      <w:pPr>
        <w:spacing w:before="80" w:after="120" w:line="280"/>
        <w:jc w:val="both"/>
      </w:pPr>
      <w:r>
        <w:rPr>
          <w:rFonts w:ascii="Garamond" w:cs="Garamond" w:eastAsia="Garamond" w:hAnsi="Garamond"/>
          <w:b w:val="false"/>
          <w:bCs w:val="false"/>
          <w:i w:val="false"/>
          <w:iCs w:val="false"/>
          <w:color w:val="3D3D3D"/>
          <w:sz w:val="23"/>
          <w:szCs w:val="23"/>
        </w:rPr>
        <w:t xml:space="preserve">We come now to the fourth major document in our unit: Sacrosanctum Concilium, the Constitution on the Sacred Liturgy. Its central claim is stated in SC §10, a sentence I would ask every student to commit to memory:</w:t>
      </w:r>
    </w:p>
    <w:p>
      <w:pPr>
        <w:pBdr>
          <w:left w:val="thick" w:color="2E6DA4" w:sz="20"/>
        </w:pBdr>
        <w:spacing w:before="160" w:after="160" w:line="280"/>
        <w:ind w:left="720" w:right="720"/>
        <w:jc w:val="both"/>
      </w:pPr>
      <w:r>
        <w:rPr>
          <w:rFonts w:ascii="Garamond" w:cs="Garamond" w:eastAsia="Garamond" w:hAnsi="Garamond"/>
          <w:i/>
          <w:iCs/>
          <w:color w:val="444444"/>
          <w:sz w:val="22"/>
          <w:szCs w:val="22"/>
        </w:rPr>
        <w:t xml:space="preserve">“‘The liturgy is the summit toward which the activity of the Church is directed; at the same time it is the font from which all her power flows.’”</w:t>
      </w:r>
      <w:r>
        <w:rPr>
          <w:rFonts w:ascii="Garamond" w:cs="Garamond" w:eastAsia="Garamond" w:hAnsi="Garamond"/>
          <w:b/>
          <w:bCs/>
          <w:color w:val="1B3A5C"/>
          <w:sz w:val="20"/>
          <w:szCs w:val="20"/>
        </w:rPr>
        <w:br/>
        <w:t xml:space="preserve">
— Sacrosanctum Concilium §10</w:t>
      </w:r>
    </w:p>
    <w:p>
      <w:pPr>
        <w:spacing w:before="80" w:after="120" w:line="280"/>
        <w:jc w:val="both"/>
      </w:pPr>
      <w:r>
        <w:rPr>
          <w:rFonts w:ascii="Garamond" w:cs="Garamond" w:eastAsia="Garamond" w:hAnsi="Garamond"/>
          <w:b w:val="false"/>
          <w:bCs w:val="false"/>
          <w:i w:val="false"/>
          <w:iCs w:val="false"/>
          <w:color w:val="3D3D3D"/>
          <w:sz w:val="23"/>
          <w:szCs w:val="23"/>
        </w:rPr>
        <w:t xml:space="preserve">Let me unpack these two directional metaphors with precision, because they are frequently misunderstood in opposite ways.</w:t>
      </w:r>
    </w:p>
    <w:p>
      <w:pPr>
        <w:spacing w:before="80" w:after="120" w:line="280"/>
        <w:jc w:val="both"/>
      </w:pPr>
      <w:r>
        <w:rPr>
          <w:rFonts w:ascii="Garamond" w:cs="Garamond" w:eastAsia="Garamond" w:hAnsi="Garamond"/>
          <w:b w:val="false"/>
          <w:bCs w:val="false"/>
          <w:i w:val="false"/>
          <w:iCs w:val="false"/>
          <w:color w:val="3D3D3D"/>
          <w:sz w:val="23"/>
          <w:szCs w:val="23"/>
        </w:rPr>
        <w:t xml:space="preserve">The liturgy as summit: this means that all of the Church’s activity — its social work, its evangelisation, its educational ministry, its advocacy for justice — is directed toward the liturgy as its culmination and ultimate meaning. The life of Christian discipleship, lived through the week in the conditions of work and family and public engagement, finds its highest expression and its deepest interpretation in the gathered community’s act of worship.</w:t>
      </w:r>
    </w:p>
    <w:p>
      <w:pPr>
        <w:spacing w:before="80" w:after="120" w:line="280"/>
        <w:jc w:val="both"/>
      </w:pPr>
      <w:r>
        <w:rPr>
          <w:rFonts w:ascii="Garamond" w:cs="Garamond" w:eastAsia="Garamond" w:hAnsi="Garamond"/>
          <w:b w:val="false"/>
          <w:bCs w:val="false"/>
          <w:i w:val="false"/>
          <w:iCs w:val="false"/>
          <w:color w:val="3D3D3D"/>
          <w:sz w:val="23"/>
          <w:szCs w:val="23"/>
        </w:rPr>
        <w:t xml:space="preserve">The liturgy as font: this means that all of the Church’s activity flows from the liturgy, energised and shaped and motivated by what happens in liturgical celebration. The Sunday Eucharist is not a conclusion to the week of holy living. It is the source of energy for the next week. The community gathers its scattered holiness, offers it to God, and receives renewed capacity for the life of discipleship.</w:t>
      </w:r>
    </w:p>
    <w:p>
      <w:pPr>
        <w:spacing w:before="80" w:after="120" w:line="280"/>
        <w:jc w:val="both"/>
      </w:pPr>
      <w:r>
        <w:rPr>
          <w:rFonts w:ascii="Garamond" w:cs="Garamond" w:eastAsia="Garamond" w:hAnsi="Garamond"/>
          <w:b w:val="false"/>
          <w:bCs w:val="false"/>
          <w:i w:val="false"/>
          <w:iCs w:val="false"/>
          <w:color w:val="3D3D3D"/>
          <w:sz w:val="23"/>
          <w:szCs w:val="23"/>
        </w:rPr>
        <w:t xml:space="preserve">These two metaphors together rule out two opposite errors. The error of liturgism: treating liturgy as self-sufficient, as though participation in worship exempts the Christian from engagement with the world. And the error of activism: treating the Church’s social and justice work as self-sufficient, as though it does not need the sustenance of worship and sacramental life.</w:t>
      </w:r>
    </w:p>
    <w:p>
      <w:pPr>
        <w:pStyle w:val="Heading2"/>
        <w:spacing w:before="280" w:after="120"/>
      </w:pPr>
      <w:r>
        <w:rPr>
          <w:rFonts w:ascii="Arial" w:cs="Arial" w:eastAsia="Arial" w:hAnsi="Arial"/>
          <w:b/>
          <w:bCs/>
          <w:color w:val="2E6DA4"/>
          <w:sz w:val="26"/>
          <w:szCs w:val="26"/>
        </w:rPr>
        <w:t xml:space="preserve">The Four Modes of Christ’s Presence in the Liturgy</w:t>
      </w:r>
    </w:p>
    <w:p>
      <w:pPr>
        <w:spacing w:before="80" w:after="120" w:line="280"/>
        <w:jc w:val="both"/>
      </w:pPr>
      <w:r>
        <w:rPr>
          <w:rFonts w:ascii="Garamond" w:cs="Garamond" w:eastAsia="Garamond" w:hAnsi="Garamond"/>
          <w:b w:val="false"/>
          <w:bCs w:val="false"/>
          <w:i w:val="false"/>
          <w:iCs w:val="false"/>
          <w:color w:val="3D3D3D"/>
          <w:sz w:val="23"/>
          <w:szCs w:val="23"/>
        </w:rPr>
        <w:t xml:space="preserve">SC §7 identifies four specific modes in which Christ is present in the liturgical celebration. Each has implications for how we understand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First: Christ is present in the minister, especially the priest celebrating the Eucharist in persona Christi. Second: Christ is present in the Eucharistic species under the forms of bread and wine. Third: and this one is often underemphasised — Christ is present in the proclaimed Word. As the Council puts it: ‘When the Scriptures are read in Church, it is He Himself who speaks.’ Fourth: Christ is present ‘when the Church prays and sings’ — in the gathered praying assembly.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The Theological Foundation of Inculturation</w:t>
            </w:r>
          </w:p>
          <w:p>
            <w:pPr>
              <w:spacing w:before="60" w:after="60" w:line="260"/>
              <w:jc w:val="both"/>
            </w:pPr>
            <w:r>
              <w:rPr>
                <w:rFonts w:ascii="Garamond" w:cs="Garamond" w:eastAsia="Garamond" w:hAnsi="Garamond"/>
                <w:b w:val="false"/>
                <w:bCs w:val="false"/>
                <w:i w:val="false"/>
                <w:iCs w:val="false"/>
                <w:color w:val="333333"/>
                <w:sz w:val="22"/>
                <w:szCs w:val="22"/>
              </w:rPr>
              <w:t xml:space="preserve">The fourth mode of presence — Christ present when the Church prays and sings — is the theological foundation for inculturated Indian liturgical forms. When Bengali devotional music (kirtan) is offered in the Mass, Christ is present in that prayer. When Adivasi rhythmic instruments accompany the Eucharist in a tribal parish in Purulia, Christ is present in that prayer. When women’s voices lead the responsorial psalm in a matrilinear Khasi community, Christ is present in that prayer.</w:t>
            </w:r>
          </w:p>
          <w:p>
            <w:pPr>
              <w:spacing w:before="60" w:after="60" w:line="260"/>
              <w:jc w:val="both"/>
            </w:pPr>
            <w:r>
              <w:rPr>
                <w:rFonts w:ascii="Garamond" w:cs="Garamond" w:eastAsia="Garamond" w:hAnsi="Garamond"/>
                <w:b w:val="false"/>
                <w:bCs w:val="false"/>
                <w:i w:val="false"/>
                <w:iCs w:val="false"/>
                <w:color w:val="333333"/>
                <w:sz w:val="22"/>
                <w:szCs w:val="22"/>
              </w:rPr>
              <w:t xml:space="preserve">No cultural form of genuine prayer is excluded from Christ’s presence. SC does not merely permit inculturation. It makes inculturation a theological requirement: if Christ is present when the Church prays and sings, then the Church must pray and sing in forms that are authentically the Church’s own — and for the Church in West Bengal, this means forms that arise from Bengali, Santali, Oraon, and other cultural traditions of this region.</w:t>
            </w:r>
          </w:p>
        </w:tc>
      </w:tr>
    </w:tbl>
    <w:p>
      <w:pPr>
        <w:pStyle w:val="Heading2"/>
        <w:spacing w:before="280" w:after="120"/>
      </w:pPr>
      <w:r>
        <w:rPr>
          <w:rFonts w:ascii="Arial" w:cs="Arial" w:eastAsia="Arial" w:hAnsi="Arial"/>
          <w:b/>
          <w:bCs/>
          <w:color w:val="2E6DA4"/>
          <w:sz w:val="26"/>
          <w:szCs w:val="26"/>
        </w:rPr>
        <w:t xml:space="preserve">Full, Conscious, and Active Participation</w:t>
      </w:r>
    </w:p>
    <w:p>
      <w:pPr>
        <w:spacing w:before="80" w:after="120" w:line="280"/>
        <w:jc w:val="both"/>
      </w:pPr>
      <w:r>
        <w:rPr>
          <w:rFonts w:ascii="Garamond" w:cs="Garamond" w:eastAsia="Garamond" w:hAnsi="Garamond"/>
          <w:b w:val="false"/>
          <w:bCs w:val="false"/>
          <w:i w:val="false"/>
          <w:iCs w:val="false"/>
          <w:color w:val="3D3D3D"/>
          <w:sz w:val="23"/>
          <w:szCs w:val="23"/>
        </w:rPr>
        <w:t xml:space="preserve">SC §14 contains what is, for the Church’s pastoral life, one of its most demanding directives: ‘The Church earnestly desires that all the faithful should be led to that full, conscious, and active participation in liturgical celebrations which is demanded by the very nature of the liturgy.’</w:t>
      </w:r>
    </w:p>
    <w:p>
      <w:pPr>
        <w:spacing w:before="80" w:after="120" w:line="280"/>
        <w:jc w:val="both"/>
      </w:pPr>
      <w:r>
        <w:rPr>
          <w:rFonts w:ascii="Garamond" w:cs="Garamond" w:eastAsia="Garamond" w:hAnsi="Garamond"/>
          <w:b w:val="false"/>
          <w:bCs w:val="false"/>
          <w:i w:val="false"/>
          <w:iCs w:val="false"/>
          <w:color w:val="3D3D3D"/>
          <w:sz w:val="23"/>
          <w:szCs w:val="23"/>
        </w:rPr>
        <w:t xml:space="preserve">Three adjectives: full (nothing withheld — body, mind, heart, voice, all engaged), conscious (understanding what is happening and why), active (not passive watching but genuine participation in prayer, response, movement, and song). These three adjectives are not a pastoral ideal. They are a demand arising from ‘the very nature of the liturgy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2737" w:sz="4"/>
              <w:left w:val="thick" w:color="6B2737" w:sz="24"/>
              <w:bottom w:val="single" w:color="6B2737" w:sz="4"/>
              <w:right w:val="none" w:color="FFFFFF" w:sz="0"/>
            </w:tcBorders>
            <w:shd w:fill="FFF3F3" w:val="clear"/>
            <w:tcMar>
              <w:top w:type="dxa" w:w="100"/>
              <w:left w:type="dxa" w:w="200"/>
              <w:bottom w:type="dxa" w:w="100"/>
              <w:right w:type="dxa" w:w="200"/>
            </w:tcMar>
          </w:tcPr>
          <w:p>
            <w:pPr>
              <w:spacing w:before="60" w:after="60" w:line="260"/>
              <w:jc w:val="both"/>
            </w:pPr>
            <w:r>
              <w:rPr>
                <w:rFonts w:ascii="Garamond" w:cs="Garamond" w:eastAsia="Garamond" w:hAnsi="Garamond"/>
                <w:b/>
                <w:bCs/>
                <w:i/>
                <w:iCs/>
                <w:color w:val="6B2737"/>
                <w:sz w:val="22"/>
                <w:szCs w:val="22"/>
              </w:rPr>
              <w:t xml:space="preserve">West Bengal — What Prevents Full, Conscious, Active Participation</w:t>
            </w:r>
          </w:p>
          <w:p>
            <w:pPr>
              <w:spacing w:before="60" w:after="60" w:line="260"/>
              <w:jc w:val="both"/>
            </w:pPr>
            <w:r>
              <w:rPr>
                <w:rFonts w:ascii="Garamond" w:cs="Garamond" w:eastAsia="Garamond" w:hAnsi="Garamond"/>
                <w:b w:val="false"/>
                <w:bCs w:val="false"/>
                <w:i w:val="false"/>
                <w:iCs w:val="false"/>
                <w:color w:val="333333"/>
                <w:sz w:val="22"/>
                <w:szCs w:val="22"/>
              </w:rPr>
              <w:t xml:space="preserve">Language barriers: liturgy in a language the community does not speak or understand. Cultural forms: liturgy designed for European aesthetic sensibilities imposed on Indian communities. Social hierarchy: reserved front pews for parish notables; Dalit parishioners effectively segregated by social custom. Structural passivity: Mass experienced as a performance by the priest while the congregation watches.</w:t>
            </w:r>
          </w:p>
          <w:p>
            <w:pPr>
              <w:spacing w:before="60" w:after="60" w:line="260"/>
              <w:jc w:val="both"/>
            </w:pPr>
            <w:r>
              <w:rPr>
                <w:rFonts w:ascii="Garamond" w:cs="Garamond" w:eastAsia="Garamond" w:hAnsi="Garamond"/>
                <w:b w:val="false"/>
                <w:bCs w:val="false"/>
                <w:i w:val="false"/>
                <w:iCs w:val="false"/>
                <w:color w:val="333333"/>
                <w:sz w:val="22"/>
                <w:szCs w:val="22"/>
              </w:rPr>
              <w:t xml:space="preserve">Vatican II’s insistence on full, conscious, active participation is an indictment of each of these practices — not as minor pastoral inconveniences but as failures against the nature of the liturgy itself. A diocese that takes SC §14 seriously must examine its liturgical practice in every parish for these structural barriers and work programmatically to remove them.</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XI. APPLYING UNIT 4 TO THE WEST BENGAL CONTEXT: Five Structural Demands</w:t>
      </w:r>
    </w:p>
    <w:p>
      <w:pPr>
        <w:spacing w:before="80" w:after="120" w:line="280"/>
        <w:jc w:val="both"/>
      </w:pPr>
      <w:r>
        <w:rPr>
          <w:rFonts w:ascii="Garamond" w:cs="Garamond" w:eastAsia="Garamond" w:hAnsi="Garamond"/>
          <w:b w:val="false"/>
          <w:bCs w:val="false"/>
          <w:i w:val="false"/>
          <w:iCs w:val="false"/>
          <w:color w:val="3D3D3D"/>
          <w:sz w:val="23"/>
          <w:szCs w:val="23"/>
        </w:rPr>
        <w:t xml:space="preserve">Let me now draw together the theological resources we have developed and apply them concretely to the socio-political realities of West Bengal. I want to identify five specific structural demands that follow from the Council’s teaching — not as pastoral options but as theological imperatives.</w:t>
      </w:r>
    </w:p>
    <w:p>
      <w:pPr>
        <w:pStyle w:val="Heading2"/>
        <w:spacing w:before="280" w:after="120"/>
      </w:pPr>
      <w:r>
        <w:rPr>
          <w:rFonts w:ascii="Arial" w:cs="Arial" w:eastAsia="Arial" w:hAnsi="Arial"/>
          <w:b/>
          <w:bCs/>
          <w:color w:val="2E6DA4"/>
          <w:sz w:val="26"/>
          <w:szCs w:val="26"/>
        </w:rPr>
        <w:t xml:space="preserve">1. Dalit Issues: Holiness and Caste Discrimination</w:t>
      </w:r>
    </w:p>
    <w:p>
      <w:pPr>
        <w:spacing w:before="80" w:after="120" w:line="280"/>
        <w:jc w:val="both"/>
      </w:pPr>
      <w:r>
        <w:rPr>
          <w:rFonts w:ascii="Garamond" w:cs="Garamond" w:eastAsia="Garamond" w:hAnsi="Garamond"/>
          <w:b w:val="false"/>
          <w:bCs w:val="false"/>
          <w:i w:val="false"/>
          <w:iCs w:val="false"/>
          <w:color w:val="3D3D3D"/>
          <w:sz w:val="23"/>
          <w:szCs w:val="23"/>
        </w:rPr>
        <w:t xml:space="preserve">The universal call to holiness declares every person — regardless of caste — called to the fullness of divine life. This makes caste discrimination within the Church not merely a social failure but a theological heresy. It denies in practice what Baptism declares in principle. It contradicts LG §32: ‘Distinction of sexes or race is no reason for discrimination.’ It suppresses charisms the Spirit has given (Unit 3) to persons the institution treats as inferior. It reproduces, inside the Body of Christ, the very social death from which the Paschal Mystery promises resurrection.</w:t>
      </w:r>
    </w:p>
    <w:p>
      <w:pPr>
        <w:spacing w:before="80" w:after="120" w:line="280"/>
        <w:jc w:val="both"/>
      </w:pPr>
      <w:r>
        <w:rPr>
          <w:rFonts w:ascii="Garamond" w:cs="Garamond" w:eastAsia="Garamond" w:hAnsi="Garamond"/>
          <w:b w:val="false"/>
          <w:bCs w:val="false"/>
          <w:i w:val="false"/>
          <w:iCs w:val="false"/>
          <w:color w:val="3D3D3D"/>
          <w:sz w:val="23"/>
          <w:szCs w:val="23"/>
        </w:rPr>
        <w:t xml:space="preserve">The concrete demands follow directly: proportional representation of Dalit Catholics in diocesan governance and seminary leadership; active advocacy for SC reservation status for Dalit Christians, currently denied by Article 341 of the Constitution; examination of Catholic school admission policies that de facto exclude Dalit students; liturgical inclusion — no reserved seating, full participation at every ministerial role.</w:t>
      </w:r>
    </w:p>
    <w:p>
      <w:pPr>
        <w:pStyle w:val="Heading2"/>
        <w:spacing w:before="280" w:after="120"/>
      </w:pPr>
      <w:r>
        <w:rPr>
          <w:rFonts w:ascii="Arial" w:cs="Arial" w:eastAsia="Arial" w:hAnsi="Arial"/>
          <w:b/>
          <w:bCs/>
          <w:color w:val="2E6DA4"/>
          <w:sz w:val="26"/>
          <w:szCs w:val="26"/>
        </w:rPr>
        <w:t xml:space="preserve">2. Migrant Ministry: Holiness on the Move</w:t>
      </w:r>
    </w:p>
    <w:p>
      <w:pPr>
        <w:spacing w:before="80" w:after="120" w:line="280"/>
        <w:jc w:val="both"/>
      </w:pPr>
      <w:r>
        <w:rPr>
          <w:rFonts w:ascii="Garamond" w:cs="Garamond" w:eastAsia="Garamond" w:hAnsi="Garamond"/>
          <w:b w:val="false"/>
          <w:bCs w:val="false"/>
          <w:i w:val="false"/>
          <w:iCs w:val="false"/>
          <w:color w:val="3D3D3D"/>
          <w:sz w:val="23"/>
          <w:szCs w:val="23"/>
        </w:rPr>
        <w:t xml:space="preserve">Migrants do not cease being called to holiness when they cross a state border. The universal call is not geographically bounded. But the conditions of migrant life systematically undermine the five means of holiness that LG §42 identifies: there is no access to a Bengali-language parish in Maharashtra, no Sunday rest in brick kilns, no sacramental life in distant labour camps, no stable community in which to give and receive fraternal service.</w:t>
      </w:r>
    </w:p>
    <w:p>
      <w:pPr>
        <w:spacing w:before="80" w:after="120" w:line="280"/>
        <w:jc w:val="both"/>
      </w:pPr>
      <w:r>
        <w:rPr>
          <w:rFonts w:ascii="Garamond" w:cs="Garamond" w:eastAsia="Garamond" w:hAnsi="Garamond"/>
          <w:b w:val="false"/>
          <w:bCs w:val="false"/>
          <w:i w:val="false"/>
          <w:iCs w:val="false"/>
          <w:color w:val="3D3D3D"/>
          <w:sz w:val="23"/>
          <w:szCs w:val="23"/>
        </w:rPr>
        <w:t xml:space="preserve">The theological demand: migrant chaplaincy and mobile parish ministry that brings the sacraments to where the migrant is, rather than assuming the migrant can come to where the Church is located.</w:t>
      </w:r>
    </w:p>
    <w:p>
      <w:pPr>
        <w:pStyle w:val="Heading2"/>
        <w:spacing w:before="280" w:after="120"/>
      </w:pPr>
      <w:r>
        <w:rPr>
          <w:rFonts w:ascii="Arial" w:cs="Arial" w:eastAsia="Arial" w:hAnsi="Arial"/>
          <w:b/>
          <w:bCs/>
          <w:color w:val="2E6DA4"/>
          <w:sz w:val="26"/>
          <w:szCs w:val="26"/>
        </w:rPr>
        <w:t xml:space="preserve">3. Unemployment and Dignified Labour</w:t>
      </w:r>
    </w:p>
    <w:p>
      <w:pPr>
        <w:spacing w:before="80" w:after="120" w:line="280"/>
        <w:jc w:val="both"/>
      </w:pPr>
      <w:r>
        <w:rPr>
          <w:rFonts w:ascii="Garamond" w:cs="Garamond" w:eastAsia="Garamond" w:hAnsi="Garamond"/>
          <w:b w:val="false"/>
          <w:bCs w:val="false"/>
          <w:i w:val="false"/>
          <w:iCs w:val="false"/>
          <w:color w:val="3D3D3D"/>
          <w:sz w:val="23"/>
          <w:szCs w:val="23"/>
        </w:rPr>
        <w:t xml:space="preserve">LG §41 establishes that workers imitate Christ the Carpenter through their labour. This implies a corollary: access to meaningful, dignified work is not merely an economic right. It is a condition for living out one’s baptismal vocation. When a person is structurally prevented from working, or forced into exploitative conditions, they are being denied a dimension of their baptismal holiness. MGNREGA implementation, resistance to bonded labour, support for cooperative economic models among Dalit and tribal communities — these are not social preferences. They are theological demands.</w:t>
      </w:r>
    </w:p>
    <w:p>
      <w:pPr>
        <w:pStyle w:val="Heading2"/>
        <w:spacing w:before="280" w:after="120"/>
      </w:pPr>
      <w:r>
        <w:rPr>
          <w:rFonts w:ascii="Arial" w:cs="Arial" w:eastAsia="Arial" w:hAnsi="Arial"/>
          <w:b/>
          <w:bCs/>
          <w:color w:val="2E6DA4"/>
          <w:sz w:val="26"/>
          <w:szCs w:val="26"/>
        </w:rPr>
        <w:t xml:space="preserve">4. Taxation and Economic Justice</w:t>
      </w:r>
    </w:p>
    <w:p>
      <w:pPr>
        <w:spacing w:before="80" w:after="120" w:line="280"/>
        <w:jc w:val="both"/>
      </w:pPr>
      <w:r>
        <w:rPr>
          <w:rFonts w:ascii="Garamond" w:cs="Garamond" w:eastAsia="Garamond" w:hAnsi="Garamond"/>
          <w:b w:val="false"/>
          <w:bCs w:val="false"/>
          <w:i w:val="false"/>
          <w:iCs w:val="false"/>
          <w:color w:val="3D3D3D"/>
          <w:sz w:val="23"/>
          <w:szCs w:val="23"/>
        </w:rPr>
        <w:t xml:space="preserve">LG §42 calls for ‘lively fraternal service’ as a means of holiness. In a democratic society, taxation is one of the primary mechanisms of organised fraternal service — pooling resources for common welfare: schools, hospitals, roads, sanitation. Catholic Social Teaching, rooted in Vatican II, demands tax systems that are progressive and directed toward the common good; resistance to tax evasion as a form of theft from the poor; and Church institutions using their tax-exempt status as a trust from the community rather than an institutional privilege.</w:t>
      </w:r>
    </w:p>
    <w:p>
      <w:pPr>
        <w:pStyle w:val="Heading2"/>
        <w:spacing w:before="280" w:after="120"/>
      </w:pPr>
      <w:r>
        <w:rPr>
          <w:rFonts w:ascii="Arial" w:cs="Arial" w:eastAsia="Arial" w:hAnsi="Arial"/>
          <w:b/>
          <w:bCs/>
          <w:color w:val="2E6DA4"/>
          <w:sz w:val="26"/>
          <w:szCs w:val="26"/>
        </w:rPr>
        <w:t xml:space="preserve">5. Poverty: Accompaniment and Structural Change</w:t>
      </w:r>
    </w:p>
    <w:p>
      <w:pPr>
        <w:spacing w:before="80" w:after="120" w:line="280"/>
        <w:jc w:val="both"/>
      </w:pPr>
      <w:r>
        <w:rPr>
          <w:rFonts w:ascii="Garamond" w:cs="Garamond" w:eastAsia="Garamond" w:hAnsi="Garamond"/>
          <w:b w:val="false"/>
          <w:bCs w:val="false"/>
          <w:i w:val="false"/>
          <w:iCs w:val="false"/>
          <w:color w:val="3D3D3D"/>
          <w:sz w:val="23"/>
          <w:szCs w:val="23"/>
        </w:rPr>
        <w:t xml:space="preserve">The dual calling that emerges from LG §41 and GS §69 held together: accompany the poor as persons in whom Christ suffers, with presence, dignity, and sacrament — and simultaneously challenge the structures that produce poverty, with prophetic voice, advocacy, and solidarity. The Church that limits itself to charitable accompaniment without structural advocacy is practising what liberation theologians aptly call Band-Aid theology: treating symptoms while ignoring causes. Vatican II’s vision of holiness — universal, baptismal, incarnational — demands both.</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XII. MARY: Type and Model of Universal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Lumen Gentium’s decision to incorporate its chapter on Mary within the document on the Church — rather than issuing a separate Marian document, as some Council Fathers wished — was a deliberate theological statement. Mary is not above the Church or beside it. She is its supreme member. She models, in her own person, the universal call to holiness in its fullest expression.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jc w:val="center"/>
            </w:pPr>
            <w:r>
              <w:rPr>
                <w:rFonts w:ascii="Arial" w:cs="Arial" w:eastAsia="Arial" w:hAnsi="Arial"/>
                <w:b/>
                <w:bCs/>
                <w:color w:val="1B3A5C"/>
                <w:sz w:val="22"/>
                <w:szCs w:val="22"/>
              </w:rPr>
              <w:t xml:space="preserve">Mary’s Act</w:t>
            </w:r>
          </w:p>
        </w:tc>
        <w:tc>
          <w:tcPr>
            <w:tcW w:type="dxa" w:w="4526"/>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tcPr>
          <w:p>
            <w:pPr>
              <w:jc w:val="center"/>
            </w:pPr>
            <w:r>
              <w:rPr>
                <w:rFonts w:ascii="Arial" w:cs="Arial" w:eastAsia="Arial" w:hAnsi="Arial"/>
                <w:b/>
                <w:bCs/>
                <w:color w:val="1B3A5C"/>
                <w:sz w:val="22"/>
                <w:szCs w:val="22"/>
              </w:rPr>
              <w:t xml:space="preserve">Theological Meaning</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Her Yes to Gabriel — Fiat (Luke 1:38)</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Holiness as response to God’s call, not human initiative. The baptised life begins not with an achievement but with a ‘yes’.</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Her Love in service — Caritas (Luke 1:39–56)</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Holiness as active love: the Visitation, Cana, the Cross. Holiness expressed outward in service, not retained inward in contemplation alone.</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Her Song of justice — Magnificat (Luke 1:46–55)</w:t>
            </w:r>
          </w:p>
        </w:tc>
        <w:tc>
          <w:tcPr>
            <w:tcW w:type="dxa" w:w="45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both"/>
            </w:pPr>
            <w:r>
              <w:rPr>
                <w:rFonts w:ascii="Garamond" w:cs="Garamond" w:eastAsia="Garamond" w:hAnsi="Garamond"/>
                <w:color w:val="3D3D3D"/>
                <w:sz w:val="22"/>
                <w:szCs w:val="22"/>
              </w:rPr>
              <w:t xml:space="preserve">Holiness as prophetic proclamation: God overturning unjust systems, exalting the lowly, deposing the mighty from their thrones.</w:t>
            </w:r>
          </w:p>
        </w:tc>
      </w:tr>
    </w:tbl>
    <w:p>
      <w:pPr>
        <w:spacing w:before="0" w:after="120"/>
      </w:pPr>
      <w:r>
        <w:t xml:space="preserve"/>
      </w:r>
    </w:p>
    <w:p>
      <w:pPr>
        <w:spacing w:before="80" w:after="120" w:line="280"/>
        <w:jc w:val="both"/>
      </w:pPr>
      <w:r>
        <w:rPr>
          <w:rFonts w:ascii="Garamond" w:cs="Garamond" w:eastAsia="Garamond" w:hAnsi="Garamond"/>
          <w:b w:val="false"/>
          <w:bCs w:val="false"/>
          <w:i w:val="false"/>
          <w:iCs w:val="false"/>
          <w:color w:val="3D3D3D"/>
          <w:sz w:val="23"/>
          <w:szCs w:val="23"/>
        </w:rPr>
        <w:t xml:space="preserve">The Magnificat deserves extended theological attention. It is simultaneously a prayer of personal gratitude, a theological statement about God’s nature, and a social proclamation: ‘He has deposed the mighty from their thrones and raised the lowly to high places; the hungry he has filled with good things, the rich he has sent away empty.’</w:t>
      </w:r>
    </w:p>
    <w:p>
      <w:pPr>
        <w:spacing w:before="80" w:after="120" w:line="280"/>
        <w:jc w:val="both"/>
      </w:pPr>
      <w:r>
        <w:rPr>
          <w:rFonts w:ascii="Garamond" w:cs="Garamond" w:eastAsia="Garamond" w:hAnsi="Garamond"/>
          <w:b w:val="false"/>
          <w:bCs w:val="false"/>
          <w:i w:val="false"/>
          <w:iCs w:val="false"/>
          <w:color w:val="3D3D3D"/>
          <w:sz w:val="23"/>
          <w:szCs w:val="23"/>
        </w:rPr>
        <w:t xml:space="preserve">A Marian devotion that does not include the Magnificat’s prophetic dimension is a devotion disconnected from what Mary herself proclaimed. In West Bengal, where Mary is venerated through parish feasts, processions, and Marian sodalities, the theological student is called to ask: does our parish’s Marian devotion inspire its devotees to work for the lifting of the lowly — the Dalit, the tribal, the migrant, the poor — whom Mary’s own song names?</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XIII. CONCLUSION: The Demand</w:t>
      </w:r>
    </w:p>
    <w:p>
      <w:pPr>
        <w:spacing w:before="80" w:after="120" w:line="280"/>
        <w:jc w:val="both"/>
      </w:pPr>
      <w:r>
        <w:rPr>
          <w:rFonts w:ascii="Garamond" w:cs="Garamond" w:eastAsia="Garamond" w:hAnsi="Garamond"/>
          <w:b w:val="false"/>
          <w:bCs w:val="false"/>
          <w:i w:val="false"/>
          <w:iCs w:val="false"/>
          <w:color w:val="3D3D3D"/>
          <w:sz w:val="23"/>
          <w:szCs w:val="23"/>
        </w:rPr>
        <w:t xml:space="preserve">Let me return to where we began: the lived contradiction between what the Church professes and what it practices regarding holiness.</w:t>
      </w:r>
    </w:p>
    <w:p>
      <w:pPr>
        <w:spacing w:before="80" w:after="120" w:line="280"/>
        <w:jc w:val="both"/>
      </w:pPr>
      <w:r>
        <w:rPr>
          <w:rFonts w:ascii="Garamond" w:cs="Garamond" w:eastAsia="Garamond" w:hAnsi="Garamond"/>
          <w:b w:val="false"/>
          <w:bCs w:val="false"/>
          <w:i w:val="false"/>
          <w:iCs w:val="false"/>
          <w:color w:val="3D3D3D"/>
          <w:sz w:val="23"/>
          <w:szCs w:val="23"/>
        </w:rPr>
        <w:t xml:space="preserve">The Second Vatican Council did not introduce the universal call to holiness as a pastoral programme or a spiritual aspiration. It recovered it from centuries of ecclesiastical domestication and returned it to the centre of the Church’s self-understanding. Every baptised person — without exception, without qualification, without tier — is called to the fullness of Christian life and the perfection of charity.</w:t>
      </w:r>
    </w:p>
    <w:p>
      <w:pPr>
        <w:spacing w:before="80" w:after="120" w:line="280"/>
        <w:jc w:val="both"/>
      </w:pPr>
      <w:r>
        <w:rPr>
          <w:rFonts w:ascii="Garamond" w:cs="Garamond" w:eastAsia="Garamond" w:hAnsi="Garamond"/>
          <w:b w:val="false"/>
          <w:bCs w:val="false"/>
          <w:i w:val="false"/>
          <w:iCs w:val="false"/>
          <w:color w:val="3D3D3D"/>
          <w:sz w:val="23"/>
          <w:szCs w:val="23"/>
        </w:rPr>
        <w:t xml:space="preserve">This is not comfort. In the context of the Church in West Bengal, it is a demand. The demand that the Dalit parishioner’s baptismal dignity be enacted in institutional practice, not merely professed in sacramental theology. The demand that the tea-garden worker’s holy labour be defended with the same urgency with which the Church defends its institutional interests. The demand that the seminary and formation programme produce graduates who are as theologically grounded in the social teaching of Vatican II as they are in the rubrics of the Roman Rite. The demand that the bishop exercise authority as service, not domination — and be held accountable to that standard by the community he serves.</w:t>
      </w:r>
    </w:p>
    <w:p>
      <w:pPr>
        <w:spacing w:before="80" w:after="120" w:line="280"/>
        <w:jc w:val="both"/>
      </w:pPr>
      <w:r>
        <w:rPr>
          <w:rFonts w:ascii="Garamond" w:cs="Garamond" w:eastAsia="Garamond" w:hAnsi="Garamond"/>
          <w:b w:val="false"/>
          <w:bCs w:val="false"/>
          <w:i w:val="false"/>
          <w:iCs w:val="false"/>
          <w:color w:val="3D3D3D"/>
          <w:sz w:val="23"/>
          <w:szCs w:val="23"/>
        </w:rPr>
        <w:t xml:space="preserve">Vatican II’s universal call to holiness is the Church saying to its own members, in the voice of the tradition: you are holy. Now live accordingly.</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XIV. KEY TERMS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c>
          <w:tcPr>
            <w:tcW w:type="dxa" w:w="22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Term</w:t>
            </w:r>
          </w:p>
        </w:tc>
        <w:tc>
          <w:tcPr>
            <w:tcW w:type="dxa" w:w="18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Language / Origin</w:t>
            </w:r>
          </w:p>
        </w:tc>
        <w:tc>
          <w:tcPr>
            <w:tcW w:type="dxa" w:w="18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Literal Meaning</w:t>
            </w:r>
          </w:p>
        </w:tc>
        <w:tc>
          <w:tcPr>
            <w:tcW w:type="dxa" w:w="3226"/>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Theological Meaning in This Unit</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Universal Call to Holiness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 vocatio universalis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Universal calling</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Vatican II’s doctrine that every baptised Christian is called to the fullness of Christian life and perfection of charity — without exception or gradation</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Hagioi</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Greek: ἅγιοι</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holy ones / the saints</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Paul’s designation for the entire baptised community; recovered by LG from its narrowing to canonised individuals</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Kenosis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Greek: κένωσις</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Self-emptying (Phil 2:7)</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Christ’s voluntary self-lowering as the constitutive grammar of Christian holiness</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Common Priesthood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 sacerdotium commune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Common / shared priesthood</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priesthood of all the baptised — sharing Christ’s priestly, prophetic, and kingly offices through Baptism</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Ministerial Priesthood</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 sacerdotium ministeriale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Ministerial / serving priesthood</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ordained priesthood — differing in essence from the Common Priesthood by function, ordered to serve the baptised community</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Perfectae Caritatis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Of perfect charity</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Vatican II Decree on Renewal of Religious Life — five principles for adaptation of religious orders</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Spirituality of the Marketplace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Contemporary theological term</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Finding God in all things</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Holiness expressed through engagement with daily life, work, and society; the integration of prayer and apostolate</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Nostra Aetate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 our time</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Vatican II Declaration on Non-Christian Religions; calls for sincere reverence toward truth and holiness in Hinduism, Buddhism, Islam, Judaism</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Sacrosanctum Concilium</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Sacred Council</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Vatican II Constitution on the Sacred Liturgy; establishes liturgy as source and summit of Christian life</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Full, Conscious, Active Participation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SC §14</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Vatican II’s threefold standard for liturgical participation, demanded by the nature of the liturgy itself</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Paschal Mystery</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Greek/Latin: pascha + mysterium</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Passover Mystery</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Christ’s passion, death, resurrection, and ascension — the centre of all liturgy and Christian life</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Anawim</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Hebrew: ענויים</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lowly / the poor ones</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OT designation of those specially united with God through their poverty and vulnerability; background for LG’s theology of the poor</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Fiat / Caritas / Magnificat</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Yes / Love / My soul magnifies</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Mary’s three acts modelling universal holiness: response to God, love in service, prophetic proclamation of justice</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 Persona Christi</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Latin</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 the person of Christ</w:t>
            </w:r>
          </w:p>
        </w:tc>
        <w:tc>
          <w:tcPr>
            <w:tcW w:type="dxa" w:w="32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How the ordained priest acts in celebrating the sacraments; function, not a claim to spiritual superiority</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XV. KEY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500"/>
        <w:gridCol w:w="1826"/>
      </w:tblGrid>
      <w:tr>
        <w:tc>
          <w:tcPr>
            <w:tcW w:type="dxa" w:w="19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Person</w:t>
            </w:r>
          </w:p>
        </w:tc>
        <w:tc>
          <w:tcPr>
            <w:tcW w:type="dxa" w:w="18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Identity</w:t>
            </w:r>
          </w:p>
        </w:tc>
        <w:tc>
          <w:tcPr>
            <w:tcW w:type="dxa" w:w="3500"/>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Contribution to This Unit</w:t>
            </w:r>
          </w:p>
        </w:tc>
        <w:tc>
          <w:tcPr>
            <w:tcW w:type="dxa" w:w="1826"/>
            <w:tcBorders>
              <w:top w:val="single" w:color="AAAAAA" w:sz="1"/>
              <w:left w:val="single" w:color="AAAAAA" w:sz="1"/>
              <w:bottom w:val="single" w:color="AAAAAA" w:sz="1"/>
              <w:right w:val="single" w:color="AAAAAA" w:sz="1"/>
            </w:tcBorders>
            <w:shd w:fill="EBF2FA" w:val="clear"/>
            <w:tcMar>
              <w:top w:type="dxa" w:w="80"/>
              <w:left w:type="dxa" w:w="100"/>
              <w:bottom w:type="dxa" w:w="80"/>
              <w:right w:type="dxa" w:w="100"/>
            </w:tcMar>
          </w:tcPr>
          <w:p>
            <w:pPr>
              <w:jc w:val="center"/>
            </w:pPr>
            <w:r>
              <w:rPr>
                <w:rFonts w:ascii="Arial" w:cs="Arial" w:eastAsia="Arial" w:hAnsi="Arial"/>
                <w:b/>
                <w:bCs/>
                <w:color w:val="1B3A5C"/>
                <w:sz w:val="20"/>
                <w:szCs w:val="20"/>
              </w:rPr>
              <w:t xml:space="preserve">Relevant Text/Work</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St. Paul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Apostle</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Uses hagioi for entire baptised community; no two-tier holiness ethic</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1 Cor 1:2; Phil 1:1; Rom 1:7; 1 Thess 4:3</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Pope Paul VI</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Council President</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Oversaw promulgation of LG, NA, SC; held Council’s social and theological balance</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Closing Address of Vatican II, 1965</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Mother Teresa of Calcutta</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Living model</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‘Set apart to be a part’ — perfect integration of prayer and apostolate; founded Missionaries of Charity, Calcutta 1950</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Personal writings; Constitutions of MC</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Fr. Arvind P. Nirmal</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Dalit theologian, Gurukul</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Dalit theology as application of Paschal Mystery to caste-suffering; first systematic Dalit theology in India</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Heuristic Explorations (1990)</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D.S. Amalorpavadass</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Indian liturgist, NBCLC</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Inculturation of the Indian Mass; direct application of SC to Indian soil</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Towards Indigenisation in the Liturgy (1971)</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Fr. Samuel Rayan SJ</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Indian Jesuit theologian</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Holiness and justice; Spirit among the marginalised; theology from below</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The Holy Spirit: Heart of the Gospel and Christian Hope</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B.R. Ambedkar</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Dalit jurist and liberator</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Self-emptying kenosis in public life; connection between dignity and structural change</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Annihilation of Caste (1936)</w:t>
            </w:r>
          </w:p>
        </w:tc>
      </w:tr>
      <w:tr>
        <w:tc>
          <w:tcPr>
            <w:tcW w:type="dxa" w:w="19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Rabindranath Tagore</w:t>
            </w:r>
          </w:p>
        </w:tc>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Bengali poet and spiritual thinker</w:t>
            </w:r>
          </w:p>
        </w:tc>
        <w:tc>
          <w:tcPr>
            <w:tcW w:type="dxa" w:w="35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Brahmo Samaj tradition; bhakti poetry; resources for interfaith dialogue in Bengal</w:t>
            </w:r>
          </w:p>
        </w:tc>
        <w:tc>
          <w:tcPr>
            <w:tcW w:type="dxa" w:w="1826"/>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both"/>
            </w:pPr>
            <w:r>
              <w:rPr>
                <w:rFonts w:ascii="Garamond" w:cs="Garamond" w:eastAsia="Garamond" w:hAnsi="Garamond"/>
                <w:color w:val="3D3D3D"/>
                <w:sz w:val="20"/>
                <w:szCs w:val="20"/>
              </w:rPr>
              <w:t xml:space="preserve">Gitanjali; The Religion of Man</w:t>
            </w:r>
          </w:p>
        </w:tc>
      </w:tr>
    </w:tbl>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XVI. EXAM-STYLE QUESTIONS</w:t>
      </w:r>
    </w:p>
    <w:p>
      <w:pPr>
        <w:pStyle w:val="Heading2"/>
        <w:spacing w:before="280" w:after="120"/>
      </w:pPr>
      <w:r>
        <w:rPr>
          <w:rFonts w:ascii="Arial" w:cs="Arial" w:eastAsia="Arial" w:hAnsi="Arial"/>
          <w:b/>
          <w:bCs/>
          <w:color w:val="2E6DA4"/>
          <w:sz w:val="26"/>
          <w:szCs w:val="26"/>
        </w:rPr>
        <w:t xml:space="preserve">A. Short Answer (5 marks each)</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What does Lumen Gentium §40 teach about the universal call to holiness? Be precise about who is included and on what basis.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Explain the distinction between the Common Priesthood and the Ministerial Priesthood as LG §10 formulates it. Which is ‘superior’, and why is this question itself theologically malformed?</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What are the five principles of Perfectae Caritatis for the renewal of religious life? Formulate each as a diagnostic question for a specific Indian religious congregation.</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What does Sacrosanctum Concilium mean when it calls the liturgy ‘the source and summit’ of Christian life? Distinguish between the two metaphors and show what pastoral errors each rules out.</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How does Nostra Aetate §2 view Hinduism and Buddhism? Quote the key statement and explain why it was theologically revolutionary for the Church in India.</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B. Long Answer (10–15 marks each)</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Lumen Gentium §41 declares: ‘The classes and duties of life are many, but holiness is one.’ Develop this claim through a theological analysis of holiness for (a) married couples, (b) laborers and workers, and (c) the poor and persecuted. For each, apply the theological argument to a specific and named context in West Bengal.</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‘The Spirituality of the Marketplace condemns both Activism and Pietism.’ Explain both failures with precision, describe Vatican II’s synthesis, and apply this analysis to the formation of priests and religious for the Church in West Bengal, naming the specific structural corrections that formation programmes would require.</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Using Nostra Aetate §2 and Sacrosanctum Concilium §§7, 10, and 14, construct the argument that inculturation of the Indian liturgy is not a pastoral option for the Church in Bengal but a theological requirement arising from the Council’s own documents.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 Reflection and Discussion Questions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Name one person you know — or know of — in West Bengal who authentically lives the universal call to holiness as Vatican II defines it. Who are they, what do they do, and how does their life embody LG’s theology? Do not choose an ordained or vowed person for this answer.</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The tea garden worker in North Bengal ‘imitates Christ the Carpenter’ through their labour (LG §41). Yet the tea gardens are among India’s most exploited labour environments. What does the Church’s theology of holy labour demand of Catholics who own, manage, invest in, or benefit from tea gardens?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Mary’s Magnificat proclaims: ‘He has deposed the mighty from their thrones and raised the lowly to high places.’ Name three ‘thrones’ in West Bengal Church and society that the Magnificat demands be challenged by a Church that takes Vatican II seriously.</w:t>
      </w:r>
    </w:p>
    <w:p>
      <w:pPr>
        <w:spacing w:before="0" w:after="120"/>
      </w:pPr>
      <w:r>
        <w:t xml:space="preserve"/>
      </w:r>
    </w:p>
    <w:p>
      <w:pPr>
        <w:pStyle w:val="Heading1"/>
        <w:pBdr>
          <w:bottom w:val="single" w:color="1B3A5C" w:sz="8" w:space="4"/>
        </w:pBdr>
        <w:spacing w:before="360" w:after="180"/>
      </w:pPr>
      <w:r>
        <w:rPr>
          <w:rFonts w:ascii="Arial" w:cs="Arial" w:eastAsia="Arial" w:hAnsi="Arial"/>
          <w:b/>
          <w:bCs/>
          <w:color w:val="1B3A5C"/>
          <w:sz w:val="32"/>
          <w:szCs w:val="32"/>
        </w:rPr>
        <w:t xml:space="preserve">XVII. UNIT SUMMARY IN SEVEN THESES</w:t>
      </w:r>
    </w:p>
    <w:p>
      <w:pPr>
        <w:spacing w:before="80" w:after="120" w:line="280"/>
        <w:jc w:val="both"/>
      </w:pPr>
      <w:r>
        <w:rPr>
          <w:rFonts w:ascii="Garamond" w:cs="Garamond" w:eastAsia="Garamond" w:hAnsi="Garamond"/>
          <w:b w:val="false"/>
          <w:bCs w:val="false"/>
          <w:i w:val="false"/>
          <w:iCs w:val="false"/>
          <w:color w:val="3D3D3D"/>
          <w:sz w:val="23"/>
          <w:szCs w:val="23"/>
        </w:rPr>
        <w:t xml:space="preserve">I close this lecture with seven theses — each a precise, dense formulation of the unit’s central claims.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Vatican II’s universal call to holiness declares that every baptised Christian — regardless of caste, class, gender, or state of life — is called to the fullness of Christian life and the perfection of charity, rooted entirely in Baptism.</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The theological foundation of holiness is charity (caritas): the bond of perfection that gives life to all other means of sanctification, growing through Word, Sacrament, prayer, self-denial, and — irreducibly — active fraternal service.</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The Common Priesthood of all the baptised and the Ministerial Priesthood of the ordained differ in function, not in spiritual superiority; the ordained priesthood is ordered to serve the baptismal holiness of all.</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Holiness is expressed through every state of life — the married, the widowed, the single, the laborer, the poor, the infirm, and the persecuted — each a particular form of the one holiness: ‘The classes and duties of life are many, but holiness is one’ (LG §41).</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The Spirituality of the Marketplace requires avoiding both Activism (mission without prayer) and Pietism (prayer without mission); their integration, modelled by Mother Teresa, is the synthesis Vatican II seeks.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Nostra Aetate recognises genuine truth and holiness in Hinduism, Buddhism, Islam, and Judaism, calling the Church to sincere reverence, genuine dialogue, and continued proclamation of Christ as the fullness of religious life — none of these three at the expense of the others.</w:t>
      </w:r>
    </w:p>
    <w:p>
      <w:pPr>
        <w:pStyle w:val="ListParagraph"/>
        <w:numPr>
          <w:ilvl w:val="0"/>
          <w:numId w:val="2"/>
        </w:numPr>
        <w:spacing w:before="60" w:after="60" w:line="280"/>
      </w:pPr>
      <w:r>
        <w:rPr>
          <w:rFonts w:ascii="Garamond" w:cs="Garamond" w:eastAsia="Garamond" w:hAnsi="Garamond"/>
          <w:b w:val="false"/>
          <w:bCs w:val="false"/>
          <w:i w:val="false"/>
          <w:iCs w:val="false"/>
          <w:color w:val="3D3D3D"/>
          <w:sz w:val="23"/>
          <w:szCs w:val="23"/>
        </w:rPr>
        <w:t xml:space="preserve">Sacrosanctum Concilium establishes the liturgy as ‘source and summit’ and demands full, conscious, and active participation of all the faithful; for the Church in West Bengal, this requires inculturated, linguistically accessible, and socially just liturgical practice that structurally includes every baptised person, especially the Dalit, the tribal, and the poor.</w:t>
      </w:r>
    </w:p>
    <w:p>
      <w:pPr>
        <w:spacing w:before="0" w:after="200"/>
      </w:pPr>
      <w:r>
        <w:t xml:space="preserve"/>
      </w:r>
    </w:p>
    <w:p>
      <w:pPr>
        <w:pBdr>
          <w:bottom w:val="single" w:color="1B3A5C" w:sz="6" w:space="1"/>
        </w:pBdr>
        <w:spacing w:before="0" w:after="80"/>
      </w:pPr>
      <w:r>
        <w:t xml:space="preserve"/>
      </w:r>
    </w:p>
    <w:p>
      <w:pPr>
        <w:spacing w:before="0" w:after="80"/>
      </w:pPr>
      <w:r>
        <w:t xml:space="preserve"/>
      </w:r>
    </w:p>
    <w:p>
      <w:pPr>
        <w:spacing w:before="80" w:after="80"/>
        <w:jc w:val="center"/>
      </w:pPr>
      <w:r>
        <w:rPr>
          <w:rFonts w:ascii="Garamond" w:cs="Garamond" w:eastAsia="Garamond" w:hAnsi="Garamond"/>
          <w:i/>
          <w:iCs/>
          <w:color w:val="1B3A5C"/>
          <w:sz w:val="22"/>
          <w:szCs w:val="22"/>
        </w:rPr>
        <w:t xml:space="preserve">‘For this is the will of God, your sanctification.’ — 1 Thessalonians 4:3</w:t>
      </w:r>
    </w:p>
    <w:p>
      <w:pPr>
        <w:spacing w:before="80" w:after="80"/>
        <w:jc w:val="center"/>
      </w:pPr>
      <w:r>
        <w:rPr>
          <w:rFonts w:ascii="Garamond" w:cs="Garamond" w:eastAsia="Garamond" w:hAnsi="Garamond"/>
          <w:i/>
          <w:iCs/>
          <w:color w:val="1B3A5C"/>
          <w:sz w:val="22"/>
          <w:szCs w:val="22"/>
        </w:rPr>
        <w:t xml:space="preserve">‘All the faithful of Christ of whatever rank or status are called to the fullness of the Christian life and to the perfection of charity.’</w:t>
      </w:r>
    </w:p>
    <w:p>
      <w:pPr>
        <w:spacing w:before="40" w:after="160"/>
        <w:jc w:val="center"/>
      </w:pPr>
      <w:r>
        <w:rPr>
          <w:rFonts w:ascii="Garamond" w:cs="Garamond" w:eastAsia="Garamond" w:hAnsi="Garamond"/>
          <w:b/>
          <w:bCs/>
          <w:color w:val="3D3D3D"/>
          <w:sz w:val="21"/>
          <w:szCs w:val="21"/>
        </w:rPr>
        <w:t xml:space="preserve">— Lumen Gentium §40</w:t>
      </w:r>
    </w:p>
    <w:p>
      <w:pPr>
        <w:pBdr>
          <w:bottom w:val="single" w:color="1B3A5C" w:sz="6" w:space="1"/>
        </w:pBdr>
        <w:spacing w:before="0" w:after="80"/>
      </w:pPr>
      <w:r>
        <w:t xml:space="preserve"/>
      </w:r>
    </w:p>
    <w:p>
      <w:pPr>
        <w:spacing w:before="0" w:after="60"/>
      </w:pPr>
      <w:r>
        <w:t xml:space="preserve"/>
      </w:r>
    </w:p>
    <w:p>
      <w:pPr>
        <w:spacing w:before="40" w:after="40"/>
        <w:jc w:val="center"/>
      </w:pPr>
      <w:r>
        <w:rPr>
          <w:rFonts w:ascii="Arial" w:cs="Arial" w:eastAsia="Arial" w:hAnsi="Arial"/>
          <w:i/>
          <w:iCs/>
          <w:color w:val="888888"/>
          <w:sz w:val="18"/>
          <w:szCs w:val="18"/>
        </w:rPr>
        <w:t xml:space="preserve">Class notes prepared for B.Th. / M.Th. / STL students, West Bengal Region</w:t>
      </w:r>
    </w:p>
    <w:p>
      <w:pPr>
        <w:spacing w:before="0" w:after="40"/>
        <w:jc w:val="center"/>
      </w:pPr>
      <w:r>
        <w:rPr>
          <w:rFonts w:ascii="Arial" w:cs="Arial" w:eastAsia="Arial" w:hAnsi="Arial"/>
          <w:i/>
          <w:iCs/>
          <w:color w:val="888888"/>
          <w:sz w:val="18"/>
          <w:szCs w:val="18"/>
        </w:rPr>
        <w:t xml:space="preserve">Unit 4: Universal Call to Holiness | Vatican II and the Evolution of Modern Catholic Thought</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2"/>
      </w:pBdr>
      <w:tabs>
        <w:tab w:val="right" w:pos="9026"/>
      </w:tabs>
      <w:spacing w:before="80" w:after="0"/>
    </w:pPr>
    <w:r>
      <w:rPr>
        <w:rFonts w:ascii="Arial" w:cs="Arial" w:eastAsia="Arial" w:hAnsi="Arial"/>
        <w:i/>
        <w:iCs/>
        <w:color w:val="888888"/>
        <w:sz w:val="16"/>
        <w:szCs w:val="16"/>
      </w:rPr>
      <w:t xml:space="preserve">In the method of Fr. Joseph Lobo SJ</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2"/>
      </w:pBdr>
      <w:tabs>
        <w:tab w:val="right" w:pos="9026"/>
      </w:tabs>
      <w:spacing w:before="0" w:after="80"/>
    </w:pPr>
    <w:r>
      <w:rPr>
        <w:rFonts w:ascii="Arial" w:cs="Arial" w:eastAsia="Arial" w:hAnsi="Arial"/>
        <w:b/>
        <w:bCs/>
        <w:color w:val="1B3A5C"/>
        <w:sz w:val="18"/>
        <w:szCs w:val="18"/>
      </w:rPr>
      <w:t xml:space="preserve">VATICAN II — UNIT 4: UNIVERSAL CALL TO HOLINESS</w:t>
    </w:r>
    <w:r>
      <w:rPr>
        <w:rFonts w:ascii="Arial" w:cs="Arial" w:eastAsia="Arial" w:hAnsi="Arial"/>
        <w:sz w:val="18"/>
        <w:szCs w:val="18"/>
      </w:rPr>
      <w:t xml:space="preserve">	</w:t>
    </w:r>
    <w:r>
      <w:rPr>
        <w:rFonts w:ascii="Arial" w:cs="Arial" w:eastAsia="Arial" w:hAnsi="Arial"/>
        <w:color w:val="888888"/>
        <w:sz w:val="18"/>
        <w:szCs w:val="18"/>
      </w:rPr>
      <w:t xml:space="preserve">B.Th. / M.Th. / STL — West Bengal Region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2026-03-30T10:47:02.072Z</dcterms:created>
  <dcterms:modified xsi:type="dcterms:W3CDTF">2026-03-30T10:47:02.072Z</dcterms:modified>
</cp:coreProperties>
</file>

<file path=docProps/custom.xml><?xml version="1.0" encoding="utf-8"?>
<Properties xmlns="http://schemas.openxmlformats.org/officeDocument/2006/custom-properties" xmlns:vt="http://schemas.openxmlformats.org/officeDocument/2006/docPropsVTypes"/>
</file>