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5F36" w14:textId="77777777" w:rsidR="00F8712C" w:rsidRPr="00A66322" w:rsidRDefault="00000000" w:rsidP="004D09BD">
      <w:pPr>
        <w:pStyle w:val="Title"/>
        <w:spacing w:after="0"/>
        <w:rPr>
          <w:rFonts w:ascii="Times New Roman" w:hAnsi="Times New Roman" w:cs="Times New Roman"/>
          <w:sz w:val="24"/>
          <w:szCs w:val="24"/>
        </w:rPr>
      </w:pPr>
      <w:r w:rsidRPr="00A66322">
        <w:rPr>
          <w:rFonts w:ascii="Times New Roman" w:hAnsi="Times New Roman" w:cs="Times New Roman"/>
          <w:sz w:val="24"/>
          <w:szCs w:val="24"/>
        </w:rPr>
        <w:t>The Metaphysics and Theology of the Eucharist</w:t>
      </w:r>
    </w:p>
    <w:p w14:paraId="3BB67668"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b/>
          <w:sz w:val="24"/>
          <w:szCs w:val="24"/>
        </w:rPr>
        <w:t>A Beginner's Guide to the Whole Argument, for a Student New to Philosophy</w:t>
      </w:r>
    </w:p>
    <w:p w14:paraId="61E93AD0"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Based on Gyula Klima (ed.), The Metaphysics and Theology of the Eucharist: A Historical-Analytic Survey of the Problems of the Sacrament (Studies on Nature, Mind and Action, vol. 10)</w:t>
      </w:r>
    </w:p>
    <w:p w14:paraId="4B821EE5" w14:textId="77777777" w:rsidR="00F8712C" w:rsidRPr="00A66322" w:rsidRDefault="00F8712C" w:rsidP="004D09BD">
      <w:pPr>
        <w:spacing w:after="0" w:line="240" w:lineRule="auto"/>
        <w:rPr>
          <w:rFonts w:ascii="Times New Roman" w:hAnsi="Times New Roman" w:cs="Times New Roman"/>
          <w:sz w:val="24"/>
          <w:szCs w:val="24"/>
        </w:rPr>
      </w:pPr>
    </w:p>
    <w:p w14:paraId="59E80F28"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i/>
          <w:sz w:val="24"/>
          <w:szCs w:val="24"/>
        </w:rPr>
        <w:t>Prepared 16 August 2026 from the source volume via NotebookLM. Written for an eighteen-year-old reader with no prior philosophy background — every technical term is explained the first time it is used.</w:t>
      </w:r>
    </w:p>
    <w:p w14:paraId="369A54D0" w14:textId="77777777" w:rsidR="00F8712C" w:rsidRPr="00A66322" w:rsidRDefault="00F8712C" w:rsidP="004D09BD">
      <w:pPr>
        <w:spacing w:after="0" w:line="240" w:lineRule="auto"/>
        <w:rPr>
          <w:rFonts w:ascii="Times New Roman" w:hAnsi="Times New Roman" w:cs="Times New Roman"/>
          <w:sz w:val="24"/>
          <w:szCs w:val="24"/>
        </w:rPr>
      </w:pPr>
    </w:p>
    <w:p w14:paraId="59B47CE3"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t>The Problem in One Sentence</w:t>
      </w:r>
    </w:p>
    <w:p w14:paraId="7C27FBAF"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Catholic doctrine says that at Mass, bread and wine become the actual body and blood of Christ — but they keep looking, tasting, and weighing exactly like bread and wine. The whole book is philosophers, across a thousand years, trying to work out whether that claim can even be stated without contradicting itself.</w:t>
      </w:r>
    </w:p>
    <w:p w14:paraId="24EF6602"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This is not only a theological question. It is a metaphysical one — </w:t>
      </w:r>
      <w:proofErr w:type="gramStart"/>
      <w:r w:rsidRPr="00A66322">
        <w:rPr>
          <w:rFonts w:ascii="Times New Roman" w:hAnsi="Times New Roman" w:cs="Times New Roman"/>
          <w:sz w:val="24"/>
          <w:szCs w:val="24"/>
        </w:rPr>
        <w:t>metaphysics</w:t>
      </w:r>
      <w:proofErr w:type="gramEnd"/>
      <w:r w:rsidRPr="00A66322">
        <w:rPr>
          <w:rFonts w:ascii="Times New Roman" w:hAnsi="Times New Roman" w:cs="Times New Roman"/>
          <w:sz w:val="24"/>
          <w:szCs w:val="24"/>
        </w:rPr>
        <w:t xml:space="preserve"> being the branch of philosophy that asks what fundamentally exists, and how things can be what they are. The Eucharist forces that question to its limit.</w:t>
      </w:r>
    </w:p>
    <w:p w14:paraId="0F2910E7"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br w:type="page"/>
      </w:r>
    </w:p>
    <w:p w14:paraId="357A2DE8"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lastRenderedPageBreak/>
        <w:t>Setting the Stage: Aristotle's Two-Box Universe</w:t>
      </w:r>
    </w:p>
    <w:p w14:paraId="2B3FFBC4"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To see why this is a philosophical problem and not just a religious one, you need one piece of Aristotle first.</w:t>
      </w:r>
    </w:p>
    <w:p w14:paraId="50AA69EA"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Aristotle held that everything </w:t>
      </w:r>
      <w:proofErr w:type="gramStart"/>
      <w:r w:rsidRPr="00A66322">
        <w:rPr>
          <w:rFonts w:ascii="Times New Roman" w:hAnsi="Times New Roman" w:cs="Times New Roman"/>
          <w:sz w:val="24"/>
          <w:szCs w:val="24"/>
        </w:rPr>
        <w:t>in reality sorts</w:t>
      </w:r>
      <w:proofErr w:type="gramEnd"/>
      <w:r w:rsidRPr="00A66322">
        <w:rPr>
          <w:rFonts w:ascii="Times New Roman" w:hAnsi="Times New Roman" w:cs="Times New Roman"/>
          <w:sz w:val="24"/>
          <w:szCs w:val="24"/>
        </w:rPr>
        <w:t xml:space="preserve"> into two categories.</w:t>
      </w:r>
    </w:p>
    <w:p w14:paraId="34AE1C70" w14:textId="77777777" w:rsidR="00F8712C" w:rsidRPr="00A66322" w:rsidRDefault="00000000" w:rsidP="004D09BD">
      <w:pPr>
        <w:pStyle w:val="ListBullet"/>
        <w:spacing w:after="0" w:line="240" w:lineRule="auto"/>
        <w:rPr>
          <w:rFonts w:ascii="Times New Roman" w:hAnsi="Times New Roman" w:cs="Times New Roman"/>
          <w:sz w:val="24"/>
          <w:szCs w:val="24"/>
        </w:rPr>
      </w:pPr>
      <w:r w:rsidRPr="00A66322">
        <w:rPr>
          <w:rFonts w:ascii="Times New Roman" w:hAnsi="Times New Roman" w:cs="Times New Roman"/>
          <w:sz w:val="24"/>
          <w:szCs w:val="24"/>
        </w:rPr>
        <w:t>Substance — a thing that exists on its own. A horse. An apple. A piece of bread.</w:t>
      </w:r>
    </w:p>
    <w:p w14:paraId="1685B3C8" w14:textId="77777777" w:rsidR="00F8712C" w:rsidRPr="00A66322" w:rsidRDefault="00000000" w:rsidP="004D09BD">
      <w:pPr>
        <w:pStyle w:val="ListBullet"/>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Accident — a property that cannot exist by itself; it </w:t>
      </w:r>
      <w:proofErr w:type="gramStart"/>
      <w:r w:rsidRPr="00A66322">
        <w:rPr>
          <w:rFonts w:ascii="Times New Roman" w:hAnsi="Times New Roman" w:cs="Times New Roman"/>
          <w:sz w:val="24"/>
          <w:szCs w:val="24"/>
        </w:rPr>
        <w:t>has to</w:t>
      </w:r>
      <w:proofErr w:type="gramEnd"/>
      <w:r w:rsidRPr="00A66322">
        <w:rPr>
          <w:rFonts w:ascii="Times New Roman" w:hAnsi="Times New Roman" w:cs="Times New Roman"/>
          <w:sz w:val="24"/>
          <w:szCs w:val="24"/>
        </w:rPr>
        <w:t xml:space="preserve"> belong to a substance. Redness, roundness, sweetness. You cannot have redness simply floating in mid-air — there </w:t>
      </w:r>
      <w:proofErr w:type="gramStart"/>
      <w:r w:rsidRPr="00A66322">
        <w:rPr>
          <w:rFonts w:ascii="Times New Roman" w:hAnsi="Times New Roman" w:cs="Times New Roman"/>
          <w:sz w:val="24"/>
          <w:szCs w:val="24"/>
        </w:rPr>
        <w:t>has to</w:t>
      </w:r>
      <w:proofErr w:type="gramEnd"/>
      <w:r w:rsidRPr="00A66322">
        <w:rPr>
          <w:rFonts w:ascii="Times New Roman" w:hAnsi="Times New Roman" w:cs="Times New Roman"/>
          <w:sz w:val="24"/>
          <w:szCs w:val="24"/>
        </w:rPr>
        <w:t xml:space="preserve"> be a red thing.</w:t>
      </w:r>
    </w:p>
    <w:p w14:paraId="224EB0E3"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That is the whole background needed to follow the argument. Everyone in this book agrees with it at the outset. The disagreement is over what happens to it </w:t>
      </w:r>
      <w:proofErr w:type="gramStart"/>
      <w:r w:rsidRPr="00A66322">
        <w:rPr>
          <w:rFonts w:ascii="Times New Roman" w:hAnsi="Times New Roman" w:cs="Times New Roman"/>
          <w:sz w:val="24"/>
          <w:szCs w:val="24"/>
        </w:rPr>
        <w:t>at the moment</w:t>
      </w:r>
      <w:proofErr w:type="gramEnd"/>
      <w:r w:rsidRPr="00A66322">
        <w:rPr>
          <w:rFonts w:ascii="Times New Roman" w:hAnsi="Times New Roman" w:cs="Times New Roman"/>
          <w:sz w:val="24"/>
          <w:szCs w:val="24"/>
        </w:rPr>
        <w:t xml:space="preserve"> of consecration.</w:t>
      </w:r>
    </w:p>
    <w:p w14:paraId="3FE4B4E7"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t>The Two Doctrines at Stake</w:t>
      </w:r>
    </w:p>
    <w:p w14:paraId="43FCE3D9" w14:textId="77777777" w:rsidR="00F8712C" w:rsidRPr="00A66322" w:rsidRDefault="00000000" w:rsidP="004D09BD">
      <w:pPr>
        <w:pStyle w:val="Heading2"/>
        <w:spacing w:before="0" w:line="240" w:lineRule="auto"/>
        <w:rPr>
          <w:rFonts w:ascii="Times New Roman" w:hAnsi="Times New Roman" w:cs="Times New Roman"/>
          <w:sz w:val="24"/>
          <w:szCs w:val="24"/>
        </w:rPr>
      </w:pPr>
      <w:r w:rsidRPr="00A66322">
        <w:rPr>
          <w:rFonts w:ascii="Times New Roman" w:hAnsi="Times New Roman" w:cs="Times New Roman"/>
          <w:sz w:val="24"/>
          <w:szCs w:val="24"/>
        </w:rPr>
        <w:t>The Real Presence</w:t>
      </w:r>
    </w:p>
    <w:p w14:paraId="57BDE52E"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The claim that the actual, physical body and blood of Jesus Christ are truly, really and substantially present under the outward appearances of bread and wine after the consecration. Not a symbol. Not a metaphor. The historical and glorified Christ, physically there.</w:t>
      </w:r>
    </w:p>
    <w:p w14:paraId="2B0DFE63" w14:textId="77777777" w:rsidR="00F8712C" w:rsidRPr="00A66322" w:rsidRDefault="00000000" w:rsidP="004D09BD">
      <w:pPr>
        <w:pStyle w:val="Heading2"/>
        <w:spacing w:before="0" w:line="240" w:lineRule="auto"/>
        <w:rPr>
          <w:rFonts w:ascii="Times New Roman" w:hAnsi="Times New Roman" w:cs="Times New Roman"/>
          <w:sz w:val="24"/>
          <w:szCs w:val="24"/>
        </w:rPr>
      </w:pPr>
      <w:r w:rsidRPr="00A66322">
        <w:rPr>
          <w:rFonts w:ascii="Times New Roman" w:hAnsi="Times New Roman" w:cs="Times New Roman"/>
          <w:sz w:val="24"/>
          <w:szCs w:val="24"/>
        </w:rPr>
        <w:t>Transubstantiation</w:t>
      </w:r>
    </w:p>
    <w:p w14:paraId="52E4EC4A"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The mechanism proposed to explain how. During the priest's words of consecration, the entire substance — the underlying, essential reality — of the bread and wine converts into the actual substance of Christ's body and blood. The bread and wine are not annihilated, reduced to nothing; they are wholly transformed. At the same time, the species — the sensible accidents: shape, colour, taste, smell — remain entirely unchanged.</w:t>
      </w:r>
    </w:p>
    <w:p w14:paraId="3349A1EF"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Put those two together and the puzzle appears immediately: the substance is gone, but its properties are still there. Properties are not supposed to be able to survive without a substance to belong to. That is the entire problem this book exists to work through.</w:t>
      </w:r>
    </w:p>
    <w:p w14:paraId="2AD61981"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br w:type="page"/>
      </w:r>
    </w:p>
    <w:p w14:paraId="729D2EDF"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lastRenderedPageBreak/>
        <w:t>Act One — Aquinas's Solution: The Helicopter</w:t>
      </w:r>
    </w:p>
    <w:p w14:paraId="131C0605"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The Catholic claim creates an immediate difficulty. Accidents are not allowed to float free — they need a substance to belong to. And they cannot belong to Christ's body now, because Christ's body is not actually round, white, or </w:t>
      </w:r>
      <w:proofErr w:type="gramStart"/>
      <w:r w:rsidRPr="00A66322">
        <w:rPr>
          <w:rFonts w:ascii="Times New Roman" w:hAnsi="Times New Roman" w:cs="Times New Roman"/>
          <w:sz w:val="24"/>
          <w:szCs w:val="24"/>
        </w:rPr>
        <w:t>bread-flavoured</w:t>
      </w:r>
      <w:proofErr w:type="gramEnd"/>
      <w:r w:rsidRPr="00A66322">
        <w:rPr>
          <w:rFonts w:ascii="Times New Roman" w:hAnsi="Times New Roman" w:cs="Times New Roman"/>
          <w:sz w:val="24"/>
          <w:szCs w:val="24"/>
        </w:rPr>
        <w:t xml:space="preserve">. </w:t>
      </w:r>
      <w:proofErr w:type="gramStart"/>
      <w:r w:rsidRPr="00A66322">
        <w:rPr>
          <w:rFonts w:ascii="Times New Roman" w:hAnsi="Times New Roman" w:cs="Times New Roman"/>
          <w:sz w:val="24"/>
          <w:szCs w:val="24"/>
        </w:rPr>
        <w:t>So</w:t>
      </w:r>
      <w:proofErr w:type="gramEnd"/>
      <w:r w:rsidRPr="00A66322">
        <w:rPr>
          <w:rFonts w:ascii="Times New Roman" w:hAnsi="Times New Roman" w:cs="Times New Roman"/>
          <w:sz w:val="24"/>
          <w:szCs w:val="24"/>
        </w:rPr>
        <w:t xml:space="preserve"> what are the accidents attached to?</w:t>
      </w:r>
    </w:p>
    <w:p w14:paraId="351F9B99"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Thomas Aquinas's answer, borrowed from the Islamic philosopher Avicenna, has two moves.</w:t>
      </w:r>
    </w:p>
    <w:p w14:paraId="18A115C0"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b/>
          <w:sz w:val="24"/>
          <w:szCs w:val="24"/>
        </w:rPr>
        <w:t>First move — redefine what an accident is.</w:t>
      </w:r>
    </w:p>
    <w:p w14:paraId="76CC2011"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Instead of "a property that must exist inside a substance," Aquinas defines an accident as "a property whose nature is to exist inside a substance." A subtle difference, but it does all the work: a thing can have a nature it is not currently fulfilling.</w:t>
      </w:r>
    </w:p>
    <w:p w14:paraId="0FF72AA8"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b/>
          <w:sz w:val="24"/>
          <w:szCs w:val="24"/>
        </w:rPr>
        <w:t>Second move — God is doing the holding.</w:t>
      </w:r>
    </w:p>
    <w:p w14:paraId="182C39E3"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Normally, a substance is what keeps its own accidents in existence. But God is the ultimate power behind everything, including the ordinary case. At the consecration, God simply bypasses the substance and holds the accidents in existence directly, by sheer will.</w:t>
      </w:r>
    </w:p>
    <w:p w14:paraId="73B57E8C" w14:textId="77777777" w:rsidR="00F8712C" w:rsidRPr="00A66322" w:rsidRDefault="00000000" w:rsidP="004D09BD">
      <w:pPr>
        <w:spacing w:after="0" w:line="240" w:lineRule="auto"/>
        <w:ind w:left="560"/>
        <w:rPr>
          <w:rFonts w:ascii="Times New Roman" w:hAnsi="Times New Roman" w:cs="Times New Roman"/>
          <w:sz w:val="24"/>
          <w:szCs w:val="24"/>
        </w:rPr>
      </w:pPr>
      <w:r w:rsidRPr="00A66322">
        <w:rPr>
          <w:rFonts w:ascii="Times New Roman" w:hAnsi="Times New Roman" w:cs="Times New Roman"/>
          <w:i/>
          <w:sz w:val="24"/>
          <w:szCs w:val="24"/>
        </w:rPr>
        <w:t xml:space="preserve">A heavy roof is naturally supposed to fall to the ground. Now a helicopter flies underneath and holds it up in mid-air during an earthquake. The roof does not stop being "a heavy thing that wants to </w:t>
      </w:r>
      <w:proofErr w:type="gramStart"/>
      <w:r w:rsidRPr="00A66322">
        <w:rPr>
          <w:rFonts w:ascii="Times New Roman" w:hAnsi="Times New Roman" w:cs="Times New Roman"/>
          <w:i/>
          <w:sz w:val="24"/>
          <w:szCs w:val="24"/>
        </w:rPr>
        <w:t>fall" —</w:t>
      </w:r>
      <w:proofErr w:type="gramEnd"/>
      <w:r w:rsidRPr="00A66322">
        <w:rPr>
          <w:rFonts w:ascii="Times New Roman" w:hAnsi="Times New Roman" w:cs="Times New Roman"/>
          <w:i/>
          <w:sz w:val="24"/>
          <w:szCs w:val="24"/>
        </w:rPr>
        <w:t xml:space="preserve"> it simply has something more powerful than gravity keeping it suspended right now. </w:t>
      </w:r>
      <w:proofErr w:type="gramStart"/>
      <w:r w:rsidRPr="00A66322">
        <w:rPr>
          <w:rFonts w:ascii="Times New Roman" w:hAnsi="Times New Roman" w:cs="Times New Roman"/>
          <w:i/>
          <w:sz w:val="24"/>
          <w:szCs w:val="24"/>
        </w:rPr>
        <w:t>Likewise</w:t>
      </w:r>
      <w:proofErr w:type="gramEnd"/>
      <w:r w:rsidRPr="00A66322">
        <w:rPr>
          <w:rFonts w:ascii="Times New Roman" w:hAnsi="Times New Roman" w:cs="Times New Roman"/>
          <w:i/>
          <w:sz w:val="24"/>
          <w:szCs w:val="24"/>
        </w:rPr>
        <w:t xml:space="preserve"> the bread's properties still have the nature of things that belong in a substance; they are just being supernaturally propped up by God instead.</w:t>
      </w:r>
      <w:r w:rsidRPr="00A66322">
        <w:rPr>
          <w:rFonts w:ascii="Times New Roman" w:hAnsi="Times New Roman" w:cs="Times New Roman"/>
          <w:b/>
          <w:sz w:val="24"/>
          <w:szCs w:val="24"/>
        </w:rPr>
        <w:t xml:space="preserve">  — the notebook's analogy for Aquinas's solution</w:t>
      </w:r>
    </w:p>
    <w:p w14:paraId="14C4ACD6"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Elegant. Also, as it turned out, fragile.</w:t>
      </w:r>
    </w:p>
    <w:p w14:paraId="5827377A"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br w:type="page"/>
      </w:r>
    </w:p>
    <w:p w14:paraId="738823D3"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lastRenderedPageBreak/>
        <w:t>Act Two — Three People Pull at the Threads</w:t>
      </w:r>
    </w:p>
    <w:p w14:paraId="48D3540E" w14:textId="77777777" w:rsidR="00F8712C" w:rsidRPr="00A66322" w:rsidRDefault="00000000" w:rsidP="004D09BD">
      <w:pPr>
        <w:pStyle w:val="Heading2"/>
        <w:spacing w:before="0" w:line="240" w:lineRule="auto"/>
        <w:rPr>
          <w:rFonts w:ascii="Times New Roman" w:hAnsi="Times New Roman" w:cs="Times New Roman"/>
          <w:sz w:val="24"/>
          <w:szCs w:val="24"/>
        </w:rPr>
      </w:pPr>
      <w:r w:rsidRPr="00A66322">
        <w:rPr>
          <w:rFonts w:ascii="Times New Roman" w:hAnsi="Times New Roman" w:cs="Times New Roman"/>
          <w:sz w:val="24"/>
          <w:szCs w:val="24"/>
        </w:rPr>
        <w:t>Duns Scotus: the floating sticker</w:t>
      </w:r>
    </w:p>
    <w:p w14:paraId="6E4C8768"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In Aquinas's system, an accident does not have its own existence — it borrows the substance's existence, the way a sticker does not stand up on its own but is stuck to a box.</w:t>
      </w:r>
    </w:p>
    <w:p w14:paraId="08F39752"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Scotus's objection: if you rip the sticker off the box, where does it suddenly get the power to hover in mid-air on its own? A dependent thing cannot simply stop depending without turning into a different kind of thing entirely.</w:t>
      </w:r>
    </w:p>
    <w:p w14:paraId="0400E60E"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To make his own version work, Scotus ended up treating accidents as almost independent little substances in their own right — which quietly breaks the substance/accident distinction the whole system was built on.</w:t>
      </w:r>
    </w:p>
    <w:p w14:paraId="31866295" w14:textId="77777777" w:rsidR="00F8712C" w:rsidRPr="00A66322" w:rsidRDefault="00000000" w:rsidP="004D09BD">
      <w:pPr>
        <w:pStyle w:val="Heading2"/>
        <w:spacing w:before="0" w:line="240" w:lineRule="auto"/>
        <w:rPr>
          <w:rFonts w:ascii="Times New Roman" w:hAnsi="Times New Roman" w:cs="Times New Roman"/>
          <w:sz w:val="24"/>
          <w:szCs w:val="24"/>
        </w:rPr>
      </w:pPr>
      <w:r w:rsidRPr="00A66322">
        <w:rPr>
          <w:rFonts w:ascii="Times New Roman" w:hAnsi="Times New Roman" w:cs="Times New Roman"/>
          <w:sz w:val="24"/>
          <w:szCs w:val="24"/>
        </w:rPr>
        <w:t>William of Ockham: the box with nothing in it</w:t>
      </w:r>
    </w:p>
    <w:p w14:paraId="0B80AA26"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Ockham was preoccupied with </w:t>
      </w:r>
      <w:proofErr w:type="gramStart"/>
      <w:r w:rsidRPr="00A66322">
        <w:rPr>
          <w:rFonts w:ascii="Times New Roman" w:hAnsi="Times New Roman" w:cs="Times New Roman"/>
          <w:sz w:val="24"/>
          <w:szCs w:val="24"/>
        </w:rPr>
        <w:t>not</w:t>
      </w:r>
      <w:proofErr w:type="gramEnd"/>
      <w:r w:rsidRPr="00A66322">
        <w:rPr>
          <w:rFonts w:ascii="Times New Roman" w:hAnsi="Times New Roman" w:cs="Times New Roman"/>
          <w:sz w:val="24"/>
          <w:szCs w:val="24"/>
        </w:rPr>
        <w:t xml:space="preserve"> multiplying </w:t>
      </w:r>
      <w:proofErr w:type="gramStart"/>
      <w:r w:rsidRPr="00A66322">
        <w:rPr>
          <w:rFonts w:ascii="Times New Roman" w:hAnsi="Times New Roman" w:cs="Times New Roman"/>
          <w:sz w:val="24"/>
          <w:szCs w:val="24"/>
        </w:rPr>
        <w:t>miracles unnecessarily —</w:t>
      </w:r>
      <w:proofErr w:type="gramEnd"/>
      <w:r w:rsidRPr="00A66322">
        <w:rPr>
          <w:rFonts w:ascii="Times New Roman" w:hAnsi="Times New Roman" w:cs="Times New Roman"/>
          <w:sz w:val="24"/>
          <w:szCs w:val="24"/>
        </w:rPr>
        <w:t xml:space="preserve"> the principle now known as Ockham's razor. His target was specifically the bread's size and shape, what philosophers call quantity.</w:t>
      </w:r>
    </w:p>
    <w:p w14:paraId="620C3A3C"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Aquinas had said the bread's dimensions survive and act as a kind of platform that the other properties — colour, taste — attach themselves to. Ockham's response: that is a fairy tale. "Roundness" is not a separate thing that can be peeled off a substance and reused as scaffolding — there is only ever a round wafer.</w:t>
      </w:r>
    </w:p>
    <w:p w14:paraId="0A23061D"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His conclusion was blunter than Aquinas's: do not try to build a tidy rational bridge here at all. Admit it is raw, unexplainable divine power, with no clever structure underneath.</w:t>
      </w:r>
    </w:p>
    <w:p w14:paraId="7CAE32BD" w14:textId="77777777" w:rsidR="00F8712C" w:rsidRPr="00A66322" w:rsidRDefault="00000000" w:rsidP="004D09BD">
      <w:pPr>
        <w:pStyle w:val="Heading2"/>
        <w:spacing w:before="0" w:line="240" w:lineRule="auto"/>
        <w:rPr>
          <w:rFonts w:ascii="Times New Roman" w:hAnsi="Times New Roman" w:cs="Times New Roman"/>
          <w:sz w:val="24"/>
          <w:szCs w:val="24"/>
        </w:rPr>
      </w:pPr>
      <w:r w:rsidRPr="00A66322">
        <w:rPr>
          <w:rFonts w:ascii="Times New Roman" w:hAnsi="Times New Roman" w:cs="Times New Roman"/>
          <w:sz w:val="24"/>
          <w:szCs w:val="24"/>
        </w:rPr>
        <w:t>John Buridan: rewriting the dictionary</w:t>
      </w:r>
    </w:p>
    <w:p w14:paraId="41DD834E"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The most radical of the three. Buridan pointed out that we can see these accidents, touch them, weigh them, sitting there with no substance underneath. That means they are clearly real </w:t>
      </w:r>
      <w:proofErr w:type="gramStart"/>
      <w:r w:rsidRPr="00A66322">
        <w:rPr>
          <w:rFonts w:ascii="Times New Roman" w:hAnsi="Times New Roman" w:cs="Times New Roman"/>
          <w:sz w:val="24"/>
          <w:szCs w:val="24"/>
        </w:rPr>
        <w:t>beings in their own right</w:t>
      </w:r>
      <w:proofErr w:type="gramEnd"/>
      <w:r w:rsidRPr="00A66322">
        <w:rPr>
          <w:rFonts w:ascii="Times New Roman" w:hAnsi="Times New Roman" w:cs="Times New Roman"/>
          <w:sz w:val="24"/>
          <w:szCs w:val="24"/>
        </w:rPr>
        <w:t>.</w:t>
      </w:r>
    </w:p>
    <w:p w14:paraId="6A0330E8"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But Aristotle's whole system had assumed "being" always means "being </w:t>
      </w:r>
      <w:proofErr w:type="gramStart"/>
      <w:r w:rsidRPr="00A66322">
        <w:rPr>
          <w:rFonts w:ascii="Times New Roman" w:hAnsi="Times New Roman" w:cs="Times New Roman"/>
          <w:sz w:val="24"/>
          <w:szCs w:val="24"/>
        </w:rPr>
        <w:t>something" —</w:t>
      </w:r>
      <w:proofErr w:type="gramEnd"/>
      <w:r w:rsidRPr="00A66322">
        <w:rPr>
          <w:rFonts w:ascii="Times New Roman" w:hAnsi="Times New Roman" w:cs="Times New Roman"/>
          <w:sz w:val="24"/>
          <w:szCs w:val="24"/>
        </w:rPr>
        <w:t xml:space="preserve"> that is, a substance, or a property glued to one. If accidents can be </w:t>
      </w:r>
      <w:proofErr w:type="gramStart"/>
      <w:r w:rsidRPr="00A66322">
        <w:rPr>
          <w:rFonts w:ascii="Times New Roman" w:hAnsi="Times New Roman" w:cs="Times New Roman"/>
          <w:sz w:val="24"/>
          <w:szCs w:val="24"/>
        </w:rPr>
        <w:t>beings</w:t>
      </w:r>
      <w:proofErr w:type="gramEnd"/>
      <w:r w:rsidRPr="00A66322">
        <w:rPr>
          <w:rFonts w:ascii="Times New Roman" w:hAnsi="Times New Roman" w:cs="Times New Roman"/>
          <w:sz w:val="24"/>
          <w:szCs w:val="24"/>
        </w:rPr>
        <w:t xml:space="preserve"> entirely on their own, then "being" must mean the same basic thing whether one is talking about a horse or a floating property.</w:t>
      </w:r>
    </w:p>
    <w:p w14:paraId="177831DD"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That sounds like a small technical point. It is not. It quietly dismantles Aristotle's entire category system — which is a major reason historians of philosophy say the Eucharist debate helped crack open medieval thought and let modern philosophy in.</w:t>
      </w:r>
    </w:p>
    <w:p w14:paraId="791DAF3E"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br w:type="page"/>
      </w:r>
    </w:p>
    <w:p w14:paraId="02D8D410"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lastRenderedPageBreak/>
        <w:t>Act Three — The Reformation Breaks Off in a Different Direction</w:t>
      </w:r>
    </w:p>
    <w:p w14:paraId="534C2B13"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Luther did not try to patch Aquinas's system. He rejected the whole premise that the substance of bread </w:t>
      </w:r>
      <w:proofErr w:type="gramStart"/>
      <w:r w:rsidRPr="00A66322">
        <w:rPr>
          <w:rFonts w:ascii="Times New Roman" w:hAnsi="Times New Roman" w:cs="Times New Roman"/>
          <w:sz w:val="24"/>
          <w:szCs w:val="24"/>
        </w:rPr>
        <w:t>has to</w:t>
      </w:r>
      <w:proofErr w:type="gramEnd"/>
      <w:r w:rsidRPr="00A66322">
        <w:rPr>
          <w:rFonts w:ascii="Times New Roman" w:hAnsi="Times New Roman" w:cs="Times New Roman"/>
          <w:sz w:val="24"/>
          <w:szCs w:val="24"/>
        </w:rPr>
        <w:t xml:space="preserve"> disappear.</w:t>
      </w:r>
    </w:p>
    <w:p w14:paraId="2C1D59C3"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His view — sacramental union, often loosely called consubstantiation — holds that the substance of bread and wine remains exactly what it is, and Christ's body and blood are present together with it, "in, with, and under" the bread. His reasoning was partly biblical: Paul repeatedly refers to the consecrated elements as "bread," so Scripture itself seems to treat it as still bread.</w:t>
      </w:r>
    </w:p>
    <w:p w14:paraId="7D0960DB" w14:textId="77777777" w:rsidR="00F8712C" w:rsidRPr="00A66322" w:rsidRDefault="00000000" w:rsidP="004D09BD">
      <w:pPr>
        <w:spacing w:after="0" w:line="240" w:lineRule="auto"/>
        <w:ind w:left="560"/>
        <w:rPr>
          <w:rFonts w:ascii="Times New Roman" w:hAnsi="Times New Roman" w:cs="Times New Roman"/>
          <w:sz w:val="24"/>
          <w:szCs w:val="24"/>
        </w:rPr>
      </w:pPr>
      <w:r w:rsidRPr="00A66322">
        <w:rPr>
          <w:rFonts w:ascii="Times New Roman" w:hAnsi="Times New Roman" w:cs="Times New Roman"/>
          <w:i/>
          <w:sz w:val="24"/>
          <w:szCs w:val="24"/>
        </w:rPr>
        <w:t xml:space="preserve">A red-hot iron in a forge. The iron and the fire are completely united into one glowing object — one can truthfully point at it and </w:t>
      </w:r>
      <w:proofErr w:type="gramStart"/>
      <w:r w:rsidRPr="00A66322">
        <w:rPr>
          <w:rFonts w:ascii="Times New Roman" w:hAnsi="Times New Roman" w:cs="Times New Roman"/>
          <w:i/>
          <w:sz w:val="24"/>
          <w:szCs w:val="24"/>
        </w:rPr>
        <w:t>say</w:t>
      </w:r>
      <w:proofErr w:type="gramEnd"/>
      <w:r w:rsidRPr="00A66322">
        <w:rPr>
          <w:rFonts w:ascii="Times New Roman" w:hAnsi="Times New Roman" w:cs="Times New Roman"/>
          <w:i/>
          <w:sz w:val="24"/>
          <w:szCs w:val="24"/>
        </w:rPr>
        <w:t xml:space="preserve"> "this is iron" </w:t>
      </w:r>
      <w:proofErr w:type="gramStart"/>
      <w:r w:rsidRPr="00A66322">
        <w:rPr>
          <w:rFonts w:ascii="Times New Roman" w:hAnsi="Times New Roman" w:cs="Times New Roman"/>
          <w:i/>
          <w:sz w:val="24"/>
          <w:szCs w:val="24"/>
        </w:rPr>
        <w:t>and also</w:t>
      </w:r>
      <w:proofErr w:type="gramEnd"/>
      <w:r w:rsidRPr="00A66322">
        <w:rPr>
          <w:rFonts w:ascii="Times New Roman" w:hAnsi="Times New Roman" w:cs="Times New Roman"/>
          <w:i/>
          <w:sz w:val="24"/>
          <w:szCs w:val="24"/>
        </w:rPr>
        <w:t xml:space="preserve"> "this is fire." Neither </w:t>
      </w:r>
      <w:proofErr w:type="gramStart"/>
      <w:r w:rsidRPr="00A66322">
        <w:rPr>
          <w:rFonts w:ascii="Times New Roman" w:hAnsi="Times New Roman" w:cs="Times New Roman"/>
          <w:i/>
          <w:sz w:val="24"/>
          <w:szCs w:val="24"/>
        </w:rPr>
        <w:t>cancels</w:t>
      </w:r>
      <w:proofErr w:type="gramEnd"/>
      <w:r w:rsidRPr="00A66322">
        <w:rPr>
          <w:rFonts w:ascii="Times New Roman" w:hAnsi="Times New Roman" w:cs="Times New Roman"/>
          <w:i/>
          <w:sz w:val="24"/>
          <w:szCs w:val="24"/>
        </w:rPr>
        <w:t xml:space="preserve"> the </w:t>
      </w:r>
      <w:proofErr w:type="gramStart"/>
      <w:r w:rsidRPr="00A66322">
        <w:rPr>
          <w:rFonts w:ascii="Times New Roman" w:hAnsi="Times New Roman" w:cs="Times New Roman"/>
          <w:i/>
          <w:sz w:val="24"/>
          <w:szCs w:val="24"/>
        </w:rPr>
        <w:t>other</w:t>
      </w:r>
      <w:proofErr w:type="gramEnd"/>
      <w:r w:rsidRPr="00A66322">
        <w:rPr>
          <w:rFonts w:ascii="Times New Roman" w:hAnsi="Times New Roman" w:cs="Times New Roman"/>
          <w:i/>
          <w:sz w:val="24"/>
          <w:szCs w:val="24"/>
        </w:rPr>
        <w:t xml:space="preserve"> out.</w:t>
      </w:r>
      <w:r w:rsidRPr="00A66322">
        <w:rPr>
          <w:rFonts w:ascii="Times New Roman" w:hAnsi="Times New Roman" w:cs="Times New Roman"/>
          <w:b/>
          <w:sz w:val="24"/>
          <w:szCs w:val="24"/>
        </w:rPr>
        <w:t xml:space="preserve">  — Luther's analogy for sacramental union</w:t>
      </w:r>
    </w:p>
    <w:p w14:paraId="6BD5BBA6"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This is philosophically cheaper than transubstantiation — it does not need the "accidents without a subject" puzzle at all, since the substance of bread never left. But it costs something too: it cannot explain why the bread's properties would need any special metaphysics in the first place, since for Luther nothing metaphysically strange is happening to the bread itself.</w:t>
      </w:r>
    </w:p>
    <w:p w14:paraId="018CC685"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t>Where the Argument Stands Today</w:t>
      </w:r>
    </w:p>
    <w:p w14:paraId="10A88F7F"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The book closes by showing this is not a dead medieval dispute. Analytic philosophers are still building live defences of transubstantiation using contemporary tools.</w:t>
      </w:r>
    </w:p>
    <w:p w14:paraId="2D95B0F0" w14:textId="77777777" w:rsidR="00F8712C" w:rsidRPr="00A66322" w:rsidRDefault="00000000" w:rsidP="004D09BD">
      <w:pPr>
        <w:pStyle w:val="Heading2"/>
        <w:spacing w:before="0" w:line="240" w:lineRule="auto"/>
        <w:rPr>
          <w:rFonts w:ascii="Times New Roman" w:hAnsi="Times New Roman" w:cs="Times New Roman"/>
          <w:sz w:val="24"/>
          <w:szCs w:val="24"/>
        </w:rPr>
      </w:pPr>
      <w:r w:rsidRPr="00A66322">
        <w:rPr>
          <w:rFonts w:ascii="Times New Roman" w:hAnsi="Times New Roman" w:cs="Times New Roman"/>
          <w:sz w:val="24"/>
          <w:szCs w:val="24"/>
        </w:rPr>
        <w:t>Emergence</w:t>
      </w:r>
    </w:p>
    <w:p w14:paraId="62B1B633"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Two hydrogen atoms and one oxygen atom bond into a water molecule. The atoms do not physically vanish, but they lose their separate identity, and the resulting molecule has properties neither atom had alone — wetness, for instance.</w:t>
      </w:r>
    </w:p>
    <w:p w14:paraId="56A79DE7"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Some contemporary philosophers (the volume cites Ross McCullough) argue the Eucharist works similarly: the bread's underlying matter is "taken up" into Christ's presence and reorganised under a new, higher principle, producing genuinely new properties rather than leaving orphaned old ones floating in a vacuum.</w:t>
      </w:r>
    </w:p>
    <w:p w14:paraId="77618121" w14:textId="77777777" w:rsidR="00F8712C" w:rsidRPr="00A66322" w:rsidRDefault="00000000" w:rsidP="004D09BD">
      <w:pPr>
        <w:pStyle w:val="Heading2"/>
        <w:spacing w:before="0" w:line="240" w:lineRule="auto"/>
        <w:rPr>
          <w:rFonts w:ascii="Times New Roman" w:hAnsi="Times New Roman" w:cs="Times New Roman"/>
          <w:sz w:val="24"/>
          <w:szCs w:val="24"/>
        </w:rPr>
      </w:pPr>
      <w:r w:rsidRPr="00A66322">
        <w:rPr>
          <w:rFonts w:ascii="Times New Roman" w:hAnsi="Times New Roman" w:cs="Times New Roman"/>
          <w:sz w:val="24"/>
          <w:szCs w:val="24"/>
        </w:rPr>
        <w:t>Recovering realist language</w:t>
      </w:r>
    </w:p>
    <w:p w14:paraId="72A3C380"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A second line of defence (Joshua Hochschild) argues that modern discomfort with this doctrine comes from how we now think words work. We treat "bread" as basically a label slapped onto a bundle of sense-properties.</w:t>
      </w:r>
    </w:p>
    <w:p w14:paraId="0F8FF0BA"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But if "bread" is understood as naming a genuine deep organising principle — a what-it-is, not merely a description of appearances — then transubstantiation stops sounding like a magic trick and starts sounding like exactly the kind of claim that vocabulary was built to make.</w:t>
      </w:r>
    </w:p>
    <w:p w14:paraId="2012C05A"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br w:type="page"/>
      </w:r>
    </w:p>
    <w:p w14:paraId="0A69F9B1"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lastRenderedPageBreak/>
        <w:t>The Whole Argument, Zoomed Out</w:t>
      </w:r>
    </w:p>
    <w:p w14:paraId="1E9CA93C"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Aquinas built an elegant solution using the idea that God can hold properties in existence without their usual support. Scotus, Ockham and Buridan each found a different structural weak point in how that support could work, and in fixing it each had to bend Aristotle's categories a little further — until the system was strained enough that later thinkers, Luther among them, felt free to reject the framework rather than repair it. The argument never actually ended. It migrated into contemporary analytic metaphysics, where it continues today.</w:t>
      </w:r>
    </w:p>
    <w:p w14:paraId="7B152388"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t>Reference Table: What Happens to the Bread at Consecration</w:t>
      </w:r>
    </w:p>
    <w:tbl>
      <w:tblPr>
        <w:tblStyle w:val="LightGrid-Accent1"/>
        <w:tblW w:w="0" w:type="auto"/>
        <w:tblLook w:val="04A0" w:firstRow="1" w:lastRow="0" w:firstColumn="1" w:lastColumn="0" w:noHBand="0" w:noVBand="1"/>
      </w:tblPr>
      <w:tblGrid>
        <w:gridCol w:w="2160"/>
        <w:gridCol w:w="2160"/>
        <w:gridCol w:w="2160"/>
        <w:gridCol w:w="2160"/>
      </w:tblGrid>
      <w:tr w:rsidR="00F8712C" w:rsidRPr="00A66322" w14:paraId="3617F858" w14:textId="77777777" w:rsidTr="00F87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011635"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Thinker</w:t>
            </w:r>
          </w:p>
        </w:tc>
        <w:tc>
          <w:tcPr>
            <w:tcW w:w="2160" w:type="dxa"/>
          </w:tcPr>
          <w:p w14:paraId="45BDEE8F" w14:textId="77777777" w:rsidR="00F8712C" w:rsidRPr="00A66322" w:rsidRDefault="00000000" w:rsidP="004D09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What happens to the bread's substance</w:t>
            </w:r>
          </w:p>
        </w:tc>
        <w:tc>
          <w:tcPr>
            <w:tcW w:w="2160" w:type="dxa"/>
          </w:tcPr>
          <w:p w14:paraId="2275AECE" w14:textId="77777777" w:rsidR="00F8712C" w:rsidRPr="00A66322" w:rsidRDefault="00000000" w:rsidP="004D09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What happens to its properties</w:t>
            </w:r>
          </w:p>
        </w:tc>
        <w:tc>
          <w:tcPr>
            <w:tcW w:w="2160" w:type="dxa"/>
          </w:tcPr>
          <w:p w14:paraId="17BFD9EC" w14:textId="77777777" w:rsidR="00F8712C" w:rsidRPr="00A66322" w:rsidRDefault="00000000" w:rsidP="004D09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Core move</w:t>
            </w:r>
          </w:p>
        </w:tc>
      </w:tr>
      <w:tr w:rsidR="00F8712C" w:rsidRPr="00A66322" w14:paraId="1DEB135C"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9F17FE"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Aquinas</w:t>
            </w:r>
          </w:p>
        </w:tc>
        <w:tc>
          <w:tcPr>
            <w:tcW w:w="2160" w:type="dxa"/>
          </w:tcPr>
          <w:p w14:paraId="026844D1"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Converted entirely into the substance of Christ's body</w:t>
            </w:r>
          </w:p>
        </w:tc>
        <w:tc>
          <w:tcPr>
            <w:tcW w:w="2160" w:type="dxa"/>
          </w:tcPr>
          <w:p w14:paraId="7524BBB9"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Survive, held in existence directly by God's power</w:t>
            </w:r>
          </w:p>
        </w:tc>
        <w:tc>
          <w:tcPr>
            <w:tcW w:w="2160" w:type="dxa"/>
          </w:tcPr>
          <w:p w14:paraId="1D429216"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Redefines "accident"; God bypasses the usual support</w:t>
            </w:r>
          </w:p>
        </w:tc>
      </w:tr>
      <w:tr w:rsidR="00F8712C" w:rsidRPr="00A66322" w14:paraId="673258BF"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528131"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Duns Scotus</w:t>
            </w:r>
          </w:p>
        </w:tc>
        <w:tc>
          <w:tcPr>
            <w:tcW w:w="2160" w:type="dxa"/>
          </w:tcPr>
          <w:p w14:paraId="1E332DAA"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Converted, as for Aquinas</w:t>
            </w:r>
          </w:p>
        </w:tc>
        <w:tc>
          <w:tcPr>
            <w:tcW w:w="2160" w:type="dxa"/>
          </w:tcPr>
          <w:p w14:paraId="2C6B85B6"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Survive, but must be granted a kind of independent existence of their own</w:t>
            </w:r>
          </w:p>
        </w:tc>
        <w:tc>
          <w:tcPr>
            <w:tcW w:w="2160" w:type="dxa"/>
          </w:tcPr>
          <w:p w14:paraId="33F55E60"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Treats accidents as almost self-standing, blurring the substance/accident line</w:t>
            </w:r>
          </w:p>
        </w:tc>
      </w:tr>
      <w:tr w:rsidR="00F8712C" w:rsidRPr="00A66322" w14:paraId="59C3D9CF"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83895B"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Ockham</w:t>
            </w:r>
          </w:p>
        </w:tc>
        <w:tc>
          <w:tcPr>
            <w:tcW w:w="2160" w:type="dxa"/>
          </w:tcPr>
          <w:p w14:paraId="7E392619"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Converted, as for Aquinas</w:t>
            </w:r>
          </w:p>
        </w:tc>
        <w:tc>
          <w:tcPr>
            <w:tcW w:w="2160" w:type="dxa"/>
          </w:tcPr>
          <w:p w14:paraId="71777634"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Survive by brute divine power, with no explanatory structure beneath them</w:t>
            </w:r>
          </w:p>
        </w:tc>
        <w:tc>
          <w:tcPr>
            <w:tcW w:w="2160" w:type="dxa"/>
          </w:tcPr>
          <w:p w14:paraId="0EFEA31A"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Refuses any "bridge" concept such as surviving quantity; admits unexplained miracle</w:t>
            </w:r>
          </w:p>
        </w:tc>
      </w:tr>
      <w:tr w:rsidR="00F8712C" w:rsidRPr="00A66322" w14:paraId="57774223"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87D156"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Buridan</w:t>
            </w:r>
          </w:p>
        </w:tc>
        <w:tc>
          <w:tcPr>
            <w:tcW w:w="2160" w:type="dxa"/>
          </w:tcPr>
          <w:p w14:paraId="7A76A2BC"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Converted, as for Aquinas</w:t>
            </w:r>
          </w:p>
        </w:tc>
        <w:tc>
          <w:tcPr>
            <w:tcW w:w="2160" w:type="dxa"/>
          </w:tcPr>
          <w:p w14:paraId="344E05FA"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Survive as genuine independent beings</w:t>
            </w:r>
          </w:p>
        </w:tc>
        <w:tc>
          <w:tcPr>
            <w:tcW w:w="2160" w:type="dxa"/>
          </w:tcPr>
          <w:p w14:paraId="30480F14"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Concludes "being" must apply the same way to substances and to free-standing accidents</w:t>
            </w:r>
          </w:p>
        </w:tc>
      </w:tr>
      <w:tr w:rsidR="00F8712C" w:rsidRPr="00A66322" w14:paraId="6AEA7B71"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312AAF"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Luther</w:t>
            </w:r>
          </w:p>
        </w:tc>
        <w:tc>
          <w:tcPr>
            <w:tcW w:w="2160" w:type="dxa"/>
          </w:tcPr>
          <w:p w14:paraId="1A3F399E"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Remains bread; nothing is converted</w:t>
            </w:r>
          </w:p>
        </w:tc>
        <w:tc>
          <w:tcPr>
            <w:tcW w:w="2160" w:type="dxa"/>
          </w:tcPr>
          <w:p w14:paraId="0692252A"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Unchanged, because nothing metaphysically strange has happened to the bread</w:t>
            </w:r>
          </w:p>
        </w:tc>
        <w:tc>
          <w:tcPr>
            <w:tcW w:w="2160" w:type="dxa"/>
          </w:tcPr>
          <w:p w14:paraId="2FA869AA"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Christ's body and blood are present together with the bread ("in, with, and under")</w:t>
            </w:r>
          </w:p>
        </w:tc>
      </w:tr>
    </w:tbl>
    <w:p w14:paraId="408E9257"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t>Twenty Chapters, One Sentence Each</w:t>
      </w:r>
    </w:p>
    <w:p w14:paraId="3890E9D9"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The source volume runs across twenty chapters and roughly a millennium. For orientation, each is given here in a single line; the argument above draws its through-line chiefly from Chapters 6 to 17.</w:t>
      </w:r>
    </w:p>
    <w:tbl>
      <w:tblPr>
        <w:tblStyle w:val="LightGrid-Accent1"/>
        <w:tblW w:w="0" w:type="auto"/>
        <w:tblLook w:val="04A0" w:firstRow="1" w:lastRow="0" w:firstColumn="1" w:lastColumn="0" w:noHBand="0" w:noVBand="1"/>
      </w:tblPr>
      <w:tblGrid>
        <w:gridCol w:w="2880"/>
        <w:gridCol w:w="2880"/>
        <w:gridCol w:w="2880"/>
      </w:tblGrid>
      <w:tr w:rsidR="00F8712C" w:rsidRPr="00A66322" w14:paraId="7746A50E" w14:textId="77777777" w:rsidTr="00F87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8064C"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Ch.</w:t>
            </w:r>
          </w:p>
        </w:tc>
        <w:tc>
          <w:tcPr>
            <w:tcW w:w="2880" w:type="dxa"/>
          </w:tcPr>
          <w:p w14:paraId="73C64AA1" w14:textId="77777777" w:rsidR="00F8712C" w:rsidRPr="00A66322" w:rsidRDefault="00000000" w:rsidP="004D09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Author</w:t>
            </w:r>
          </w:p>
        </w:tc>
        <w:tc>
          <w:tcPr>
            <w:tcW w:w="2880" w:type="dxa"/>
          </w:tcPr>
          <w:p w14:paraId="1929E519" w14:textId="77777777" w:rsidR="00F8712C" w:rsidRPr="00A66322" w:rsidRDefault="00000000" w:rsidP="004D09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Angle taken</w:t>
            </w:r>
          </w:p>
        </w:tc>
      </w:tr>
      <w:tr w:rsidR="00F8712C" w:rsidRPr="00A66322" w14:paraId="6F4EE679"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6F408"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w:t>
            </w:r>
          </w:p>
        </w:tc>
        <w:tc>
          <w:tcPr>
            <w:tcW w:w="2880" w:type="dxa"/>
          </w:tcPr>
          <w:p w14:paraId="133CD11E"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István Perczel</w:t>
            </w:r>
          </w:p>
        </w:tc>
        <w:tc>
          <w:tcPr>
            <w:tcW w:w="2880" w:type="dxa"/>
          </w:tcPr>
          <w:p w14:paraId="1F2F2944"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The Eucharistic theology </w:t>
            </w:r>
            <w:r w:rsidRPr="00A66322">
              <w:rPr>
                <w:rFonts w:ascii="Times New Roman" w:hAnsi="Times New Roman" w:cs="Times New Roman"/>
                <w:sz w:val="24"/>
                <w:szCs w:val="24"/>
              </w:rPr>
              <w:lastRenderedPageBreak/>
              <w:t>of the Corpus Dionysiacum was altered across two redactions under sixth-century Origenist controversy.</w:t>
            </w:r>
          </w:p>
        </w:tc>
      </w:tr>
      <w:tr w:rsidR="00F8712C" w:rsidRPr="00A66322" w14:paraId="4D476A6C"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CA8D1"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lastRenderedPageBreak/>
              <w:t>2</w:t>
            </w:r>
          </w:p>
        </w:tc>
        <w:tc>
          <w:tcPr>
            <w:tcW w:w="2880" w:type="dxa"/>
          </w:tcPr>
          <w:p w14:paraId="52153351"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György Geréby</w:t>
            </w:r>
          </w:p>
        </w:tc>
        <w:tc>
          <w:tcPr>
            <w:tcW w:w="2880" w:type="dxa"/>
          </w:tcPr>
          <w:p w14:paraId="125E78A7"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Byzantine–Latin disputes over unleavened bread and the epiclesis versus the Words of Institution.</w:t>
            </w:r>
          </w:p>
        </w:tc>
      </w:tr>
      <w:tr w:rsidR="00F8712C" w:rsidRPr="00A66322" w14:paraId="1C4BD576"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A7D36"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3</w:t>
            </w:r>
          </w:p>
        </w:tc>
        <w:tc>
          <w:tcPr>
            <w:tcW w:w="2880" w:type="dxa"/>
          </w:tcPr>
          <w:p w14:paraId="3E326180"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Benedetta Contin</w:t>
            </w:r>
          </w:p>
        </w:tc>
        <w:tc>
          <w:tcPr>
            <w:tcW w:w="2880" w:type="dxa"/>
          </w:tcPr>
          <w:p w14:paraId="2DD34005"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Medieval Armenian theologians built distinct systematic paradigms from Greek Patristic and Latin Scholastic sources.</w:t>
            </w:r>
          </w:p>
        </w:tc>
      </w:tr>
      <w:tr w:rsidR="00F8712C" w:rsidRPr="00A66322" w14:paraId="14A47C31"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8DAF3"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4</w:t>
            </w:r>
          </w:p>
        </w:tc>
        <w:tc>
          <w:tcPr>
            <w:tcW w:w="2880" w:type="dxa"/>
          </w:tcPr>
          <w:p w14:paraId="1A044FE8"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Gábor Borbély</w:t>
            </w:r>
          </w:p>
        </w:tc>
        <w:tc>
          <w:tcPr>
            <w:tcW w:w="2880" w:type="dxa"/>
          </w:tcPr>
          <w:p w14:paraId="327A3087"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Thirteenth-century Parisian arts </w:t>
            </w:r>
            <w:proofErr w:type="gramStart"/>
            <w:r w:rsidRPr="00A66322">
              <w:rPr>
                <w:rFonts w:ascii="Times New Roman" w:hAnsi="Times New Roman" w:cs="Times New Roman"/>
                <w:sz w:val="24"/>
                <w:szCs w:val="24"/>
              </w:rPr>
              <w:t>masters</w:t>
            </w:r>
            <w:proofErr w:type="gramEnd"/>
            <w:r w:rsidRPr="00A66322">
              <w:rPr>
                <w:rFonts w:ascii="Times New Roman" w:hAnsi="Times New Roman" w:cs="Times New Roman"/>
                <w:sz w:val="24"/>
                <w:szCs w:val="24"/>
              </w:rPr>
              <w:t xml:space="preserve"> on the truth and pragmatic utility of seemingly impossible religious claims.</w:t>
            </w:r>
          </w:p>
        </w:tc>
      </w:tr>
      <w:tr w:rsidR="00F8712C" w:rsidRPr="00A66322" w14:paraId="687A2266"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D32C7"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5</w:t>
            </w:r>
          </w:p>
        </w:tc>
        <w:tc>
          <w:tcPr>
            <w:tcW w:w="2880" w:type="dxa"/>
          </w:tcPr>
          <w:p w14:paraId="17D1C101"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Filipa Afonso</w:t>
            </w:r>
          </w:p>
        </w:tc>
        <w:tc>
          <w:tcPr>
            <w:tcW w:w="2880" w:type="dxa"/>
          </w:tcPr>
          <w:p w14:paraId="64E60C7E"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Bonaventure's own solution to substance-less accidents, distinct from Aquinas's essence/existence route.</w:t>
            </w:r>
          </w:p>
        </w:tc>
      </w:tr>
      <w:tr w:rsidR="00F8712C" w:rsidRPr="00A66322" w14:paraId="401AE602"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6A116"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6</w:t>
            </w:r>
          </w:p>
        </w:tc>
        <w:tc>
          <w:tcPr>
            <w:tcW w:w="2880" w:type="dxa"/>
          </w:tcPr>
          <w:p w14:paraId="37DE9066"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Milo Crimi</w:t>
            </w:r>
          </w:p>
        </w:tc>
        <w:tc>
          <w:tcPr>
            <w:tcW w:w="2880" w:type="dxa"/>
          </w:tcPr>
          <w:p w14:paraId="705676DD"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Aquinas's semantic account of how the priest's words of consecration refer.</w:t>
            </w:r>
          </w:p>
        </w:tc>
      </w:tr>
      <w:tr w:rsidR="00F8712C" w:rsidRPr="00A66322" w14:paraId="16E2A941"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6BFF4"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7</w:t>
            </w:r>
          </w:p>
        </w:tc>
        <w:tc>
          <w:tcPr>
            <w:tcW w:w="2880" w:type="dxa"/>
          </w:tcPr>
          <w:p w14:paraId="2F2EDCB1"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David Twetten &amp; Nathaniel Taylor</w:t>
            </w:r>
          </w:p>
        </w:tc>
        <w:tc>
          <w:tcPr>
            <w:tcW w:w="2880" w:type="dxa"/>
          </w:tcPr>
          <w:p w14:paraId="33D53F1A"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Aquinas's dependence on Avicenna for excluding actual existence from the definition of the categories.</w:t>
            </w:r>
          </w:p>
        </w:tc>
      </w:tr>
      <w:tr w:rsidR="00F8712C" w:rsidRPr="00A66322" w14:paraId="2CB4689D"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3F02B"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8</w:t>
            </w:r>
          </w:p>
        </w:tc>
        <w:tc>
          <w:tcPr>
            <w:tcW w:w="2880" w:type="dxa"/>
          </w:tcPr>
          <w:p w14:paraId="30A15506"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Gyula Klima</w:t>
            </w:r>
          </w:p>
        </w:tc>
        <w:tc>
          <w:tcPr>
            <w:tcW w:w="2880" w:type="dxa"/>
          </w:tcPr>
          <w:p w14:paraId="384791E2"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How Aquinas's Avicennean solution, and the reactions of Siger of Brabant and Buridan, opened the fractures in scholastic thought.</w:t>
            </w:r>
          </w:p>
        </w:tc>
      </w:tr>
      <w:tr w:rsidR="00F8712C" w:rsidRPr="00A66322" w14:paraId="27A0E789"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E1CE3"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9</w:t>
            </w:r>
          </w:p>
        </w:tc>
        <w:tc>
          <w:tcPr>
            <w:tcW w:w="2880" w:type="dxa"/>
          </w:tcPr>
          <w:p w14:paraId="3E46FFBD"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Turner C. Nevitt</w:t>
            </w:r>
          </w:p>
        </w:tc>
        <w:tc>
          <w:tcPr>
            <w:tcW w:w="2880" w:type="dxa"/>
          </w:tcPr>
          <w:p w14:paraId="44CDD63E"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Aquinas's Quodlibetal Questions on why nothing short of full transubstantiation secures the real presence.</w:t>
            </w:r>
          </w:p>
        </w:tc>
      </w:tr>
      <w:tr w:rsidR="00F8712C" w:rsidRPr="00A66322" w14:paraId="313A9416"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F3288"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10</w:t>
            </w:r>
          </w:p>
        </w:tc>
        <w:tc>
          <w:tcPr>
            <w:tcW w:w="2880" w:type="dxa"/>
          </w:tcPr>
          <w:p w14:paraId="27A27B5A"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Urban Hannon</w:t>
            </w:r>
          </w:p>
        </w:tc>
        <w:tc>
          <w:tcPr>
            <w:tcW w:w="2880" w:type="dxa"/>
          </w:tcPr>
          <w:p w14:paraId="1F62ED69"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real presence depends necessarily on the total conversion of transubstantiation.</w:t>
            </w:r>
          </w:p>
        </w:tc>
      </w:tr>
      <w:tr w:rsidR="00F8712C" w:rsidRPr="00A66322" w14:paraId="1F9688F7"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FD9A6"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lastRenderedPageBreak/>
              <w:t>11</w:t>
            </w:r>
          </w:p>
        </w:tc>
        <w:tc>
          <w:tcPr>
            <w:tcW w:w="2880" w:type="dxa"/>
          </w:tcPr>
          <w:p w14:paraId="255D7DFD"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Richard Cross</w:t>
            </w:r>
          </w:p>
        </w:tc>
        <w:tc>
          <w:tcPr>
            <w:tcW w:w="2880" w:type="dxa"/>
          </w:tcPr>
          <w:p w14:paraId="0EB70DBB"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Giles of Rome and Duns Scotus increasingly treat Eucharistic accidents as independent things.</w:t>
            </w:r>
          </w:p>
        </w:tc>
      </w:tr>
      <w:tr w:rsidR="00F8712C" w:rsidRPr="00A66322" w14:paraId="16F2EF3B"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1130E3"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12</w:t>
            </w:r>
          </w:p>
        </w:tc>
        <w:tc>
          <w:tcPr>
            <w:tcW w:w="2880" w:type="dxa"/>
          </w:tcPr>
          <w:p w14:paraId="478D6768"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Calvin G. Normore</w:t>
            </w:r>
          </w:p>
        </w:tc>
        <w:tc>
          <w:tcPr>
            <w:tcW w:w="2880" w:type="dxa"/>
          </w:tcPr>
          <w:p w14:paraId="16C4CCD6"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Ockham's </w:t>
            </w:r>
            <w:proofErr w:type="gramStart"/>
            <w:r w:rsidRPr="00A66322">
              <w:rPr>
                <w:rFonts w:ascii="Times New Roman" w:hAnsi="Times New Roman" w:cs="Times New Roman"/>
                <w:sz w:val="24"/>
                <w:szCs w:val="24"/>
              </w:rPr>
              <w:t>partial-annihilation</w:t>
            </w:r>
            <w:proofErr w:type="gramEnd"/>
            <w:r w:rsidRPr="00A66322">
              <w:rPr>
                <w:rFonts w:ascii="Times New Roman" w:hAnsi="Times New Roman" w:cs="Times New Roman"/>
                <w:sz w:val="24"/>
                <w:szCs w:val="24"/>
              </w:rPr>
              <w:t xml:space="preserve"> defence of transubstantiation against Wyclif's eventual consubstantiation.</w:t>
            </w:r>
          </w:p>
        </w:tc>
      </w:tr>
      <w:tr w:rsidR="00F8712C" w:rsidRPr="00A66322" w14:paraId="6FB912E1"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07AD6"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13</w:t>
            </w:r>
          </w:p>
        </w:tc>
        <w:tc>
          <w:tcPr>
            <w:tcW w:w="2880" w:type="dxa"/>
          </w:tcPr>
          <w:p w14:paraId="59051365"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Boaz Faraday Schuman</w:t>
            </w:r>
          </w:p>
        </w:tc>
        <w:tc>
          <w:tcPr>
            <w:tcW w:w="2880" w:type="dxa"/>
          </w:tcPr>
          <w:p w14:paraId="32C5F79D"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Buridan uses </w:t>
            </w:r>
            <w:proofErr w:type="gramStart"/>
            <w:r w:rsidRPr="00A66322">
              <w:rPr>
                <w:rFonts w:ascii="Times New Roman" w:hAnsi="Times New Roman" w:cs="Times New Roman"/>
                <w:sz w:val="24"/>
                <w:szCs w:val="24"/>
              </w:rPr>
              <w:t>the separated</w:t>
            </w:r>
            <w:proofErr w:type="gramEnd"/>
            <w:r w:rsidRPr="00A66322">
              <w:rPr>
                <w:rFonts w:ascii="Times New Roman" w:hAnsi="Times New Roman" w:cs="Times New Roman"/>
                <w:sz w:val="24"/>
                <w:szCs w:val="24"/>
              </w:rPr>
              <w:t xml:space="preserve"> accidents to argue "being" is a single, univocal genus.</w:t>
            </w:r>
          </w:p>
        </w:tc>
      </w:tr>
      <w:tr w:rsidR="00F8712C" w:rsidRPr="00A66322" w14:paraId="7DD31012"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64191"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14</w:t>
            </w:r>
          </w:p>
        </w:tc>
        <w:tc>
          <w:tcPr>
            <w:tcW w:w="2880" w:type="dxa"/>
          </w:tcPr>
          <w:p w14:paraId="32DE2D05"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Ian Christopher Levy</w:t>
            </w:r>
          </w:p>
        </w:tc>
        <w:tc>
          <w:tcPr>
            <w:tcW w:w="2880" w:type="dxa"/>
          </w:tcPr>
          <w:p w14:paraId="1071EE63"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Wyclif's metaphysical objections and the Hussite reform movements that followed.</w:t>
            </w:r>
          </w:p>
        </w:tc>
      </w:tr>
      <w:tr w:rsidR="00F8712C" w:rsidRPr="00A66322" w14:paraId="3C7814DF"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C8704"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15</w:t>
            </w:r>
          </w:p>
        </w:tc>
        <w:tc>
          <w:tcPr>
            <w:tcW w:w="2880" w:type="dxa"/>
          </w:tcPr>
          <w:p w14:paraId="52745D53"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Noah Hahn</w:t>
            </w:r>
          </w:p>
        </w:tc>
        <w:tc>
          <w:tcPr>
            <w:tcW w:w="2880" w:type="dxa"/>
          </w:tcPr>
          <w:p w14:paraId="552D0DD2"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Critiques Aquinas's spatial premises; presents Luther's sacramental union as more economical.</w:t>
            </w:r>
          </w:p>
        </w:tc>
      </w:tr>
      <w:tr w:rsidR="00F8712C" w:rsidRPr="00A66322" w14:paraId="351D099C"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C571D9"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16</w:t>
            </w:r>
          </w:p>
        </w:tc>
        <w:tc>
          <w:tcPr>
            <w:tcW w:w="2880" w:type="dxa"/>
          </w:tcPr>
          <w:p w14:paraId="62AD6C92"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Giovanni Ventimiglia</w:t>
            </w:r>
          </w:p>
        </w:tc>
        <w:tc>
          <w:tcPr>
            <w:tcW w:w="2880" w:type="dxa"/>
          </w:tcPr>
          <w:p w14:paraId="322AF59B"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Jesuit Benet Perera argues the Thomist essence/existence distinction would require annihilation.</w:t>
            </w:r>
          </w:p>
        </w:tc>
      </w:tr>
      <w:tr w:rsidR="00F8712C" w:rsidRPr="00A66322" w14:paraId="7B934DE5"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067865"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17</w:t>
            </w:r>
          </w:p>
        </w:tc>
        <w:tc>
          <w:tcPr>
            <w:tcW w:w="2880" w:type="dxa"/>
          </w:tcPr>
          <w:p w14:paraId="3145828D"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Dániel Schmal</w:t>
            </w:r>
          </w:p>
        </w:tc>
        <w:tc>
          <w:tcPr>
            <w:tcW w:w="2880" w:type="dxa"/>
          </w:tcPr>
          <w:p w14:paraId="52AE161E"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Descartes's mechanistic physics could not ultimately accommodate transubstantiation.</w:t>
            </w:r>
          </w:p>
        </w:tc>
      </w:tr>
      <w:tr w:rsidR="00F8712C" w:rsidRPr="00A66322" w14:paraId="2B80E475"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03197"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18</w:t>
            </w:r>
          </w:p>
        </w:tc>
        <w:tc>
          <w:tcPr>
            <w:tcW w:w="2880" w:type="dxa"/>
          </w:tcPr>
          <w:p w14:paraId="371B612C"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Ross McCullough</w:t>
            </w:r>
          </w:p>
        </w:tc>
        <w:tc>
          <w:tcPr>
            <w:tcW w:w="2880" w:type="dxa"/>
          </w:tcPr>
          <w:p w14:paraId="306B9D5E"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 realist, emergence-based metaphysics in which accidents inhere in Christ rather than floating free.</w:t>
            </w:r>
          </w:p>
        </w:tc>
      </w:tr>
      <w:tr w:rsidR="00F8712C" w:rsidRPr="00A66322" w14:paraId="46C6DD25"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93705"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19</w:t>
            </w:r>
          </w:p>
        </w:tc>
        <w:tc>
          <w:tcPr>
            <w:tcW w:w="2880" w:type="dxa"/>
          </w:tcPr>
          <w:p w14:paraId="64507E7A"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Joshua P. Hochschild</w:t>
            </w:r>
          </w:p>
        </w:tc>
        <w:tc>
          <w:tcPr>
            <w:tcW w:w="2880" w:type="dxa"/>
          </w:tcPr>
          <w:p w14:paraId="7F10E8FB"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Transubstantiation requires recovering classical realist semantics against modern nominalism.</w:t>
            </w:r>
          </w:p>
        </w:tc>
      </w:tr>
      <w:tr w:rsidR="00F8712C" w:rsidRPr="00A66322" w14:paraId="3F102F36"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EA6F0"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20</w:t>
            </w:r>
          </w:p>
        </w:tc>
        <w:tc>
          <w:tcPr>
            <w:tcW w:w="2880" w:type="dxa"/>
          </w:tcPr>
          <w:p w14:paraId="70F71E80"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Andrew Pinsent</w:t>
            </w:r>
          </w:p>
        </w:tc>
        <w:tc>
          <w:tcPr>
            <w:tcW w:w="2880" w:type="dxa"/>
          </w:tcPr>
          <w:p w14:paraId="535A021F"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 second-person, relational reading: the Mass forms the recipient as an adopted child of God.</w:t>
            </w:r>
          </w:p>
        </w:tc>
      </w:tr>
    </w:tbl>
    <w:p w14:paraId="6AEFFD30"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t>Glossary</w:t>
      </w:r>
    </w:p>
    <w:tbl>
      <w:tblPr>
        <w:tblStyle w:val="LightGrid-Accent1"/>
        <w:tblW w:w="0" w:type="auto"/>
        <w:tblLook w:val="04A0" w:firstRow="1" w:lastRow="0" w:firstColumn="1" w:lastColumn="0" w:noHBand="0" w:noVBand="1"/>
      </w:tblPr>
      <w:tblGrid>
        <w:gridCol w:w="4320"/>
        <w:gridCol w:w="4320"/>
      </w:tblGrid>
      <w:tr w:rsidR="00F8712C" w:rsidRPr="00A66322" w14:paraId="58E03616" w14:textId="77777777" w:rsidTr="00F87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0FAB9"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Term</w:t>
            </w:r>
          </w:p>
        </w:tc>
        <w:tc>
          <w:tcPr>
            <w:tcW w:w="4320" w:type="dxa"/>
          </w:tcPr>
          <w:p w14:paraId="532F4E6B" w14:textId="77777777" w:rsidR="00F8712C" w:rsidRPr="00A66322" w:rsidRDefault="00000000" w:rsidP="004D09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Meaning</w:t>
            </w:r>
          </w:p>
        </w:tc>
      </w:tr>
      <w:tr w:rsidR="00F8712C" w:rsidRPr="00A66322" w14:paraId="116F9010"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87D451"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Substance</w:t>
            </w:r>
          </w:p>
        </w:tc>
        <w:tc>
          <w:tcPr>
            <w:tcW w:w="4320" w:type="dxa"/>
          </w:tcPr>
          <w:p w14:paraId="71E8F799"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A thing that exists independently and in its own right — a horse, an apple, a piece </w:t>
            </w:r>
            <w:r w:rsidRPr="00A66322">
              <w:rPr>
                <w:rFonts w:ascii="Times New Roman" w:hAnsi="Times New Roman" w:cs="Times New Roman"/>
                <w:sz w:val="24"/>
                <w:szCs w:val="24"/>
              </w:rPr>
              <w:lastRenderedPageBreak/>
              <w:t>of bread.</w:t>
            </w:r>
          </w:p>
        </w:tc>
      </w:tr>
      <w:tr w:rsidR="00F8712C" w:rsidRPr="00A66322" w14:paraId="20CA9682"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66371"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lastRenderedPageBreak/>
              <w:t>Accident</w:t>
            </w:r>
          </w:p>
        </w:tc>
        <w:tc>
          <w:tcPr>
            <w:tcW w:w="4320" w:type="dxa"/>
          </w:tcPr>
          <w:p w14:paraId="2A51D7A5"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 property that cannot exist on its own; it must inhere in a substance — colour, shape, taste, weight.</w:t>
            </w:r>
          </w:p>
        </w:tc>
      </w:tr>
      <w:tr w:rsidR="00F8712C" w:rsidRPr="00A66322" w14:paraId="14F163D0"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FCAA3C"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Species</w:t>
            </w:r>
          </w:p>
        </w:tc>
        <w:tc>
          <w:tcPr>
            <w:tcW w:w="4320" w:type="dxa"/>
          </w:tcPr>
          <w:p w14:paraId="761B6B54"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Eucharistic term for the accidents of bread and wine that remain after consecration.</w:t>
            </w:r>
          </w:p>
        </w:tc>
      </w:tr>
      <w:tr w:rsidR="00F8712C" w:rsidRPr="00A66322" w14:paraId="754567BB"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8EE46E"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Transubstantiation</w:t>
            </w:r>
          </w:p>
        </w:tc>
        <w:tc>
          <w:tcPr>
            <w:tcW w:w="4320" w:type="dxa"/>
          </w:tcPr>
          <w:p w14:paraId="03DDF67A"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conversion of the whole substance of bread and wine into the whole substance of Christ's body and blood, the accidents remaining unchanged.</w:t>
            </w:r>
          </w:p>
        </w:tc>
      </w:tr>
      <w:tr w:rsidR="00F8712C" w:rsidRPr="00A66322" w14:paraId="4745A24D"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960BB"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Real Presence</w:t>
            </w:r>
          </w:p>
        </w:tc>
        <w:tc>
          <w:tcPr>
            <w:tcW w:w="4320" w:type="dxa"/>
          </w:tcPr>
          <w:p w14:paraId="36F099B6"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doctrine that Christ is truly, really and substantially present, not merely symbolically.</w:t>
            </w:r>
          </w:p>
        </w:tc>
      </w:tr>
      <w:tr w:rsidR="00F8712C" w:rsidRPr="00A66322" w14:paraId="5B0F2654"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7043E1"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Essence / Existence (esse)</w:t>
            </w:r>
          </w:p>
        </w:tc>
        <w:tc>
          <w:tcPr>
            <w:tcW w:w="4320" w:type="dxa"/>
          </w:tcPr>
          <w:p w14:paraId="4EE8FBC2"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Essence is what a thing is; existence is the act of its </w:t>
            </w:r>
            <w:proofErr w:type="gramStart"/>
            <w:r w:rsidRPr="00A66322">
              <w:rPr>
                <w:rFonts w:ascii="Times New Roman" w:hAnsi="Times New Roman" w:cs="Times New Roman"/>
                <w:sz w:val="24"/>
                <w:szCs w:val="24"/>
              </w:rPr>
              <w:t>actually being</w:t>
            </w:r>
            <w:proofErr w:type="gramEnd"/>
            <w:r w:rsidRPr="00A66322">
              <w:rPr>
                <w:rFonts w:ascii="Times New Roman" w:hAnsi="Times New Roman" w:cs="Times New Roman"/>
                <w:sz w:val="24"/>
                <w:szCs w:val="24"/>
              </w:rPr>
              <w:t xml:space="preserve"> real. Aquinas, following Avicenna, holds these are </w:t>
            </w:r>
            <w:proofErr w:type="gramStart"/>
            <w:r w:rsidRPr="00A66322">
              <w:rPr>
                <w:rFonts w:ascii="Times New Roman" w:hAnsi="Times New Roman" w:cs="Times New Roman"/>
                <w:sz w:val="24"/>
                <w:szCs w:val="24"/>
              </w:rPr>
              <w:t>really distinct</w:t>
            </w:r>
            <w:proofErr w:type="gramEnd"/>
            <w:r w:rsidRPr="00A66322">
              <w:rPr>
                <w:rFonts w:ascii="Times New Roman" w:hAnsi="Times New Roman" w:cs="Times New Roman"/>
                <w:sz w:val="24"/>
                <w:szCs w:val="24"/>
              </w:rPr>
              <w:t xml:space="preserve"> in created things.</w:t>
            </w:r>
          </w:p>
        </w:tc>
      </w:tr>
      <w:tr w:rsidR="00F8712C" w:rsidRPr="00A66322" w14:paraId="1F6519FE"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E5116"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Supposition (significative / material)</w:t>
            </w:r>
          </w:p>
        </w:tc>
        <w:tc>
          <w:tcPr>
            <w:tcW w:w="4320" w:type="dxa"/>
          </w:tcPr>
          <w:p w14:paraId="44B99A66"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medieval theory of reference: whether a word points to a real thing in the world, or merely to itself as a linguistic item.</w:t>
            </w:r>
          </w:p>
        </w:tc>
      </w:tr>
      <w:tr w:rsidR="00F8712C" w:rsidRPr="00A66322" w14:paraId="407DD9DC"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A2DE13"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Circumscriptive presence</w:t>
            </w:r>
          </w:p>
        </w:tc>
        <w:tc>
          <w:tcPr>
            <w:tcW w:w="4320" w:type="dxa"/>
          </w:tcPr>
          <w:p w14:paraId="772E263D"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normal way a body occupies space — its dimensions matching and bounded by its location, part by part.</w:t>
            </w:r>
          </w:p>
        </w:tc>
      </w:tr>
      <w:tr w:rsidR="00F8712C" w:rsidRPr="00A66322" w14:paraId="66282D1C"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1BB5BF"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Non-circumscriptive presence</w:t>
            </w:r>
          </w:p>
        </w:tc>
        <w:tc>
          <w:tcPr>
            <w:tcW w:w="4320" w:type="dxa"/>
          </w:tcPr>
          <w:p w14:paraId="3D183EA6"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How Christ's body is present in the Eucharist — wholly present in the whole host and wholly present in every part, without being spatially spread out.</w:t>
            </w:r>
          </w:p>
        </w:tc>
      </w:tr>
      <w:tr w:rsidR="00F8712C" w:rsidRPr="00A66322" w14:paraId="1BDAD0D3"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577DF7"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Consubstantiation / Sacramental union</w:t>
            </w:r>
          </w:p>
        </w:tc>
        <w:tc>
          <w:tcPr>
            <w:tcW w:w="4320" w:type="dxa"/>
          </w:tcPr>
          <w:p w14:paraId="6D882AB2"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Luther's alternative: Christ's body and blood present together with the unconverted substance of bread and wine, rather than replacing it.</w:t>
            </w:r>
          </w:p>
        </w:tc>
      </w:tr>
      <w:tr w:rsidR="00F8712C" w:rsidRPr="00A66322" w14:paraId="670E8868"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9E055"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Nominalism</w:t>
            </w:r>
          </w:p>
        </w:tc>
        <w:tc>
          <w:tcPr>
            <w:tcW w:w="4320" w:type="dxa"/>
          </w:tcPr>
          <w:p w14:paraId="286FE0C4" w14:textId="77777777" w:rsidR="00F8712C" w:rsidRPr="00A66322" w:rsidRDefault="00000000" w:rsidP="004D09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The view, associated with Ockham and Buridan, that general terms (like "bread") do not name deep metaphysical realities, only collections of </w:t>
            </w:r>
            <w:proofErr w:type="gramStart"/>
            <w:r w:rsidRPr="00A66322">
              <w:rPr>
                <w:rFonts w:ascii="Times New Roman" w:hAnsi="Times New Roman" w:cs="Times New Roman"/>
                <w:sz w:val="24"/>
                <w:szCs w:val="24"/>
              </w:rPr>
              <w:t>particular things</w:t>
            </w:r>
            <w:proofErr w:type="gramEnd"/>
            <w:r w:rsidRPr="00A66322">
              <w:rPr>
                <w:rFonts w:ascii="Times New Roman" w:hAnsi="Times New Roman" w:cs="Times New Roman"/>
                <w:sz w:val="24"/>
                <w:szCs w:val="24"/>
              </w:rPr>
              <w:t xml:space="preserve"> or usages.</w:t>
            </w:r>
          </w:p>
        </w:tc>
      </w:tr>
      <w:tr w:rsidR="00F8712C" w:rsidRPr="00A66322" w14:paraId="0CEA43CE"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93E961" w14:textId="77777777" w:rsidR="00F8712C" w:rsidRPr="00A66322" w:rsidRDefault="00000000" w:rsidP="004D09BD">
            <w:pPr>
              <w:rPr>
                <w:rFonts w:ascii="Times New Roman" w:hAnsi="Times New Roman" w:cs="Times New Roman"/>
                <w:sz w:val="24"/>
                <w:szCs w:val="24"/>
              </w:rPr>
            </w:pPr>
            <w:r w:rsidRPr="00A66322">
              <w:rPr>
                <w:rFonts w:ascii="Times New Roman" w:hAnsi="Times New Roman" w:cs="Times New Roman"/>
                <w:sz w:val="24"/>
                <w:szCs w:val="24"/>
              </w:rPr>
              <w:t>Emergence</w:t>
            </w:r>
          </w:p>
        </w:tc>
        <w:tc>
          <w:tcPr>
            <w:tcW w:w="4320" w:type="dxa"/>
          </w:tcPr>
          <w:p w14:paraId="4C6D01C8" w14:textId="77777777" w:rsidR="00F8712C" w:rsidRPr="00A66322" w:rsidRDefault="00000000" w:rsidP="004D09B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In contemporary philosophy, a process in which components combine to produce a whole with genuinely new properties the parts did not have alone — as invoked in modern defences of transubstantiation.</w:t>
            </w:r>
          </w:p>
        </w:tc>
      </w:tr>
    </w:tbl>
    <w:p w14:paraId="1237E9C4" w14:textId="77777777" w:rsidR="00F8712C" w:rsidRPr="00A66322" w:rsidRDefault="00000000" w:rsidP="004D09BD">
      <w:pPr>
        <w:pStyle w:val="Heading1"/>
        <w:spacing w:before="0" w:line="240" w:lineRule="auto"/>
        <w:rPr>
          <w:rFonts w:ascii="Times New Roman" w:hAnsi="Times New Roman" w:cs="Times New Roman"/>
          <w:sz w:val="24"/>
          <w:szCs w:val="24"/>
        </w:rPr>
      </w:pPr>
      <w:r w:rsidRPr="00A66322">
        <w:rPr>
          <w:rFonts w:ascii="Times New Roman" w:hAnsi="Times New Roman" w:cs="Times New Roman"/>
          <w:sz w:val="24"/>
          <w:szCs w:val="24"/>
        </w:rPr>
        <w:t>A Note on This Document</w:t>
      </w:r>
    </w:p>
    <w:p w14:paraId="060FB2F6"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 xml:space="preserve">This is a study aid built from a single scholarly source — Gyula Klima's edited volume, consulted through NotebookLM — and it is written for a first encounter with the material, not as a substitute for reading the chapters themselves. Quotations and analogies </w:t>
      </w:r>
      <w:r w:rsidRPr="00A66322">
        <w:rPr>
          <w:rFonts w:ascii="Times New Roman" w:hAnsi="Times New Roman" w:cs="Times New Roman"/>
          <w:sz w:val="24"/>
          <w:szCs w:val="24"/>
        </w:rPr>
        <w:lastRenderedPageBreak/>
        <w:t>attributed above to specific chapters and thinkers should be checked against the original text before being cited in any piece of written work.</w:t>
      </w:r>
    </w:p>
    <w:p w14:paraId="23514808" w14:textId="77777777" w:rsidR="00F8712C" w:rsidRPr="00A66322" w:rsidRDefault="00000000" w:rsidP="004D09BD">
      <w:pPr>
        <w:spacing w:after="0" w:line="240" w:lineRule="auto"/>
        <w:rPr>
          <w:rFonts w:ascii="Times New Roman" w:hAnsi="Times New Roman" w:cs="Times New Roman"/>
          <w:sz w:val="24"/>
          <w:szCs w:val="24"/>
        </w:rPr>
      </w:pPr>
      <w:r w:rsidRPr="00A66322">
        <w:rPr>
          <w:rFonts w:ascii="Times New Roman" w:hAnsi="Times New Roman" w:cs="Times New Roman"/>
          <w:sz w:val="24"/>
          <w:szCs w:val="24"/>
        </w:rPr>
        <w:t>The account here follows the volume's own emphasis: it draws the through-line chiefly from the chapters on Aquinas, his medieval critics, and the Reformation and contemporary responses. The twenty-chapter table gives the full scope of the book for reference, including several strands — Byzantine, Armenian, and early Church material — not developed in the narrative above.</w:t>
      </w:r>
    </w:p>
    <w:sectPr w:rsidR="00F8712C" w:rsidRPr="00A663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197021">
    <w:abstractNumId w:val="8"/>
  </w:num>
  <w:num w:numId="2" w16cid:durableId="438068395">
    <w:abstractNumId w:val="6"/>
  </w:num>
  <w:num w:numId="3" w16cid:durableId="251663907">
    <w:abstractNumId w:val="5"/>
  </w:num>
  <w:num w:numId="4" w16cid:durableId="804591508">
    <w:abstractNumId w:val="4"/>
  </w:num>
  <w:num w:numId="5" w16cid:durableId="683628164">
    <w:abstractNumId w:val="7"/>
  </w:num>
  <w:num w:numId="6" w16cid:durableId="1242907965">
    <w:abstractNumId w:val="3"/>
  </w:num>
  <w:num w:numId="7" w16cid:durableId="1584216689">
    <w:abstractNumId w:val="2"/>
  </w:num>
  <w:num w:numId="8" w16cid:durableId="478959378">
    <w:abstractNumId w:val="1"/>
  </w:num>
  <w:num w:numId="9" w16cid:durableId="68860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9BD"/>
    <w:rsid w:val="005C38AA"/>
    <w:rsid w:val="00646F67"/>
    <w:rsid w:val="00704F8C"/>
    <w:rsid w:val="00A66322"/>
    <w:rsid w:val="00AA1D8D"/>
    <w:rsid w:val="00B47730"/>
    <w:rsid w:val="00CB0664"/>
    <w:rsid w:val="00F87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6605F"/>
  <w14:defaultImageDpi w14:val="300"/>
  <w15:docId w15:val="{2537DBD8-2A22-43EB-853C-D896BB63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10</Pages>
  <Words>2390</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Anthony</cp:lastModifiedBy>
  <cp:revision>3</cp:revision>
  <dcterms:created xsi:type="dcterms:W3CDTF">2013-12-23T23:15:00Z</dcterms:created>
  <dcterms:modified xsi:type="dcterms:W3CDTF">2026-08-18T14:32:00Z</dcterms:modified>
  <cp:category/>
</cp:coreProperties>
</file>