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Georgia" w:cs="Georgia" w:eastAsia="Georgia" w:hAnsi="Georgia"/>
          <w:b/>
          <w:bCs/>
          <w:smallCaps/>
          <w:color w:val="A0793D"/>
          <w:sz w:val="20"/>
          <w:szCs w:val="20"/>
        </w:rPr>
        <w:t xml:space="preserve">RECOLLECTION SERIES</w:t>
      </w:r>
    </w:p>
    <w:p>
      <w:pPr>
        <w:spacing w:before="0" w:after="60"/>
      </w:pPr>
      <w:r>
        <w:rPr>
          <w:rFonts w:ascii="Georgia" w:cs="Georgia" w:eastAsia="Georgia" w:hAnsi="Georgia"/>
          <w:i/>
          <w:iCs/>
          <w:color w:val="5C3A3A"/>
          <w:sz w:val="22"/>
          <w:szCs w:val="22"/>
        </w:rPr>
        <w:t xml:space="preserve">The Ever-Evolving Consecrated Life</w:t>
      </w:r>
    </w:p>
    <w:p>
      <w:pPr>
        <w:spacing w:before="0" w:after="60"/>
      </w:pPr>
      <w:r>
        <w:rPr>
          <w:rFonts w:ascii="Georgia" w:cs="Georgia" w:eastAsia="Georgia" w:hAnsi="Georgia"/>
          <w:color w:val="5C3A3A"/>
          <w:sz w:val="20"/>
          <w:szCs w:val="20"/>
        </w:rPr>
        <w:t xml:space="preserve">Sr. Inigo SSA — Part III, Chapter 10</w:t>
      </w:r>
    </w:p>
    <w:p>
      <w:pPr>
        <w:pBdr>
          <w:bottom w:val="single" w:color="D4C5B8" w:sz="6" w:space="1"/>
        </w:pBdr>
        <w:spacing w:before="80" w:after="80"/>
      </w:pPr>
    </w:p>
    <w:p>
      <w:pPr>
        <w:spacing w:before="160" w:after="60"/>
      </w:pPr>
    </w:p>
    <w:p>
      <w:pPr>
        <w:spacing w:before="0" w:after="100"/>
      </w:pPr>
      <w:r>
        <w:rPr>
          <w:rFonts w:ascii="Georgia" w:cs="Georgia" w:eastAsia="Georgia" w:hAnsi="Georgia"/>
          <w:b/>
          <w:bCs/>
          <w:smallCaps/>
          <w:color w:val="A0793D"/>
          <w:sz w:val="22"/>
          <w:szCs w:val="22"/>
        </w:rPr>
        <w:t xml:space="preserve">Talk 10 of the Series</w:t>
      </w:r>
    </w:p>
    <w:p>
      <w:pPr>
        <w:spacing w:before="0" w:after="180"/>
      </w:pPr>
      <w:r>
        <w:rPr>
          <w:rFonts w:ascii="Georgia" w:cs="Georgia" w:eastAsia="Georgia" w:hAnsi="Georgia"/>
          <w:b/>
          <w:bCs/>
          <w:color w:val="7B1E3C"/>
          <w:sz w:val="34"/>
          <w:szCs w:val="34"/>
        </w:rPr>
        <w:t xml:space="preserve">FIDES IN EREMO: THE FAITH THAT FINDS WATER IN THE WILDERNESS</w:t>
      </w:r>
    </w:p>
    <w:p>
      <w:pPr>
        <w:spacing w:before="0" w:after="100"/>
      </w:pPr>
      <w:r>
        <w:rPr>
          <w:rFonts w:ascii="Georgia" w:cs="Georgia" w:eastAsia="Georgia" w:hAnsi="Georgia"/>
          <w:i/>
          <w:iCs/>
          <w:color w:val="5C3A3A"/>
          <w:sz w:val="22"/>
          <w:szCs w:val="22"/>
        </w:rPr>
        <w:t xml:space="preserve">Interior Sustenance as the Condition of Prophetic Mission</w:t>
      </w:r>
    </w:p>
    <w:p>
      <w:pPr>
        <w:spacing w:before="0" w:after="80"/>
      </w:pPr>
      <w:r>
        <w:rPr>
          <w:rFonts w:ascii="Georgia" w:cs="Georgia" w:eastAsia="Georgia" w:hAnsi="Georgia"/>
          <w:i/>
          <w:iCs/>
          <w:color w:val="5C3A3A"/>
          <w:sz w:val="21"/>
          <w:szCs w:val="21"/>
        </w:rPr>
        <w:t xml:space="preserve">45-Minute Recollection for Priests, Religious, and Major Seminarians — West Bengal Region</w:t>
      </w:r>
    </w:p>
    <w:p>
      <w:pPr>
        <w:pBdr>
          <w:bottom w:val="single" w:color="D4C5B8" w:sz="6" w:space="1"/>
        </w:pBdr>
        <w:spacing w:before="80" w:after="80"/>
      </w:pPr>
    </w:p>
    <w:p>
      <w:pPr>
        <w:spacing w:before="120" w:after="80"/>
      </w:pPr>
    </w:p>
    <w:p>
      <w:pPr>
        <w:spacing w:before="120" w:after="40"/>
        <w:jc w:val="center"/>
      </w:pPr>
      <w:r>
        <w:rPr>
          <w:rFonts w:ascii="Georgia" w:cs="Georgia" w:eastAsia="Georgia" w:hAnsi="Georgia"/>
          <w:b/>
          <w:bCs/>
          <w:smallCaps/>
          <w:color w:val="A0793D"/>
          <w:sz w:val="20"/>
          <w:szCs w:val="20"/>
        </w:rPr>
        <w:t xml:space="preserve">Primary Anchor — Psalm 107:35</w:t>
      </w:r>
    </w:p>
    <w:p>
      <w:pPr>
        <w:spacing w:before="0" w:after="60"/>
        <w:jc w:val="center"/>
      </w:pPr>
      <w:r>
        <w:rPr>
          <w:rFonts w:ascii="Georgia" w:cs="Georgia" w:eastAsia="Georgia" w:hAnsi="Georgia"/>
          <w:i/>
          <w:iCs/>
          <w:color w:val="7B1E3C"/>
          <w:sz w:val="24"/>
          <w:szCs w:val="24"/>
        </w:rPr>
        <w:t xml:space="preserve">"He turns a desert into pools of water."</w:t>
      </w:r>
    </w:p>
    <w:p>
      <w:pPr>
        <w:spacing w:before="60" w:after="40"/>
        <w:jc w:val="center"/>
      </w:pPr>
      <w:r>
        <w:rPr>
          <w:rFonts w:ascii="Georgia" w:cs="Georgia" w:eastAsia="Georgia" w:hAnsi="Georgia"/>
          <w:b/>
          <w:bCs/>
          <w:smallCaps/>
          <w:color w:val="A0793D"/>
          <w:sz w:val="20"/>
          <w:szCs w:val="20"/>
        </w:rPr>
        <w:t xml:space="preserve">Secondary Anchor — Hebrews 11:6</w:t>
      </w:r>
    </w:p>
    <w:p>
      <w:pPr>
        <w:spacing w:before="0" w:after="200"/>
        <w:jc w:val="center"/>
      </w:pPr>
      <w:r>
        <w:rPr>
          <w:rFonts w:ascii="Georgia" w:cs="Georgia" w:eastAsia="Georgia" w:hAnsi="Georgia"/>
          <w:i/>
          <w:iCs/>
          <w:color w:val="7B1E3C"/>
          <w:sz w:val="24"/>
          <w:szCs w:val="24"/>
        </w:rPr>
        <w:t xml:space="preserve">"Without faith it is impossible to please God."</w:t>
      </w:r>
    </w:p>
    <w:p>
      <w:pPr>
        <w:spacing w:before="240" w:after="60"/>
      </w:pPr>
      <w:r>
        <w:rPr>
          <w:rFonts w:ascii="Georgia" w:cs="Georgia" w:eastAsia="Georgia" w:hAnsi="Georgia"/>
          <w:b/>
          <w:bCs/>
          <w:smallCaps/>
          <w:color w:val="A0793D"/>
          <w:sz w:val="20"/>
          <w:szCs w:val="20"/>
        </w:rPr>
        <w:t xml:space="preserve">Time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r>
              <w:rPr>
                <w:rFonts w:ascii="Georgia" w:cs="Georgia" w:eastAsia="Georgia" w:hAnsi="Georgia"/>
                <w:b/>
                <w:bCs/>
                <w:color w:val="FFFFFF"/>
                <w:sz w:val="21"/>
                <w:szCs w:val="21"/>
              </w:rPr>
              <w:t xml:space="preserve">Section</w:t>
            </w:r>
          </w:p>
        </w:tc>
        <w:tc>
          <w:tcPr>
            <w:tcW w:type="dxa" w:w="2160"/>
            <w:tcBorders>
              <w:top w:val="single" w:color="7B1E3C" w:sz="1"/>
              <w:left w:val="single" w:color="7B1E3C" w:sz="1"/>
              <w:bottom w:val="single" w:color="7B1E3C" w:sz="1"/>
              <w:right w:val="single" w:color="7B1E3C" w:sz="1"/>
            </w:tcBorders>
            <w:shd w:fill="7B1E3C" w:val="clear"/>
            <w:tcMar>
              <w:top w:type="dxa" w:w="100"/>
              <w:left w:type="dxa" w:w="160"/>
              <w:bottom w:type="dxa" w:w="100"/>
              <w:right w:type="dxa" w:w="100"/>
            </w:tcMar>
          </w:tcPr>
          <w:p>
            <w:pPr>
              <w:jc w:val="center"/>
            </w:pPr>
            <w:r>
              <w:rPr>
                <w:rFonts w:ascii="Georgia" w:cs="Georgia" w:eastAsia="Georgia" w:hAnsi="Georgia"/>
                <w:b/>
                <w:bCs/>
                <w:color w:val="FFFFFF"/>
                <w:sz w:val="21"/>
                <w:szCs w:val="21"/>
              </w:rPr>
              <w:t xml:space="preserve">Duration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Opening: The Problematic</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1 — Two Models of Faith</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2 — Etymological Recovery: Fides, Eremos, Redemptio</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7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3 — The Scriptural Constellation</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10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Part 4 — The Historical Diagnosis: How Faith Was Domesticated</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8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Part 5 — The Prophetic Demand: Interior Sustenance as Obligation</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5 min</w:t>
            </w:r>
          </w:p>
        </w:tc>
      </w:tr>
      <w:tr>
        <w:tc>
          <w:tcPr>
            <w:tcW w:type="dxa" w:w="720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r>
              <w:rPr>
                <w:rFonts w:ascii="Georgia" w:cs="Georgia" w:eastAsia="Georgia" w:hAnsi="Georgia"/>
                <w:color w:val="2C1A1A"/>
                <w:sz w:val="21"/>
                <w:szCs w:val="21"/>
              </w:rPr>
              <w:t xml:space="preserve">Personal Reflection (Silence + Five Questions)</w:t>
            </w:r>
          </w:p>
        </w:tc>
        <w:tc>
          <w:tcPr>
            <w:tcW w:type="dxa" w:w="2160"/>
            <w:tcBorders>
              <w:top w:val="single" w:color="D4C5B8" w:sz="1"/>
              <w:left w:val="single" w:color="D4C5B8" w:sz="1"/>
              <w:bottom w:val="single" w:color="D4C5B8" w:sz="1"/>
              <w:right w:val="single" w:color="D4C5B8" w:sz="1"/>
            </w:tcBorders>
            <w:shd w:fill="FAF5F0"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3 min</w:t>
            </w:r>
          </w:p>
        </w:tc>
      </w:tr>
      <w:tr>
        <w:tc>
          <w:tcPr>
            <w:tcW w:type="dxa" w:w="720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r>
              <w:rPr>
                <w:rFonts w:ascii="Georgia" w:cs="Georgia" w:eastAsia="Georgia" w:hAnsi="Georgia"/>
                <w:color w:val="2C1A1A"/>
                <w:sz w:val="21"/>
                <w:szCs w:val="21"/>
              </w:rPr>
              <w:t xml:space="preserve">Closing Prayer</w:t>
            </w:r>
          </w:p>
        </w:tc>
        <w:tc>
          <w:tcPr>
            <w:tcW w:type="dxa" w:w="2160"/>
            <w:tcBorders>
              <w:top w:val="single" w:color="D4C5B8" w:sz="1"/>
              <w:left w:val="single" w:color="D4C5B8" w:sz="1"/>
              <w:bottom w:val="single" w:color="D4C5B8" w:sz="1"/>
              <w:right w:val="single" w:color="D4C5B8" w:sz="1"/>
            </w:tcBorders>
            <w:shd w:fill="F2E9E2" w:val="clear"/>
            <w:tcMar>
              <w:top w:type="dxa" w:w="80"/>
              <w:left w:type="dxa" w:w="160"/>
              <w:bottom w:type="dxa" w:w="80"/>
              <w:right w:type="dxa" w:w="100"/>
            </w:tcMar>
          </w:tcPr>
          <w:p>
            <w:pPr>
              <w:jc w:val="center"/>
            </w:pPr>
            <w:r>
              <w:rPr>
                <w:rFonts w:ascii="Georgia" w:cs="Georgia" w:eastAsia="Georgia" w:hAnsi="Georgia"/>
                <w:b/>
                <w:bCs/>
                <w:color w:val="A0793D"/>
                <w:sz w:val="21"/>
                <w:szCs w:val="21"/>
              </w:rPr>
              <w:t xml:space="preserve">2 min</w:t>
            </w:r>
          </w:p>
        </w:tc>
      </w:tr>
    </w:tbl>
    <w:p>
      <w:pPr>
        <w:spacing w:before="200" w:after="100"/>
      </w:pPr>
    </w:p>
    <w:p>
      <w:pPr>
        <w:pBdr>
          <w:bottom w:val="single" w:color="D4C5B8" w:sz="6" w:space="1"/>
        </w:pBdr>
        <w:spacing w:before="80" w:after="80"/>
      </w:pPr>
    </w:p>
    <w:p>
      <w:pPr>
        <w:spacing w:before="160" w:after="80"/>
      </w:pPr>
    </w:p>
    <w:p>
      <w:pPr>
        <w:spacing w:before="240" w:after="60"/>
      </w:pPr>
      <w:r>
        <w:rPr>
          <w:rFonts w:ascii="Georgia" w:cs="Georgia" w:eastAsia="Georgia" w:hAnsi="Georgia"/>
          <w:b/>
          <w:bCs/>
          <w:smallCaps/>
          <w:color w:val="A0793D"/>
          <w:sz w:val="20"/>
          <w:szCs w:val="20"/>
        </w:rPr>
        <w:t xml:space="preserve">For the Speaker</w:t>
      </w:r>
    </w:p>
    <w:p>
      <w:pPr>
        <w:spacing w:before="60" w:after="80"/>
      </w:pPr>
      <w:r>
        <w:rPr>
          <w:rFonts w:ascii="Georgia" w:cs="Georgia" w:eastAsia="Georgia" w:hAnsi="Georgia"/>
          <w:b/>
          <w:bCs/>
          <w:color w:val="2C1A1A"/>
          <w:sz w:val="22"/>
          <w:szCs w:val="22"/>
        </w:rPr>
        <w:t xml:space="preserve">Register and Position in the Series: </w:t>
      </w:r>
      <w:r>
        <w:rPr>
          <w:rFonts w:ascii="Georgia" w:cs="Georgia" w:eastAsia="Georgia" w:hAnsi="Georgia"/>
          <w:color w:val="5C3A3A"/>
          <w:sz w:val="22"/>
          <w:szCs w:val="22"/>
        </w:rPr>
        <w:t xml:space="preserve">This is the interior turn of Part III. Talks 7-9 were outward-facing: prison, execution, systemic injustice. Talk 10 is the theological basement that makes those three possible without burnout or despair. Name this explicitly in the opening. The audience needs to understand why, after three demanding outward talks, we are turning inward. This is not retreat from mission. It is the discovery of the oasis that sustains it.</w:t>
      </w:r>
    </w:p>
    <w:p>
      <w:pPr>
        <w:spacing w:before="40" w:after="80"/>
      </w:pPr>
      <w:r>
        <w:rPr>
          <w:rFonts w:ascii="Georgia" w:cs="Georgia" w:eastAsia="Georgia" w:hAnsi="Georgia"/>
          <w:b/>
          <w:bCs/>
          <w:color w:val="2C1A1A"/>
          <w:sz w:val="22"/>
          <w:szCs w:val="22"/>
        </w:rPr>
        <w:t xml:space="preserve">Register: </w:t>
      </w:r>
      <w:r>
        <w:rPr>
          <w:rFonts w:ascii="Georgia" w:cs="Georgia" w:eastAsia="Georgia" w:hAnsi="Georgia"/>
          <w:color w:val="5C3A3A"/>
          <w:sz w:val="22"/>
          <w:szCs w:val="22"/>
        </w:rPr>
        <w:t xml:space="preserve">Lobo Register 3 (Formation Talk). The intellectual architecture is fully present: problematic, conceptual pair, etymological recovery, scriptural constellation, historical diagnosis, prophetic demand. The tone is the most contemplative of the series. More silence. More space. The stories (the old man at the clinic, Halley, the little girl on the bridge) are not illustrations — they carry the theological argument in narrative form. Honour them with pace.</w:t>
      </w:r>
    </w:p>
    <w:p>
      <w:pPr>
        <w:spacing w:before="40" w:after="80"/>
      </w:pPr>
      <w:r>
        <w:rPr>
          <w:rFonts w:ascii="Georgia" w:cs="Georgia" w:eastAsia="Georgia" w:hAnsi="Georgia"/>
          <w:b/>
          <w:bCs/>
          <w:color w:val="2C1A1A"/>
          <w:sz w:val="22"/>
          <w:szCs w:val="22"/>
        </w:rPr>
        <w:t xml:space="preserve">Key Biblical Texts: </w:t>
      </w:r>
      <w:r>
        <w:rPr>
          <w:rFonts w:ascii="Georgia" w:cs="Georgia" w:eastAsia="Georgia" w:hAnsi="Georgia"/>
          <w:color w:val="5C3A3A"/>
          <w:sz w:val="22"/>
          <w:szCs w:val="22"/>
        </w:rPr>
        <w:t xml:space="preserve">Ps 107:35; Heb 11:1, 6; Mk 9:24; Dt 8:2-5; 1 Kgs 19:4-12; Lk 4:1-2; Lk 15:17; Gal 1:15-18; Hos 2:14; Gen 22:1-14; Mt 26:53; Jn 20:24-29 (Thomas); Rom 8:26-27.</w:t>
      </w:r>
    </w:p>
    <w:p>
      <w:pPr>
        <w:spacing w:before="40" w:after="80"/>
      </w:pPr>
      <w:r>
        <w:rPr>
          <w:rFonts w:ascii="Georgia" w:cs="Georgia" w:eastAsia="Georgia" w:hAnsi="Georgia"/>
          <w:b/>
          <w:bCs/>
          <w:color w:val="2C1A1A"/>
          <w:sz w:val="22"/>
          <w:szCs w:val="22"/>
        </w:rPr>
        <w:t xml:space="preserve">Key Documents: </w:t>
      </w:r>
      <w:r>
        <w:rPr>
          <w:rFonts w:ascii="Georgia" w:cs="Georgia" w:eastAsia="Georgia" w:hAnsi="Georgia"/>
          <w:color w:val="5C3A3A"/>
          <w:sz w:val="22"/>
          <w:szCs w:val="22"/>
        </w:rPr>
        <w:t xml:space="preserve">Vita Consecrata 38, 93; Evangelii Gaudium 259-261 (encounter with Christ); Deus Caritas Est 1, 17; Verbum Domini 86 (lectio divina); Dei Verbum 21; Pastores Dabo Vobis 46-47; Catechism 2697-2719 (prayer).</w:t>
      </w:r>
    </w:p>
    <w:p>
      <w:pPr>
        <w:spacing w:before="40" w:after="80"/>
      </w:pPr>
      <w:r>
        <w:rPr>
          <w:rFonts w:ascii="Georgia" w:cs="Georgia" w:eastAsia="Georgia" w:hAnsi="Georgia"/>
          <w:b/>
          <w:bCs/>
          <w:color w:val="2C1A1A"/>
          <w:sz w:val="22"/>
          <w:szCs w:val="22"/>
        </w:rPr>
        <w:t xml:space="preserve">Key Thinkers: </w:t>
      </w:r>
      <w:r>
        <w:rPr>
          <w:rFonts w:ascii="Georgia" w:cs="Georgia" w:eastAsia="Georgia" w:hAnsi="Georgia"/>
          <w:color w:val="5C3A3A"/>
          <w:sz w:val="22"/>
          <w:szCs w:val="22"/>
        </w:rPr>
        <w:t xml:space="preserve">Abraham Heschel (God in Search of Man, 1955 — faith as response to divine initiative); Paul Tillich (The Courage to Be, 1952 — faith as ultimate concern and the acceptance of anxiety); Karl Rahner (The Practice of Faith, 1983 — everyday mysticism); Henri Nouwen (The Way of the Heart, 1981 — solitude as foundation of ministry); Thomas Merton (New Seeds of Contemplation, 1961 — desert theology); Martin Buber (I and Thou, 1923 — the I-Thou encounter that grounds all authentic relationship).</w:t>
      </w:r>
    </w:p>
    <w:p>
      <w:pPr>
        <w:spacing w:before="40" w:after="80"/>
      </w:pPr>
      <w:r>
        <w:rPr>
          <w:rFonts w:ascii="Georgia" w:cs="Georgia" w:eastAsia="Georgia" w:hAnsi="Georgia"/>
          <w:b/>
          <w:bCs/>
          <w:color w:val="2C1A1A"/>
          <w:sz w:val="22"/>
          <w:szCs w:val="22"/>
        </w:rPr>
        <w:t xml:space="preserve">Distribute at Close: </w:t>
      </w:r>
      <w:r>
        <w:rPr>
          <w:rFonts w:ascii="Georgia" w:cs="Georgia" w:eastAsia="Georgia" w:hAnsi="Georgia"/>
          <w:color w:val="5C3A3A"/>
          <w:sz w:val="22"/>
          <w:szCs w:val="22"/>
        </w:rPr>
        <w:t xml:space="preserve">The five personal reflection questions at the end of Part 5 are best given as a printed card for personal prayer during the recollection's designated silent period.</w:t>
      </w:r>
    </w:p>
    <w:p>
      <w:pPr>
        <w:spacing w:before="100" w:after="60"/>
      </w:pPr>
    </w:p>
    <w:p>
      <w:pPr>
        <w:pBdr>
          <w:bottom w:val="single" w:color="D4C5B8" w:sz="6" w:space="1"/>
        </w:pBdr>
        <w:spacing w:before="80" w:after="80"/>
      </w:pPr>
    </w:p>
    <w:p>
      <w:pPr>
        <w:spacing w:before="200" w:after="80"/>
      </w:pPr>
    </w:p>
    <w:p>
      <w:pPr>
        <w:spacing w:before="400" w:after="160"/>
      </w:pPr>
      <w:r>
        <w:rPr>
          <w:rFonts w:ascii="Georgia" w:cs="Georgia" w:eastAsia="Georgia" w:hAnsi="Georgia"/>
          <w:b/>
          <w:bCs/>
          <w:smallCaps/>
          <w:color w:val="A0793D"/>
          <w:sz w:val="22"/>
          <w:szCs w:val="22"/>
        </w:rPr>
        <w:t xml:space="preserve">Opening  |  5 Minutes  </w:t>
      </w:r>
      <w:r>
        <w:rPr>
          <w:rFonts w:ascii="Georgia" w:cs="Georgia" w:eastAsia="Georgia" w:hAnsi="Georgia"/>
          <w:b/>
          <w:bCs/>
          <w:color w:val="7B1E3C"/>
          <w:sz w:val="26"/>
          <w:szCs w:val="26"/>
        </w:rPr>
        <w:t xml:space="preserve">The Problematic</w:t>
      </w:r>
    </w:p>
    <w:p>
      <w:pPr>
        <w:spacing w:before="60" w:after="40"/>
      </w:pPr>
    </w:p>
    <w:p>
      <w:pPr>
        <w:spacing w:before="60" w:after="160" w:line="340" w:lineRule="auto"/>
        <w:jc w:val="both"/>
      </w:pPr>
      <w:r>
        <w:rPr>
          <w:rFonts w:ascii="Georgia" w:cs="Georgia" w:eastAsia="Georgia" w:hAnsi="Georgia"/>
          <w:color w:val="2C1A1A"/>
          <w:sz w:val="23"/>
          <w:szCs w:val="23"/>
        </w:rPr>
        <w:t xml:space="preserve">By way of beginning, let me name the structural problem that this talk addresses — and it is a problem that sits beneath every other problem we have examined in this series.</w:t>
      </w:r>
    </w:p>
    <w:p>
      <w:pPr>
        <w:spacing w:before="60" w:after="160" w:line="340" w:lineRule="auto"/>
        <w:jc w:val="both"/>
      </w:pPr>
      <w:r>
        <w:rPr>
          <w:rFonts w:ascii="Georgia" w:cs="Georgia" w:eastAsia="Georgia" w:hAnsi="Georgia"/>
          <w:color w:val="2C1A1A"/>
          <w:sz w:val="23"/>
          <w:szCs w:val="23"/>
        </w:rPr>
        <w:t xml:space="preserve">We say that faith is the foundation of consecrated life. Vita Consecrata 38 is precise: consecrated persons are called to be living signs of the primacy of God, witnesses to the fact that God alone is sufficient. The entire architecture of the vows — chastity, poverty, obedience — rests on this single conviction: that God is real, that God is present, and that a life oriented toward God is the most fully human life available.</w:t>
      </w:r>
    </w:p>
    <w:p>
      <w:pPr>
        <w:spacing w:before="60" w:after="160" w:line="340" w:lineRule="auto"/>
        <w:jc w:val="both"/>
      </w:pPr>
      <w:r>
        <w:rPr>
          <w:rFonts w:ascii="Georgia" w:cs="Georgia" w:eastAsia="Georgia" w:hAnsi="Georgia"/>
          <w:color w:val="2C1A1A"/>
          <w:sz w:val="23"/>
          <w:szCs w:val="23"/>
        </w:rPr>
        <w:t xml:space="preserve">We say this. We teach it in our formation programmes. We celebrate it in our solemn professions. It is the founding claim of everything we are and everything we do.</w:t>
      </w:r>
    </w:p>
    <w:p>
      <w:pPr>
        <w:spacing w:before="60" w:after="160" w:line="340" w:lineRule="auto"/>
        <w:jc w:val="both"/>
      </w:pPr>
      <w:r>
        <w:rPr>
          <w:rFonts w:ascii="Georgia" w:cs="Georgia" w:eastAsia="Georgia" w:hAnsi="Georgia"/>
          <w:color w:val="2C1A1A"/>
          <w:sz w:val="23"/>
          <w:szCs w:val="23"/>
        </w:rPr>
        <w:t xml:space="preserve">And then the following things happen. Not through apostasy. Not through a dramatic crisis of faith. Through the slow, unremarkable erosion of the actual living relationship with God that the word faith is supposed to describe.</w:t>
      </w:r>
    </w:p>
    <w:p>
      <w:pPr>
        <w:spacing w:before="60" w:after="160" w:line="340" w:lineRule="auto"/>
        <w:jc w:val="both"/>
      </w:pPr>
      <w:r>
        <w:rPr>
          <w:rFonts w:ascii="Georgia" w:cs="Georgia" w:eastAsia="Georgia" w:hAnsi="Georgia"/>
          <w:color w:val="2C1A1A"/>
          <w:sz w:val="23"/>
          <w:szCs w:val="23"/>
        </w:rPr>
        <w:t xml:space="preserve">The morning prayer becomes a duty discharged rather than an encounter sought. The Eucharist becomes a ritual maintained rather than a person met. Lectio divina, where it exists at all, becomes an intellectual exercise with the text rather than a conversation with its Author. The examination of conscience is skipped on busy days, which is to say: on most days. The silence that is the precondition of genuine prayer is crowded out by the schedule that the institution requires and the digital connectivity that the culture provides.</w:t>
      </w:r>
    </w:p>
    <w:p>
      <w:pPr>
        <w:spacing w:before="60" w:after="160" w:line="340" w:lineRule="auto"/>
        <w:jc w:val="both"/>
      </w:pPr>
      <w:r>
        <w:rPr>
          <w:rFonts w:ascii="Georgia" w:cs="Georgia" w:eastAsia="Georgia" w:hAnsi="Georgia"/>
          <w:color w:val="2C1A1A"/>
          <w:sz w:val="23"/>
          <w:szCs w:val="23"/>
        </w:rPr>
        <w:t xml:space="preserve">And the result — observable, consistent, and rarely named honestly in formation contexts — is a consecrated person whose external religious life is impeccable and whose interior life with God is, in the careful language of the tradition, arid. Dry. A wilderness without water.</w:t>
      </w:r>
    </w:p>
    <w:p>
      <w:pPr>
        <w:spacing w:before="60" w:after="160" w:line="340" w:lineRule="auto"/>
        <w:jc w:val="both"/>
      </w:pPr>
      <w:r>
        <w:rPr>
          <w:rFonts w:ascii="Georgia" w:cs="Georgia" w:eastAsia="Georgia" w:hAnsi="Georgia"/>
          <w:color w:val="2C1A1A"/>
          <w:sz w:val="23"/>
          <w:szCs w:val="23"/>
        </w:rPr>
        <w:t xml:space="preserve">The problem is not primarily moral. It is not even primarily spiritual in the devotional sense. It is theological. Because a faith that has become religious routine rather than living encounter has ceased to be faith in the theological sense and has become, in Tillich's phrase, a finite concern that has displaced the ultimate one (Tillich, The Courage to Be, 1952, ch. 2).</w:t>
      </w:r>
    </w:p>
    <w:tbl>
      <w:tblPr>
        <w:tblW w:type="dxa" w:w="9360"/>
        <w:tblBorders>
          <w:top w:val="single" w:color="D4C5B8" w:sz="1"/>
          <w:left w:val="thick" w:color="8C5A00" w:sz="18"/>
          <w:bottom w:val="single" w:color="D4C5B8" w:sz="1"/>
          <w:right w:val="single" w:color="D4C5B8" w:sz="1"/>
          <w:insideH w:val="single" w:color="auto" w:sz="4"/>
          <w:insideV w:val="single" w:color="auto" w:sz="4"/>
        </w:tblBorders>
      </w:tblPr>
      <w:tblGrid>
        <w:gridCol w:w="9360"/>
      </w:tblGrid>
      <w:tr>
        <w:tc>
          <w:tcPr>
            <w:tcW w:type="dxa" w:w="9360"/>
            <w:shd w:fill="F5EDD8"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8C5A00"/>
                <w:sz w:val="24"/>
                <w:szCs w:val="24"/>
              </w:rPr>
              <w:t xml:space="preserve">We say that God alone is sufficient. We live as though our schedule, our institution, our productivity, and our social media presence are also required. The gap between the sufficiency we profess and the sufficiency we practise is the interior crisis that no structural reform can address. It requires the recovery of faith as encounter.</w:t>
            </w:r>
          </w:p>
        </w:tc>
      </w:tr>
    </w:tbl>
    <w:p>
      <w:pPr>
        <w:spacing w:before="80" w:after="40"/>
      </w:pPr>
    </w:p>
    <w:p>
      <w:pPr>
        <w:spacing w:before="60" w:after="160" w:line="340" w:lineRule="auto"/>
        <w:jc w:val="both"/>
      </w:pPr>
      <w:r>
        <w:rPr>
          <w:rFonts w:ascii="Georgia" w:cs="Georgia" w:eastAsia="Georgia" w:hAnsi="Georgia"/>
          <w:color w:val="2C1A1A"/>
          <w:sz w:val="23"/>
          <w:szCs w:val="23"/>
        </w:rPr>
        <w:t xml:space="preserve">This produces three consequences that are directly observable in religious communities.</w:t>
      </w:r>
    </w:p>
    <w:p>
      <w:pPr>
        <w:spacing w:before="60" w:after="160" w:line="340" w:lineRule="auto"/>
        <w:jc w:val="both"/>
      </w:pPr>
      <w:r>
        <w:rPr>
          <w:rFonts w:ascii="Georgia" w:cs="Georgia" w:eastAsia="Georgia" w:hAnsi="Georgia"/>
          <w:color w:val="2C1A1A"/>
          <w:sz w:val="23"/>
          <w:szCs w:val="23"/>
        </w:rPr>
        <w:t xml:space="preserve">First: the outward prophetic action demanded by Talks 7, 8, and 9 of this series becomes unsustainable. Prison ministry, advocacy against execution, naming systemic injustice at personal cost: these are not activities that can be sustained by institutional commitment alone. They require a depth of interior life that institutional religion does not automatically produce. The missionary who has no oasis burns out. And burnt-out missionaries become either cynical or merely efficient. Neither serves the mission.</w:t>
      </w:r>
    </w:p>
    <w:p>
      <w:pPr>
        <w:spacing w:before="60" w:after="160" w:line="340" w:lineRule="auto"/>
        <w:jc w:val="both"/>
      </w:pPr>
      <w:r>
        <w:rPr>
          <w:rFonts w:ascii="Georgia" w:cs="Georgia" w:eastAsia="Georgia" w:hAnsi="Georgia"/>
          <w:color w:val="2C1A1A"/>
          <w:sz w:val="23"/>
          <w:szCs w:val="23"/>
        </w:rPr>
        <w:t xml:space="preserve">Second: the quality of our accompanying presence with those who suffer diminishes precisely when it is most needed. The person in the wilderness, in grief, in failure, in illness, needs to be accompanied by someone who has themselves been in a wilderness and found God there. A person who has never genuinely wrestled with God, who has never experienced the aridity of unanswered prayer, who has never sat in the darkness without knowing whether morning will come, cannot accompany anyone through those experiences with authority. Their presence will be technically competent and spiritually thin.</w:t>
      </w:r>
    </w:p>
    <w:p>
      <w:pPr>
        <w:spacing w:before="60" w:after="160" w:line="340" w:lineRule="auto"/>
        <w:jc w:val="both"/>
      </w:pPr>
      <w:r>
        <w:rPr>
          <w:rFonts w:ascii="Georgia" w:cs="Georgia" w:eastAsia="Georgia" w:hAnsi="Georgia"/>
          <w:color w:val="2C1A1A"/>
          <w:sz w:val="23"/>
          <w:szCs w:val="23"/>
        </w:rPr>
        <w:t xml:space="preserve">Third: the communal life deteriorates in the specific ways that are most difficult to diagnose and most resistant to institutional solutions. Communities in which individual members have no genuine interior life with God become communities held together by routine, by structure, by the shared management of institutional obligations. They are functional. They are not alive. And eventually they cease to be functional too, because structure without spirit cannot sustain itself indefinitely.</w:t>
      </w:r>
    </w:p>
    <w:p>
      <w:pPr>
        <w:spacing w:before="60" w:after="160" w:line="340" w:lineRule="auto"/>
        <w:jc w:val="both"/>
      </w:pPr>
      <w:r>
        <w:rPr>
          <w:rFonts w:ascii="Georgia" w:cs="Georgia" w:eastAsia="Georgia" w:hAnsi="Georgia"/>
          <w:color w:val="2C1A1A"/>
          <w:sz w:val="23"/>
          <w:szCs w:val="23"/>
        </w:rPr>
        <w:t xml:space="preserve">In one sentence, the thesis of this talk: faith, understood as a living, tested, costly encounter with the God who redeems rather than rescues, is not one interior virtue to be cultivated alongside the prophetic commitments of consecrated life. It is the underground spring that makes the oasis possible. Without it, everything dries up.</w:t>
      </w:r>
    </w:p>
    <w:p>
      <w:pPr>
        <w:spacing w:before="60" w:after="160" w:line="340" w:lineRule="auto"/>
        <w:jc w:val="both"/>
      </w:pPr>
      <w:r>
        <w:rPr>
          <w:rFonts w:ascii="Georgia" w:cs="Georgia" w:eastAsia="Georgia" w:hAnsi="Georgia"/>
          <w:color w:val="2C1A1A"/>
          <w:sz w:val="23"/>
          <w:szCs w:val="23"/>
        </w:rPr>
        <w:t xml:space="preserve">Let us examine what this faith is, and what it is not.</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1  |  8 Minutes  </w:t>
      </w:r>
      <w:r>
        <w:rPr>
          <w:rFonts w:ascii="Georgia" w:cs="Georgia" w:eastAsia="Georgia" w:hAnsi="Georgia"/>
          <w:b/>
          <w:bCs/>
          <w:color w:val="7B1E3C"/>
          <w:sz w:val="26"/>
          <w:szCs w:val="26"/>
        </w:rPr>
        <w:t xml:space="preserve">Two Models of Faith</w:t>
      </w:r>
    </w:p>
    <w:p>
      <w:pPr>
        <w:spacing w:before="60" w:after="40"/>
      </w:pPr>
    </w:p>
    <w:p>
      <w:pPr>
        <w:spacing w:before="60" w:after="160" w:line="340" w:lineRule="auto"/>
        <w:jc w:val="both"/>
      </w:pPr>
      <w:r>
        <w:rPr>
          <w:rFonts w:ascii="Georgia" w:cs="Georgia" w:eastAsia="Georgia" w:hAnsi="Georgia"/>
          <w:color w:val="2C1A1A"/>
          <w:sz w:val="23"/>
          <w:szCs w:val="23"/>
        </w:rPr>
        <w:t xml:space="preserve">There are two operative models of faith at work in our formation houses, our parishes, and our personal lives. They use the same vocabulary. They produce entirely different interior lives and entirely different capacities for mission.</w:t>
      </w:r>
    </w:p>
    <w:p>
      <w:pPr>
        <w:spacing w:before="280" w:after="100"/>
      </w:pPr>
      <w:r>
        <w:rPr>
          <w:rFonts w:ascii="Georgia" w:cs="Georgia" w:eastAsia="Georgia" w:hAnsi="Georgia"/>
          <w:b/>
          <w:bCs/>
          <w:i/>
          <w:iCs/>
          <w:color w:val="5C3A3A"/>
          <w:sz w:val="23"/>
          <w:szCs w:val="23"/>
        </w:rPr>
        <w:t xml:space="preserve">Model A: Faith as Religious Performance</w:t>
      </w:r>
    </w:p>
    <w:p>
      <w:pPr>
        <w:spacing w:before="60" w:after="160" w:line="340" w:lineRule="auto"/>
        <w:jc w:val="both"/>
      </w:pPr>
      <w:r>
        <w:rPr>
          <w:rFonts w:ascii="Georgia" w:cs="Georgia" w:eastAsia="Georgia" w:hAnsi="Georgia"/>
          <w:color w:val="2C1A1A"/>
          <w:sz w:val="23"/>
          <w:szCs w:val="23"/>
        </w:rPr>
        <w:t xml:space="preserve">The first model of faith is transactional and performative. In this model, faith is the sum of one's religious practices: attendance at prayer, reception of the sacraments, observance of the rule, regularity at lectio, fidelity to community life. The person who does these things is considered a person of faith. The person who struggles with them is considered weak in faith.</w:t>
      </w:r>
    </w:p>
    <w:p>
      <w:pPr>
        <w:spacing w:before="60" w:after="160" w:line="340" w:lineRule="auto"/>
        <w:jc w:val="both"/>
      </w:pPr>
      <w:r>
        <w:rPr>
          <w:rFonts w:ascii="Georgia" w:cs="Georgia" w:eastAsia="Georgia" w:hAnsi="Georgia"/>
          <w:color w:val="2C1A1A"/>
          <w:sz w:val="23"/>
          <w:szCs w:val="23"/>
        </w:rPr>
        <w:t xml:space="preserve">This model has the considerable advantage of being measurable. You can observe whether a person comes to prayer. You can track sacramental practice. You can evaluate adherence to the community rule. Formation programmes built on this model can produce assessments, progress reports, and graduation criteria.</w:t>
      </w:r>
    </w:p>
    <w:p>
      <w:pPr>
        <w:spacing w:before="60" w:after="160" w:line="340" w:lineRule="auto"/>
        <w:jc w:val="both"/>
      </w:pPr>
      <w:r>
        <w:rPr>
          <w:rFonts w:ascii="Georgia" w:cs="Georgia" w:eastAsia="Georgia" w:hAnsi="Georgia"/>
          <w:color w:val="2C1A1A"/>
          <w:sz w:val="23"/>
          <w:szCs w:val="23"/>
        </w:rPr>
        <w:t xml:space="preserve">But the model has a structural deficiency that becomes critical precisely when the person's life enters a wilderness. Because performance-faith is built on outcomes. It is calibrated to the expectation that faithful religious practice produces discernible results: interior peace, answered prayers, a sense of God's presence and guidance. And when the wilderness arrives, when the prayer goes dry, when God seems absent, when the practice produces nothing but the sense of going through the motions, the performance model has no resources for that experience. It interprets aridity as failure. It produces either renewed effort to perform better or quiet despair that the performance is no longer working.</w:t>
      </w:r>
    </w:p>
    <w:p>
      <w:pPr>
        <w:spacing w:before="60" w:after="160" w:line="340" w:lineRule="auto"/>
        <w:jc w:val="both"/>
      </w:pPr>
      <w:r>
        <w:rPr>
          <w:rFonts w:ascii="Georgia" w:cs="Georgia" w:eastAsia="Georgia" w:hAnsi="Georgia"/>
          <w:color w:val="2C1A1A"/>
          <w:sz w:val="23"/>
          <w:szCs w:val="23"/>
        </w:rPr>
        <w:t xml:space="preserve">Paul Tillich identifies the specific anxiety that performance-faith produces: the anxiety of condemnation, the fear that one is not measuring up to the standard that religious performance requires (Tillich, The Courage to Be, 1952, ch. 2). This anxiety drives religious perfectionism: the endless effort to do the right things, to say the right prayers, to be seen as a person of faith. It is exhausting. And it is, finally, a form of self-preoccupation disguised as devotion.</w:t>
      </w:r>
    </w:p>
    <w:p>
      <w:pPr>
        <w:spacing w:before="280" w:after="100"/>
      </w:pPr>
      <w:r>
        <w:rPr>
          <w:rFonts w:ascii="Georgia" w:cs="Georgia" w:eastAsia="Georgia" w:hAnsi="Georgia"/>
          <w:b/>
          <w:bCs/>
          <w:i/>
          <w:iCs/>
          <w:color w:val="5C3A3A"/>
          <w:sz w:val="23"/>
          <w:szCs w:val="23"/>
        </w:rPr>
        <w:t xml:space="preserve">Model B: Faith as Fiducia — The Entrusting of the Self</w:t>
      </w:r>
    </w:p>
    <w:p>
      <w:pPr>
        <w:spacing w:before="60" w:after="160" w:line="340" w:lineRule="auto"/>
        <w:jc w:val="both"/>
      </w:pPr>
      <w:r>
        <w:rPr>
          <w:rFonts w:ascii="Georgia" w:cs="Georgia" w:eastAsia="Georgia" w:hAnsi="Georgia"/>
          <w:color w:val="2C1A1A"/>
          <w:sz w:val="23"/>
          <w:szCs w:val="23"/>
        </w:rPr>
        <w:t xml:space="preserve">The second model begins from a theological distinction that the Reformation made sharp but that belongs to the whole Christian tradition: the distinction between fides quae, the content of faith, the things that are believed, and fides qua, the act of faith, the living trust of the whole person in the living God.</w:t>
      </w:r>
    </w:p>
    <w:p>
      <w:pPr>
        <w:spacing w:before="60" w:after="160" w:line="340" w:lineRule="auto"/>
        <w:jc w:val="both"/>
      </w:pPr>
      <w:r>
        <w:rPr>
          <w:rFonts w:ascii="Georgia" w:cs="Georgia" w:eastAsia="Georgia" w:hAnsi="Georgia"/>
          <w:color w:val="2C1A1A"/>
          <w:sz w:val="23"/>
          <w:szCs w:val="23"/>
        </w:rPr>
        <w:t xml:space="preserve">Fides qua is what the tradition calls fiducia: radical self-entrusting. It is the act described when Abraham left his country without knowing the destination (Genesis 12:1). It is what the father demonstrates in Sr. Inigo's story: going every morning to a wife who no longer recognizes him, not because the relationship is producing satisfying outcomes, but because he knows who she is and that knowledge is sufficient for continued fidelity.</w:t>
      </w:r>
    </w:p>
    <w:p>
      <w:pPr>
        <w:spacing w:before="60" w:after="160" w:line="340" w:lineRule="auto"/>
        <w:jc w:val="both"/>
      </w:pPr>
      <w:r>
        <w:rPr>
          <w:rFonts w:ascii="Georgia" w:cs="Georgia" w:eastAsia="Georgia" w:hAnsi="Georgia"/>
          <w:color w:val="2C1A1A"/>
          <w:sz w:val="23"/>
          <w:szCs w:val="23"/>
        </w:rPr>
        <w:t xml:space="preserve">Fiducia is not the absence of doubt. Mark 9:24 gives us the most honest prayer in the Gospels: Lord, I do have faith. Help my lack of faith. This is not a contradiction. It is the precise description of fiducia: a trust that co-exists with uncertainty, that continues in the absence of felt certainty, that persists through the wilderness precisely because it is not built on how the wilderness feels.</w:t>
      </w:r>
    </w:p>
    <w:p>
      <w:pPr>
        <w:spacing w:before="60" w:after="160" w:line="340" w:lineRule="auto"/>
        <w:jc w:val="both"/>
      </w:pPr>
      <w:r>
        <w:rPr>
          <w:rFonts w:ascii="Georgia" w:cs="Georgia" w:eastAsia="Georgia" w:hAnsi="Georgia"/>
          <w:color w:val="2C1A1A"/>
          <w:sz w:val="23"/>
          <w:szCs w:val="23"/>
        </w:rPr>
        <w:t xml:space="preserve">Abraham Heschel, in God in Search of Man (1955), reverses the usual framing of faith with a precision that is characteristic of the prophetic tradition. Faith, he argues, is not primarily humanity's search for God. It is humanity's response to God's search for humanity (Heschel, God in Search of Man, 1955, Part III). The initiative is always God's. We do not generate faith by sufficient effort. We receive it by attending to the initiative that is already underway.</w:t>
      </w:r>
    </w:p>
    <w:tbl>
      <w:tblPr>
        <w:tblW w:type="dxa" w:w="9360"/>
        <w:tblBorders>
          <w:top w:val="single" w:color="D4C5B8" w:sz="1"/>
          <w:left w:val="thick" w:color="8C5A00" w:sz="18"/>
          <w:bottom w:val="single" w:color="D4C5B8" w:sz="1"/>
          <w:right w:val="single" w:color="D4C5B8" w:sz="1"/>
          <w:insideH w:val="single" w:color="auto" w:sz="4"/>
          <w:insideV w:val="single" w:color="auto" w:sz="4"/>
        </w:tblBorders>
      </w:tblPr>
      <w:tblGrid>
        <w:gridCol w:w="9360"/>
      </w:tblGrid>
      <w:tr>
        <w:tc>
          <w:tcPr>
            <w:tcW w:type="dxa" w:w="9360"/>
            <w:shd w:fill="F5EDD8"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8C5A00"/>
                <w:sz w:val="24"/>
                <w:szCs w:val="24"/>
              </w:rPr>
              <w:t xml:space="preserve">Fiducia is not the white-knuckled grip of the religious performer holding on to God through the difficulty. It is the recognition that God's grip on us does not depend on the quality of our grip on God. The little girl understood this better than most theologians: You hold my hand, Daddy. If something frightening happens, you will never let go.</w:t>
            </w:r>
          </w:p>
        </w:tc>
      </w:tr>
    </w:tbl>
    <w:p>
      <w:pPr>
        <w:spacing w:before="100" w:after="60"/>
      </w:pPr>
    </w:p>
    <w:p>
      <w:pPr>
        <w:spacing w:before="60" w:after="160" w:line="340" w:lineRule="auto"/>
        <w:jc w:val="both"/>
      </w:pPr>
      <w:r>
        <w:rPr>
          <w:rFonts w:ascii="Georgia" w:cs="Georgia" w:eastAsia="Georgia" w:hAnsi="Georgia"/>
          <w:color w:val="2C1A1A"/>
          <w:sz w:val="23"/>
          <w:szCs w:val="23"/>
        </w:rPr>
        <w:t xml:space="preserve">The two models produce entirely different responses to the wilderness experience. Performance-faith interprets the wilderness as evidence of personal failure: I am not praying correctly, I am not faithful enough, something is wrong with my spiritual life. Fiducia interprets the wilderness as curriculum: God is doing something here that requires the stripping away of every support except the foundational trust. And the stripping is the formation.</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2  |  7 Minutes  </w:t>
      </w:r>
      <w:r>
        <w:rPr>
          <w:rFonts w:ascii="Georgia" w:cs="Georgia" w:eastAsia="Georgia" w:hAnsi="Georgia"/>
          <w:b/>
          <w:bCs/>
          <w:color w:val="7B1E3C"/>
          <w:sz w:val="26"/>
          <w:szCs w:val="26"/>
        </w:rPr>
        <w:t xml:space="preserve">Etymological Recovery: Three Words to Reclaim</w:t>
      </w:r>
    </w:p>
    <w:p>
      <w:pPr>
        <w:spacing w:before="60" w:after="40"/>
      </w:pPr>
    </w:p>
    <w:p>
      <w:pPr>
        <w:spacing w:before="60" w:after="160" w:line="340" w:lineRule="auto"/>
        <w:jc w:val="both"/>
      </w:pPr>
      <w:r>
        <w:rPr>
          <w:rFonts w:ascii="Georgia" w:cs="Georgia" w:eastAsia="Georgia" w:hAnsi="Georgia"/>
          <w:color w:val="2C1A1A"/>
          <w:sz w:val="23"/>
          <w:szCs w:val="23"/>
        </w:rPr>
        <w:t xml:space="preserve">Let me attend to three words that are central to this talk and have each been domesticated in ways that obscure the tradition's most demanding and most consoling insights.</w:t>
      </w:r>
    </w:p>
    <w:p>
      <w:pPr>
        <w:spacing w:before="280" w:after="100"/>
      </w:pPr>
      <w:r>
        <w:rPr>
          <w:rFonts w:ascii="Georgia" w:cs="Georgia" w:eastAsia="Georgia" w:hAnsi="Georgia"/>
          <w:b/>
          <w:bCs/>
          <w:i/>
          <w:iCs/>
          <w:color w:val="5C3A3A"/>
          <w:sz w:val="23"/>
          <w:szCs w:val="23"/>
        </w:rPr>
        <w:t xml:space="preserve">First Word: Fides</w:t>
      </w:r>
    </w:p>
    <w:p>
      <w:pPr>
        <w:spacing w:before="60" w:after="160" w:line="340" w:lineRule="auto"/>
        <w:jc w:val="both"/>
      </w:pPr>
      <w:r>
        <w:rPr>
          <w:rFonts w:ascii="Georgia" w:cs="Georgia" w:eastAsia="Georgia" w:hAnsi="Georgia"/>
          <w:color w:val="2C1A1A"/>
          <w:sz w:val="23"/>
          <w:szCs w:val="23"/>
        </w:rPr>
        <w:t xml:space="preserve">The Latin fides, from which we derive faith and fidelity, comes from the root fidere, to trust. But the full semantic range of fides in classical usage includes: trust, loyalty, word given and kept, the bond of faithful relationship. The Roman concept of fides governed treaties, friendships, commercial contracts, and the relationship between patron and client. To break fides was to break the most fundamental social bond.</w:t>
      </w:r>
    </w:p>
    <w:p>
      <w:pPr>
        <w:spacing w:before="60" w:after="160" w:line="340" w:lineRule="auto"/>
        <w:jc w:val="both"/>
      </w:pPr>
      <w:r>
        <w:rPr>
          <w:rFonts w:ascii="Georgia" w:cs="Georgia" w:eastAsia="Georgia" w:hAnsi="Georgia"/>
          <w:color w:val="2C1A1A"/>
          <w:sz w:val="23"/>
          <w:szCs w:val="23"/>
        </w:rPr>
        <w:t xml:space="preserve">When the New Testament uses pistis, the Greek equivalent, it carries the same relational weight. Pistis is not intellectual assent to propositions. It is the orientation of the whole person toward another in trustworthy relationship. The pistis of a soldier toward a commander. The pistis of a partner in a covenant.</w:t>
      </w:r>
    </w:p>
    <w:p>
      <w:pPr>
        <w:spacing w:before="60" w:after="160" w:line="340" w:lineRule="auto"/>
        <w:jc w:val="both"/>
      </w:pPr>
      <w:r>
        <w:rPr>
          <w:rFonts w:ascii="Georgia" w:cs="Georgia" w:eastAsia="Georgia" w:hAnsi="Georgia"/>
          <w:color w:val="2C1A1A"/>
          <w:sz w:val="23"/>
          <w:szCs w:val="23"/>
        </w:rPr>
        <w:t xml:space="preserve">What has happened to fides over the centuries is precisely the domestication that Brueggemann identifies in verbal-to-nominal conversion. Faith has become a thing you have: a body of doctrine to be assented to, a set of practices to be performed, a spiritual state to be maintained. It has moved from the relational and dynamic, trustworthy orientation toward the living God, to the cognitive and static, correct beliefs held by the individual.</w:t>
      </w:r>
    </w:p>
    <w:p>
      <w:pPr>
        <w:spacing w:before="60" w:after="160" w:line="340" w:lineRule="auto"/>
        <w:jc w:val="both"/>
      </w:pPr>
      <w:r>
        <w:rPr>
          <w:rFonts w:ascii="Georgia" w:cs="Georgia" w:eastAsia="Georgia" w:hAnsi="Georgia"/>
          <w:color w:val="2C1A1A"/>
          <w:sz w:val="23"/>
          <w:szCs w:val="23"/>
        </w:rPr>
        <w:t xml:space="preserve">Recovering fides means recovering the relational, dynamic, costly quality of the original: the trust that commits the whole person, that holds on not because of felt certainty but because the relationship itself is the ground of one's existence. Karl Rahner calls this the foundational act of human existence: the decision, made repeatedly and at depth, to be a person who trusts (Rahner, The Practice of Faith, 1983, p. 22).</w:t>
      </w:r>
    </w:p>
    <w:p>
      <w:pPr>
        <w:spacing w:before="280" w:after="100"/>
      </w:pPr>
      <w:r>
        <w:rPr>
          <w:rFonts w:ascii="Georgia" w:cs="Georgia" w:eastAsia="Georgia" w:hAnsi="Georgia"/>
          <w:b/>
          <w:bCs/>
          <w:i/>
          <w:iCs/>
          <w:color w:val="5C3A3A"/>
          <w:sz w:val="23"/>
          <w:szCs w:val="23"/>
        </w:rPr>
        <w:t xml:space="preserve">Second Word: Eremos</w:t>
      </w:r>
    </w:p>
    <w:p>
      <w:pPr>
        <w:spacing w:before="60" w:after="160" w:line="340" w:lineRule="auto"/>
        <w:jc w:val="both"/>
      </w:pPr>
      <w:r>
        <w:rPr>
          <w:rFonts w:ascii="Georgia" w:cs="Georgia" w:eastAsia="Georgia" w:hAnsi="Georgia"/>
          <w:color w:val="2C1A1A"/>
          <w:sz w:val="23"/>
          <w:szCs w:val="23"/>
        </w:rPr>
        <w:t xml:space="preserve">The Greek word eremos, wilderness or desert, is used in the New Testament in two apparently contradictory contexts. It is the place where Jesus is tempted for forty days (Luke 4:1-2): the place of trial, of stripping, of the assault of every alternative to God. And it is also the place where Jesus goes to pray (Luke 5:16): eremos is the preferred location for his most intense encounters with the Father.</w:t>
      </w:r>
    </w:p>
    <w:p>
      <w:pPr>
        <w:spacing w:before="60" w:after="160" w:line="340" w:lineRule="auto"/>
        <w:jc w:val="both"/>
      </w:pPr>
      <w:r>
        <w:rPr>
          <w:rFonts w:ascii="Georgia" w:cs="Georgia" w:eastAsia="Georgia" w:hAnsi="Georgia"/>
          <w:color w:val="2C1A1A"/>
          <w:sz w:val="23"/>
          <w:szCs w:val="23"/>
        </w:rPr>
        <w:t xml:space="preserve">The same word. The place of temptation and the place of prayer. The wilderness is both.</w:t>
      </w:r>
    </w:p>
    <w:p>
      <w:pPr>
        <w:spacing w:before="60" w:after="160" w:line="340" w:lineRule="auto"/>
        <w:jc w:val="both"/>
      </w:pPr>
      <w:r>
        <w:rPr>
          <w:rFonts w:ascii="Georgia" w:cs="Georgia" w:eastAsia="Georgia" w:hAnsi="Georgia"/>
          <w:color w:val="2C1A1A"/>
          <w:sz w:val="23"/>
          <w:szCs w:val="23"/>
        </w:rPr>
        <w:t xml:space="preserve">This lexical overlap is theologically precise. The desert strips away the social supports, the comfortable identities, the distractions that allow a person to manage their relationship with God at a comfortable distance. In the stripping, the temptations become visible, because they are no longer masked by busyness. And in that same stripping, the encounter with God becomes possible in a depth that the furnished life does not permit.</w:t>
      </w:r>
    </w:p>
    <w:p>
      <w:pPr>
        <w:spacing w:before="60" w:after="160" w:line="340" w:lineRule="auto"/>
        <w:jc w:val="both"/>
      </w:pPr>
      <w:r>
        <w:rPr>
          <w:rFonts w:ascii="Georgia" w:cs="Georgia" w:eastAsia="Georgia" w:hAnsi="Georgia"/>
          <w:color w:val="2C1A1A"/>
          <w:sz w:val="23"/>
          <w:szCs w:val="23"/>
        </w:rPr>
        <w:t xml:space="preserve">Thomas Merton, the Trappist monk whose desert theology has shaped contemporary spirituality, argues that the desert fathers went to the wilderness not to escape the world but to find, at the root of their own existence, the spring from which genuine engagement with the world could flow (Merton, New Seeds of Contemplation, 1961, ch. 1). The eremos is not the opposite of mission. It is mission's underground source.</w:t>
      </w:r>
    </w:p>
    <w:p>
      <w:pPr>
        <w:spacing w:before="60" w:after="160" w:line="340" w:lineRule="auto"/>
        <w:jc w:val="both"/>
      </w:pPr>
      <w:r>
        <w:rPr>
          <w:rFonts w:ascii="Georgia" w:cs="Georgia" w:eastAsia="Georgia" w:hAnsi="Georgia"/>
          <w:color w:val="2C1A1A"/>
          <w:sz w:val="23"/>
          <w:szCs w:val="23"/>
        </w:rPr>
        <w:t xml:space="preserve">Hosea 2:14 is perhaps the most surprising use of the wilderness image in all of Scripture: Therefore I will now allure her, and bring her into the wilderness, and speak tenderly to her. God's wilderness is a place of allurement. Of tender speech. The Hebrew for speak tenderly is literally speak to her heart. The wilderness, in Hosea, is where God whispers.</w:t>
      </w:r>
    </w:p>
    <w:p>
      <w:pPr>
        <w:spacing w:before="280" w:after="100"/>
      </w:pPr>
      <w:r>
        <w:rPr>
          <w:rFonts w:ascii="Georgia" w:cs="Georgia" w:eastAsia="Georgia" w:hAnsi="Georgia"/>
          <w:b/>
          <w:bCs/>
          <w:i/>
          <w:iCs/>
          <w:color w:val="5C3A3A"/>
          <w:sz w:val="23"/>
          <w:szCs w:val="23"/>
        </w:rPr>
        <w:t xml:space="preserve">Third Word: Redemptio</w:t>
      </w:r>
    </w:p>
    <w:p>
      <w:pPr>
        <w:spacing w:before="60" w:after="160" w:line="340" w:lineRule="auto"/>
        <w:jc w:val="both"/>
      </w:pPr>
      <w:r>
        <w:rPr>
          <w:rFonts w:ascii="Georgia" w:cs="Georgia" w:eastAsia="Georgia" w:hAnsi="Georgia"/>
          <w:color w:val="2C1A1A"/>
          <w:sz w:val="23"/>
          <w:szCs w:val="23"/>
        </w:rPr>
        <w:t xml:space="preserve">The Latin redemptio comes from redimere: to buy back, to restore to original ownership, to liberate by payment. It carries the economic metaphor of the slave market: the redeemer pays the price that liberates the enslaved person and restores them to their original status as free.</w:t>
      </w:r>
    </w:p>
    <w:p>
      <w:pPr>
        <w:spacing w:before="60" w:after="160" w:line="340" w:lineRule="auto"/>
        <w:jc w:val="both"/>
      </w:pPr>
      <w:r>
        <w:rPr>
          <w:rFonts w:ascii="Georgia" w:cs="Georgia" w:eastAsia="Georgia" w:hAnsi="Georgia"/>
          <w:color w:val="2C1A1A"/>
          <w:sz w:val="23"/>
          <w:szCs w:val="23"/>
        </w:rPr>
        <w:t xml:space="preserve">This word is categorically different from rescissio, the Latin for rescue, which comes from rescutere: to shake off, to pull clear of danger. Rescue removes the person from the situation. Redemption transforms the person within the situation and transforms the meaning of the situation itself.</w:t>
      </w:r>
    </w:p>
    <w:p>
      <w:pPr>
        <w:spacing w:before="60" w:after="160" w:line="340" w:lineRule="auto"/>
        <w:jc w:val="both"/>
      </w:pPr>
      <w:r>
        <w:rPr>
          <w:rFonts w:ascii="Georgia" w:cs="Georgia" w:eastAsia="Georgia" w:hAnsi="Georgia"/>
          <w:color w:val="2C1A1A"/>
          <w:sz w:val="23"/>
          <w:szCs w:val="23"/>
        </w:rPr>
        <w:t xml:space="preserve">The difference is not merely semantic. It produces entirely different theologies of suffering, entirely different approaches to prayer, and entirely different capacities for accompanying others in their pain. The rescue theology promises deliverance from the wilderness. The redemption theology promises transformation within it.</w:t>
      </w:r>
    </w:p>
    <w:p>
      <w:pPr>
        <w:spacing w:before="60" w:after="160" w:line="340" w:lineRule="auto"/>
        <w:jc w:val="both"/>
      </w:pPr>
      <w:r>
        <w:rPr>
          <w:rFonts w:ascii="Georgia" w:cs="Georgia" w:eastAsia="Georgia" w:hAnsi="Georgia"/>
          <w:color w:val="2C1A1A"/>
          <w:sz w:val="23"/>
          <w:szCs w:val="23"/>
        </w:rPr>
        <w:t xml:space="preserve">The cross is the definitive demonstration. God did not rescue Jesus from crucifixion. Twelve legions of angels were available, and none were sent (Matthew 26:53). God redeemed the crucifixion: took the most obscene instrument of Roman state power and transformed it, through resurrection, into the axis of history's meaning. The wilderness of Golgotha became, by redemption, the site of the world's liberation.</w:t>
      </w:r>
    </w:p>
    <w:tbl>
      <w:tblPr>
        <w:tblW w:type="dxa" w:w="9360"/>
        <w:tblBorders>
          <w:top w:val="single" w:color="D4C5B8" w:sz="1"/>
          <w:left w:val="thick" w:color="8C5A00" w:sz="18"/>
          <w:bottom w:val="single" w:color="D4C5B8" w:sz="1"/>
          <w:right w:val="single" w:color="D4C5B8" w:sz="1"/>
          <w:insideH w:val="single" w:color="auto" w:sz="4"/>
          <w:insideV w:val="single" w:color="auto" w:sz="4"/>
        </w:tblBorders>
      </w:tblPr>
      <w:tblGrid>
        <w:gridCol w:w="9360"/>
      </w:tblGrid>
      <w:tr>
        <w:tc>
          <w:tcPr>
            <w:tcW w:type="dxa" w:w="9360"/>
            <w:shd w:fill="F5EDD8"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8C5A00"/>
                <w:sz w:val="24"/>
                <w:szCs w:val="24"/>
              </w:rPr>
              <w:t xml:space="preserve">God's response to our wilderness is not the removal of the desert but the appearance of water within it: He turns a desert into pools of water (Psalm 107:35). The oasis does not appear after the desert ends. It appears inside it. This is the theology of redemption. And it is the only theology that can sustain a life of genuine mission without burning out.</w:t>
            </w:r>
          </w:p>
        </w:tc>
      </w:tr>
    </w:tbl>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3  |  10 Minutes  </w:t>
      </w:r>
      <w:r>
        <w:rPr>
          <w:rFonts w:ascii="Georgia" w:cs="Georgia" w:eastAsia="Georgia" w:hAnsi="Georgia"/>
          <w:b/>
          <w:bCs/>
          <w:color w:val="7B1E3C"/>
          <w:sz w:val="26"/>
          <w:szCs w:val="26"/>
        </w:rPr>
        <w:t xml:space="preserve">The Scriptural Constellation</w:t>
      </w:r>
    </w:p>
    <w:p>
      <w:pPr>
        <w:spacing w:before="60" w:after="40"/>
      </w:pPr>
    </w:p>
    <w:p>
      <w:pPr>
        <w:spacing w:before="60" w:after="160" w:line="340" w:lineRule="auto"/>
        <w:jc w:val="both"/>
      </w:pPr>
      <w:r>
        <w:rPr>
          <w:rFonts w:ascii="Georgia" w:cs="Georgia" w:eastAsia="Georgia" w:hAnsi="Georgia"/>
          <w:color w:val="2C1A1A"/>
          <w:sz w:val="23"/>
          <w:szCs w:val="23"/>
        </w:rPr>
        <w:t xml:space="preserve">The wilderness is not a marginal theme in Scripture. It is structurally central to the whole narrative. Let me read several texts together, each adding a dimension the others do not contain.</w:t>
      </w:r>
    </w:p>
    <w:p>
      <w:pPr>
        <w:spacing w:before="280" w:after="100"/>
      </w:pPr>
      <w:r>
        <w:rPr>
          <w:rFonts w:ascii="Georgia" w:cs="Georgia" w:eastAsia="Georgia" w:hAnsi="Georgia"/>
          <w:b/>
          <w:bCs/>
          <w:i/>
          <w:iCs/>
          <w:color w:val="5C3A3A"/>
          <w:sz w:val="23"/>
          <w:szCs w:val="23"/>
        </w:rPr>
        <w:t xml:space="preserve">Text 1 — Deuteronomy 8:2-5: The Wilderness as Curriculum</w:t>
      </w:r>
    </w:p>
    <w:p>
      <w:pPr>
        <w:spacing w:before="60" w:after="160" w:line="340" w:lineRule="auto"/>
        <w:jc w:val="both"/>
      </w:pPr>
      <w:r>
        <w:rPr>
          <w:rFonts w:ascii="Georgia" w:cs="Georgia" w:eastAsia="Georgia" w:hAnsi="Georgia"/>
          <w:color w:val="2C1A1A"/>
          <w:sz w:val="23"/>
          <w:szCs w:val="23"/>
        </w:rPr>
        <w:t xml:space="preserve">Moses addresses Israel on the threshold of the Promised Land and offers a theological interpretation of the forty years of desert wandering: Remember the long way that the Lord your God has led you these forty years in the wilderness, in order to humble you, testing you to know what was in your heart, whether or not you would keep his commandments (Deuteronomy 8:2).</w:t>
      </w:r>
    </w:p>
    <w:p>
      <w:pPr>
        <w:spacing w:before="60" w:after="160" w:line="340" w:lineRule="auto"/>
        <w:jc w:val="both"/>
      </w:pPr>
      <w:r>
        <w:rPr>
          <w:rFonts w:ascii="Georgia" w:cs="Georgia" w:eastAsia="Georgia" w:hAnsi="Georgia"/>
          <w:color w:val="2C1A1A"/>
          <w:sz w:val="23"/>
          <w:szCs w:val="23"/>
        </w:rPr>
        <w:t xml:space="preserve">The wilderness had a purpose. It was not punishment for the sin of the golden calf alone, though that extends the period. It was curriculum. God's stated intention: to know what was in your heart. To discover, at depth, what the Israelites were actually made of when every external support was removed. The manna, which arrived daily and could not be stored (Exodus 16:19-20), was the wilderness's most precise formation tool: it trained Israel to trust God for today's provision without securing tomorrow's independently.</w:t>
      </w:r>
    </w:p>
    <w:p>
      <w:pPr>
        <w:spacing w:before="60" w:after="160" w:line="340" w:lineRule="auto"/>
        <w:jc w:val="both"/>
      </w:pPr>
      <w:r>
        <w:rPr>
          <w:rFonts w:ascii="Georgia" w:cs="Georgia" w:eastAsia="Georgia" w:hAnsi="Georgia"/>
          <w:color w:val="2C1A1A"/>
          <w:sz w:val="23"/>
          <w:szCs w:val="23"/>
        </w:rPr>
        <w:t xml:space="preserve">The formation lesson of Deuteronomy 8 is one that every seminary and novitiate should engrave at its entrance: God does not take us around the wilderness. He takes us through it. And the through is not wasted time. It is the time when the most permanent formation occurs, because it is the time when nothing else is available as a substitute for God.</w:t>
      </w:r>
    </w:p>
    <w:p>
      <w:pPr>
        <w:spacing w:before="280" w:after="100"/>
      </w:pPr>
      <w:r>
        <w:rPr>
          <w:rFonts w:ascii="Georgia" w:cs="Georgia" w:eastAsia="Georgia" w:hAnsi="Georgia"/>
          <w:b/>
          <w:bCs/>
          <w:i/>
          <w:iCs/>
          <w:color w:val="5C3A3A"/>
          <w:sz w:val="23"/>
          <w:szCs w:val="23"/>
        </w:rPr>
        <w:t xml:space="preserve">Text 2 — 1 Kings 19:4-12: Elijah Under the Juniper Tree</w:t>
      </w:r>
    </w:p>
    <w:p>
      <w:pPr>
        <w:spacing w:before="60" w:after="160" w:line="340" w:lineRule="auto"/>
        <w:jc w:val="both"/>
      </w:pPr>
      <w:r>
        <w:rPr>
          <w:rFonts w:ascii="Georgia" w:cs="Georgia" w:eastAsia="Georgia" w:hAnsi="Georgia"/>
          <w:color w:val="2C1A1A"/>
          <w:sz w:val="23"/>
          <w:szCs w:val="23"/>
        </w:rPr>
        <w:t xml:space="preserve">Elijah has just performed the most spectacular prophetic feat in the Old Testament: he has called down fire from heaven on Carmel and destroyed the prophets of Baal (1 Kings 18). And immediately afterward he collapses.</w:t>
      </w:r>
    </w:p>
    <w:p>
      <w:pPr>
        <w:spacing w:before="60" w:after="160" w:line="340" w:lineRule="auto"/>
        <w:jc w:val="both"/>
      </w:pPr>
      <w:r>
        <w:rPr>
          <w:rFonts w:ascii="Georgia" w:cs="Georgia" w:eastAsia="Georgia" w:hAnsi="Georgia"/>
          <w:color w:val="2C1A1A"/>
          <w:sz w:val="23"/>
          <w:szCs w:val="23"/>
        </w:rPr>
        <w:t xml:space="preserve">He flees into the wilderness. He sits under a juniper tree and asks God to take his life: I have had enough, Lord. Take away my life. I am no better than my ancestors (1 Kings 19:4).</w:t>
      </w:r>
    </w:p>
    <w:p>
      <w:pPr>
        <w:spacing w:before="60" w:after="160" w:line="340" w:lineRule="auto"/>
        <w:jc w:val="both"/>
      </w:pPr>
      <w:r>
        <w:rPr>
          <w:rFonts w:ascii="Georgia" w:cs="Georgia" w:eastAsia="Georgia" w:hAnsi="Georgia"/>
          <w:color w:val="2C1A1A"/>
          <w:sz w:val="23"/>
          <w:szCs w:val="23"/>
        </w:rPr>
        <w:t xml:space="preserve">The burnout of the prophet after the mountaintop. Elijah, who had just demonstrated that God was real and present and powerful, is now in a wilderness so complete that he is asking for death. The wilderness follows the mountaintop, not the valley. This is the pattern of the most serious spiritual aridity.</w:t>
      </w:r>
    </w:p>
    <w:p>
      <w:pPr>
        <w:spacing w:before="60" w:after="160" w:line="340" w:lineRule="auto"/>
        <w:jc w:val="both"/>
      </w:pPr>
      <w:r>
        <w:rPr>
          <w:rFonts w:ascii="Georgia" w:cs="Georgia" w:eastAsia="Georgia" w:hAnsi="Georgia"/>
          <w:color w:val="2C1A1A"/>
          <w:sz w:val="23"/>
          <w:szCs w:val="23"/>
        </w:rPr>
        <w:t xml:space="preserve">And what does God do? He does not speak a word of theology. He sends an angel who touches Elijah, says the journey is too great for you (1 Kings 19:7), and provides food and water. Twice. Before any theological conversation begins.</w:t>
      </w:r>
    </w:p>
    <w:p>
      <w:pPr>
        <w:spacing w:before="60" w:after="160" w:line="340" w:lineRule="auto"/>
        <w:jc w:val="both"/>
      </w:pPr>
      <w:r>
        <w:rPr>
          <w:rFonts w:ascii="Georgia" w:cs="Georgia" w:eastAsia="Georgia" w:hAnsi="Georgia"/>
          <w:color w:val="2C1A1A"/>
          <w:sz w:val="23"/>
          <w:szCs w:val="23"/>
        </w:rPr>
        <w:t xml:space="preserve">Then Elijah travels forty days to Horeb, the mountain of God, and there God speaks. Not in the wind. Not in the earthquake. Not in the fire. In a still small voice (1 Kings 19:12), the Hebrew qol demamah daqah, literally the sound of sheer silence.</w:t>
      </w:r>
    </w:p>
    <w:p>
      <w:pPr>
        <w:spacing w:before="60" w:after="160" w:line="340" w:lineRule="auto"/>
        <w:jc w:val="both"/>
      </w:pPr>
      <w:r>
        <w:rPr>
          <w:rFonts w:ascii="Georgia" w:cs="Georgia" w:eastAsia="Georgia" w:hAnsi="Georgia"/>
          <w:color w:val="2C1A1A"/>
          <w:sz w:val="23"/>
          <w:szCs w:val="23"/>
        </w:rPr>
        <w:t xml:space="preserve">God's address to the burnt-out prophet is silence. Not explanation. Not justification of the previous suffering. Not a theological framework for the wilderness experience. Silence. The sound of a presence so complete it needs no words.</w:t>
      </w:r>
    </w:p>
    <w:p>
      <w:pPr>
        <w:spacing w:before="60" w:after="160" w:line="340" w:lineRule="auto"/>
        <w:jc w:val="both"/>
      </w:pPr>
      <w:r>
        <w:rPr>
          <w:rFonts w:ascii="Georgia" w:cs="Georgia" w:eastAsia="Georgia" w:hAnsi="Georgia"/>
          <w:color w:val="2C1A1A"/>
          <w:sz w:val="23"/>
          <w:szCs w:val="23"/>
        </w:rPr>
        <w:t xml:space="preserve">Henri Nouwen, who himself experienced profound periods of spiritual desolation, argues in The Way of the Heart (1981) that the desert fathers were not fleeing the world when they went to the wilderness. They were finding, beneath the social noise that makes God inaudible, the silence in which God speaks (Nouwen, The Way of the Heart, 1981, pp. 25-30). Elijah's God speaks in silence. Which means that the cultivation of silence, genuine silence, not merely the absence of external sound but the interior quiet that allows the qol demamah daqah to be heard, is not a luxury for the contemplative specialist. It is the ordinary requirement of prophetic ministry.</w:t>
      </w:r>
    </w:p>
    <w:p>
      <w:pPr>
        <w:spacing w:before="280" w:after="100"/>
      </w:pPr>
      <w:r>
        <w:rPr>
          <w:rFonts w:ascii="Georgia" w:cs="Georgia" w:eastAsia="Georgia" w:hAnsi="Georgia"/>
          <w:b/>
          <w:bCs/>
          <w:i/>
          <w:iCs/>
          <w:color w:val="5C3A3A"/>
          <w:sz w:val="23"/>
          <w:szCs w:val="23"/>
        </w:rPr>
        <w:t xml:space="preserve">Text 3 — Luke 4:1-2 and Luke 5:16: The Two Uses of Eremos</w:t>
      </w:r>
    </w:p>
    <w:p>
      <w:pPr>
        <w:spacing w:before="60" w:after="160" w:line="340" w:lineRule="auto"/>
        <w:jc w:val="both"/>
      </w:pPr>
      <w:r>
        <w:rPr>
          <w:rFonts w:ascii="Georgia" w:cs="Georgia" w:eastAsia="Georgia" w:hAnsi="Georgia"/>
          <w:color w:val="2C1A1A"/>
          <w:sz w:val="23"/>
          <w:szCs w:val="23"/>
        </w:rPr>
        <w:t xml:space="preserve">Luke places two eremos texts in deliberate proximity. Immediately after the baptism, the Spirit leads Jesus into the eremos for forty days of trial (Luke 4:1-2). And throughout the Galilean ministry, Jesus repeatedly withdraws to the eremos to pray (Luke 5:16): But he would withdraw to deserted places and pray.</w:t>
      </w:r>
    </w:p>
    <w:p>
      <w:pPr>
        <w:spacing w:before="60" w:after="160" w:line="340" w:lineRule="auto"/>
        <w:jc w:val="both"/>
      </w:pPr>
      <w:r>
        <w:rPr>
          <w:rFonts w:ascii="Georgia" w:cs="Georgia" w:eastAsia="Georgia" w:hAnsi="Georgia"/>
          <w:color w:val="2C1A1A"/>
          <w:sz w:val="23"/>
          <w:szCs w:val="23"/>
        </w:rPr>
        <w:t xml:space="preserve">The same word. The temptation and the prayer. The place of assault and the place of encounter. Jesus does not avoid the eremos after the forty days of temptation. He returns to it. It is his preferred location for the deepest communion with the Father.</w:t>
      </w:r>
    </w:p>
    <w:p>
      <w:pPr>
        <w:spacing w:before="60" w:after="160" w:line="340" w:lineRule="auto"/>
        <w:jc w:val="both"/>
      </w:pPr>
      <w:r>
        <w:rPr>
          <w:rFonts w:ascii="Georgia" w:cs="Georgia" w:eastAsia="Georgia" w:hAnsi="Georgia"/>
          <w:color w:val="2C1A1A"/>
          <w:sz w:val="23"/>
          <w:szCs w:val="23"/>
        </w:rPr>
        <w:t xml:space="preserve">This is the tradition's answer to the question of why God permits the wilderness. The wilderness strips everything that allows a person to maintain the illusion of self-sufficiency. In the stripping, two things become visible simultaneously: the depth of one's own poverty and the depth of God's provision. The temptations in Luke 4 are, structurally, offers of escape from that poverty: make your own bread, exercise autonomous power, secure your own safety. Jesus refuses each one. He chooses to remain in the poverty of the eremos, dependent entirely on God, and in that poverty he is equipped for the mission that follows.</w:t>
      </w:r>
    </w:p>
    <w:p>
      <w:pPr>
        <w:spacing w:before="280" w:after="100"/>
      </w:pPr>
      <w:r>
        <w:rPr>
          <w:rFonts w:ascii="Georgia" w:cs="Georgia" w:eastAsia="Georgia" w:hAnsi="Georgia"/>
          <w:b/>
          <w:bCs/>
          <w:i/>
          <w:iCs/>
          <w:color w:val="5C3A3A"/>
          <w:sz w:val="23"/>
          <w:szCs w:val="23"/>
        </w:rPr>
        <w:t xml:space="preserve">Text 4 — Hosea 2:14: God's Wilderness Courtship</w:t>
      </w:r>
    </w:p>
    <w:p>
      <w:pPr>
        <w:spacing w:before="60" w:after="160" w:line="340" w:lineRule="auto"/>
        <w:jc w:val="both"/>
      </w:pPr>
      <w:r>
        <w:rPr>
          <w:rFonts w:ascii="Georgia" w:cs="Georgia" w:eastAsia="Georgia" w:hAnsi="Georgia"/>
          <w:color w:val="2C1A1A"/>
          <w:sz w:val="23"/>
          <w:szCs w:val="23"/>
        </w:rPr>
        <w:t xml:space="preserve">Therefore I will now allure her, and bring her into the wilderness, and speak tenderly to her (Hosea 2:14). The context is God's response to Israel's unfaithfulness. Israel has pursued the Baals, the false gods of productivity and prosperity, and has forgotten the God of the Exodus. And God's response is not primarily judgment. It is allurement. I will lead her into the wilderness and speak to her heart.</w:t>
      </w:r>
    </w:p>
    <w:p>
      <w:pPr>
        <w:spacing w:before="60" w:after="160" w:line="340" w:lineRule="auto"/>
        <w:jc w:val="both"/>
      </w:pPr>
      <w:r>
        <w:rPr>
          <w:rFonts w:ascii="Georgia" w:cs="Georgia" w:eastAsia="Georgia" w:hAnsi="Georgia"/>
          <w:color w:val="2C1A1A"/>
          <w:sz w:val="23"/>
          <w:szCs w:val="23"/>
        </w:rPr>
        <w:t xml:space="preserve">The wilderness, in Hosea, is not punishment. It is intimacy. God strips away the false securities, the comfortable alternatives, the Baals that have been substituting for genuine relationship, precisely in order to speak to the heart in a register that the furnished life cannot receive.</w:t>
      </w:r>
    </w:p>
    <w:p>
      <w:pPr>
        <w:spacing w:before="60" w:after="160" w:line="340" w:lineRule="auto"/>
        <w:jc w:val="both"/>
      </w:pPr>
      <w:r>
        <w:rPr>
          <w:rFonts w:ascii="Georgia" w:cs="Georgia" w:eastAsia="Georgia" w:hAnsi="Georgia"/>
          <w:color w:val="2C1A1A"/>
          <w:sz w:val="23"/>
          <w:szCs w:val="23"/>
        </w:rPr>
        <w:t xml:space="preserve">Sr. Inigo's insight that the prison is a wilderness, that God uses the stripping of imprisonment to speak to hearts that had been too busy for the encounter, is entirely consistent with Hosea's theology. The African inmate Halley, in Tihar, discovered in his imprisonment what Israel discovered in Sinai: the wilderness is where God allures, where God whispers, where the false securities fall away and the actual God becomes audible.</w:t>
      </w:r>
    </w:p>
    <w:p>
      <w:pPr>
        <w:spacing w:before="280" w:after="100"/>
      </w:pPr>
      <w:r>
        <w:rPr>
          <w:rFonts w:ascii="Georgia" w:cs="Georgia" w:eastAsia="Georgia" w:hAnsi="Georgia"/>
          <w:b/>
          <w:bCs/>
          <w:i/>
          <w:iCs/>
          <w:color w:val="5C3A3A"/>
          <w:sz w:val="23"/>
          <w:szCs w:val="23"/>
        </w:rPr>
        <w:t xml:space="preserve">Text 5 — Romans 8:26-27: The Spirit Who Prays Within</w:t>
      </w:r>
    </w:p>
    <w:p>
      <w:pPr>
        <w:spacing w:before="60" w:after="160" w:line="340" w:lineRule="auto"/>
        <w:jc w:val="both"/>
      </w:pPr>
      <w:r>
        <w:rPr>
          <w:rFonts w:ascii="Georgia" w:cs="Georgia" w:eastAsia="Georgia" w:hAnsi="Georgia"/>
          <w:color w:val="2C1A1A"/>
          <w:sz w:val="23"/>
          <w:szCs w:val="23"/>
        </w:rPr>
        <w:t xml:space="preserve">Paul addresses the experience of prayerlessness with a precision that the tradition has often underused. Likewise the Spirit helps us in our weakness; for we do not know how to pray as we ought, but that very Spirit intercedes with sighs too deep for words (Romans 8:26).</w:t>
      </w:r>
    </w:p>
    <w:p>
      <w:pPr>
        <w:spacing w:before="60" w:after="160" w:line="340" w:lineRule="auto"/>
        <w:jc w:val="both"/>
      </w:pPr>
      <w:r>
        <w:rPr>
          <w:rFonts w:ascii="Georgia" w:cs="Georgia" w:eastAsia="Georgia" w:hAnsi="Georgia"/>
          <w:color w:val="2C1A1A"/>
          <w:sz w:val="23"/>
          <w:szCs w:val="23"/>
        </w:rPr>
        <w:t xml:space="preserve">We do not know how to pray as we ought. This is not a confession of inadequate technique. It is a theological statement: genuine prayer exceeds the capacity of the person praying. The deepest prayer cannot be articulated. The most honest intercession is a groan that the Spirit translates into language adequate to the encounter.</w:t>
      </w:r>
    </w:p>
    <w:p>
      <w:pPr>
        <w:spacing w:before="60" w:after="160" w:line="340" w:lineRule="auto"/>
        <w:jc w:val="both"/>
      </w:pPr>
      <w:r>
        <w:rPr>
          <w:rFonts w:ascii="Georgia" w:cs="Georgia" w:eastAsia="Georgia" w:hAnsi="Georgia"/>
          <w:color w:val="2C1A1A"/>
          <w:sz w:val="23"/>
          <w:szCs w:val="23"/>
        </w:rPr>
        <w:t xml:space="preserve">This text is of particular relevance for the experience of aridity in prayer. The person in a dry period, who sits before God and produces nothing, who cannot find words or images or feelings adequate to the encounter, who experiences the prayer time as silence and absence, is not failing at prayer. They may be, in Paul's framework, at the very threshold of the Spirit's deepest intercession: the prayer that is too deep for words, that the Spirit carries when the person cannot.</w:t>
      </w:r>
    </w:p>
    <w:p>
      <w:pPr>
        <w:spacing w:before="60" w:after="160" w:line="340" w:lineRule="auto"/>
        <w:jc w:val="both"/>
      </w:pPr>
      <w:r>
        <w:rPr>
          <w:rFonts w:ascii="Georgia" w:cs="Georgia" w:eastAsia="Georgia" w:hAnsi="Georgia"/>
          <w:color w:val="2C1A1A"/>
          <w:sz w:val="23"/>
          <w:szCs w:val="23"/>
        </w:rPr>
        <w:t xml:space="preserve">Thomas Aquinas, building on this Pauline foundation, identified prayer not as a human activity directed toward God but as a divine activity within the human person: it is the Spirit who prays, using the human person as the instrument and the location of the encounter. Which means that the absence of felt experience in prayer is not the absence of prayer. It may be its most genuine form.</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4  |  8 Minutes  </w:t>
      </w:r>
      <w:r>
        <w:rPr>
          <w:rFonts w:ascii="Georgia" w:cs="Georgia" w:eastAsia="Georgia" w:hAnsi="Georgia"/>
          <w:b/>
          <w:bCs/>
          <w:color w:val="7B1E3C"/>
          <w:sz w:val="26"/>
          <w:szCs w:val="26"/>
        </w:rPr>
        <w:t xml:space="preserve">The Historical Diagnosis: How Faith Was Domesticated</w:t>
      </w:r>
    </w:p>
    <w:p>
      <w:pPr>
        <w:spacing w:before="60" w:after="40"/>
      </w:pPr>
    </w:p>
    <w:p>
      <w:pPr>
        <w:spacing w:before="60" w:after="160" w:line="340" w:lineRule="auto"/>
        <w:jc w:val="both"/>
      </w:pPr>
      <w:r>
        <w:rPr>
          <w:rFonts w:ascii="Georgia" w:cs="Georgia" w:eastAsia="Georgia" w:hAnsi="Georgia"/>
          <w:color w:val="2C1A1A"/>
          <w:sz w:val="23"/>
          <w:szCs w:val="23"/>
        </w:rPr>
        <w:t xml:space="preserve">Let me now trace the specific historical process by which the faith described in Hebrews 11, by which the vivid, costly, relational fiducia of Abraham, Moses, Elijah, and Paul, was domesticated into the religious performance that most of our institutions now produce and measure. Naming this process is essential, because it reveals that the current situation is not inevitable. It is historically contingent. And it can be reversed.</w:t>
      </w:r>
    </w:p>
    <w:p>
      <w:pPr>
        <w:spacing w:before="280" w:after="100"/>
      </w:pPr>
      <w:r>
        <w:rPr>
          <w:rFonts w:ascii="Georgia" w:cs="Georgia" w:eastAsia="Georgia" w:hAnsi="Georgia"/>
          <w:b/>
          <w:bCs/>
          <w:i/>
          <w:iCs/>
          <w:color w:val="5C3A3A"/>
          <w:sz w:val="23"/>
          <w:szCs w:val="23"/>
        </w:rPr>
        <w:t xml:space="preserve">Stage One: The Intellectualization of Faith</w:t>
      </w:r>
    </w:p>
    <w:p>
      <w:pPr>
        <w:spacing w:before="60" w:after="160" w:line="340" w:lineRule="auto"/>
        <w:jc w:val="both"/>
      </w:pPr>
      <w:r>
        <w:rPr>
          <w:rFonts w:ascii="Georgia" w:cs="Georgia" w:eastAsia="Georgia" w:hAnsi="Georgia"/>
          <w:color w:val="2C1A1A"/>
          <w:sz w:val="23"/>
          <w:szCs w:val="23"/>
        </w:rPr>
        <w:t xml:space="preserve">The first distortion entered in the Scholastic period. The great systematizers of the twelfth and thirteenth centuries, doing genuinely necessary work, built theological systems of extraordinary precision and coherence. But the unintended consequence was the gradual shift of faith's centre of gravity from the relational and existential to the cognitive and propositional.</w:t>
      </w:r>
    </w:p>
    <w:p>
      <w:pPr>
        <w:spacing w:before="60" w:after="160" w:line="340" w:lineRule="auto"/>
        <w:jc w:val="both"/>
      </w:pPr>
      <w:r>
        <w:rPr>
          <w:rFonts w:ascii="Georgia" w:cs="Georgia" w:eastAsia="Georgia" w:hAnsi="Georgia"/>
          <w:color w:val="2C1A1A"/>
          <w:sz w:val="23"/>
          <w:szCs w:val="23"/>
        </w:rPr>
        <w:t xml:space="preserve">Faith began to be defined primarily as assent to revealed truths: the fides quae, the content of belief. The fides qua, the act of trust, the existential self-entrusting to the living God, receded from the formational foreground. A person was considered a person of faith if they held the correct doctrines. The question of whether those doctrines had produced a living, tested, costly encounter with the God the doctrines described was a secondary question, largely reserved for the mystical tradition.</w:t>
      </w:r>
    </w:p>
    <w:p>
      <w:pPr>
        <w:spacing w:before="60" w:after="160" w:line="340" w:lineRule="auto"/>
        <w:jc w:val="both"/>
      </w:pPr>
      <w:r>
        <w:rPr>
          <w:rFonts w:ascii="Georgia" w:cs="Georgia" w:eastAsia="Georgia" w:hAnsi="Georgia"/>
          <w:color w:val="2C1A1A"/>
          <w:sz w:val="23"/>
          <w:szCs w:val="23"/>
        </w:rPr>
        <w:t xml:space="preserve">The result, visible in our seminaries and formation houses today, is students who can define faith with theological precision and who have no living interior relationship with the God their definitions describe. They have fides quae without fiducia. They have the map without the journey.</w:t>
      </w:r>
    </w:p>
    <w:p>
      <w:pPr>
        <w:spacing w:before="280" w:after="100"/>
      </w:pPr>
      <w:r>
        <w:rPr>
          <w:rFonts w:ascii="Georgia" w:cs="Georgia" w:eastAsia="Georgia" w:hAnsi="Georgia"/>
          <w:b/>
          <w:bCs/>
          <w:i/>
          <w:iCs/>
          <w:color w:val="5C3A3A"/>
          <w:sz w:val="23"/>
          <w:szCs w:val="23"/>
        </w:rPr>
        <w:t xml:space="preserve">Stage Two: The Privatization of Faith</w:t>
      </w:r>
    </w:p>
    <w:p>
      <w:pPr>
        <w:spacing w:before="60" w:after="160" w:line="340" w:lineRule="auto"/>
        <w:jc w:val="both"/>
      </w:pPr>
      <w:r>
        <w:rPr>
          <w:rFonts w:ascii="Georgia" w:cs="Georgia" w:eastAsia="Georgia" w:hAnsi="Georgia"/>
          <w:color w:val="2C1A1A"/>
          <w:sz w:val="23"/>
          <w:szCs w:val="23"/>
        </w:rPr>
        <w:t xml:space="preserve">The second distortion entered in the modern period, partly as a response to the Reformation controversies and partly as a consequence of the Enlightenment's privatization of religion. Faith became a personal, interior matter: what one believes in one's heart, practised in the appropriate religious spaces, kept separate from public life and professional conduct.</w:t>
      </w:r>
    </w:p>
    <w:p>
      <w:pPr>
        <w:spacing w:before="60" w:after="160" w:line="340" w:lineRule="auto"/>
        <w:jc w:val="both"/>
      </w:pPr>
      <w:r>
        <w:rPr>
          <w:rFonts w:ascii="Georgia" w:cs="Georgia" w:eastAsia="Georgia" w:hAnsi="Georgia"/>
          <w:color w:val="2C1A1A"/>
          <w:sz w:val="23"/>
          <w:szCs w:val="23"/>
        </w:rPr>
        <w:t xml:space="preserve">This privatization produced, over several centuries, the precise situation that the prophetic tradition of Amos and Micah had already diagnosed: a religion whose interior life and whose public life are entirely compartmentalized. One can be devout in the chapel and unjust in the institution. One can pray faithfully and remain deaf to the cry of the Dalit woman two kilometers from the convent. One can maintain an impeccable sacramental life and practise the apartheid of consciousness that Talk 9 named.</w:t>
      </w:r>
    </w:p>
    <w:p>
      <w:pPr>
        <w:spacing w:before="60" w:after="160" w:line="340" w:lineRule="auto"/>
        <w:jc w:val="both"/>
      </w:pPr>
      <w:r>
        <w:rPr>
          <w:rFonts w:ascii="Georgia" w:cs="Georgia" w:eastAsia="Georgia" w:hAnsi="Georgia"/>
          <w:color w:val="2C1A1A"/>
          <w:sz w:val="23"/>
          <w:szCs w:val="23"/>
        </w:rPr>
        <w:t xml:space="preserve">The privatization of faith is, in this sense, the theological root of the scenery problem. Scenery-religion is religion that has accepted the privatization: it believes sincerely, prays regularly, and has agreed not to be disturbed by what is happening outside the chapel door.</w:t>
      </w:r>
    </w:p>
    <w:p>
      <w:pPr>
        <w:spacing w:before="280" w:after="100"/>
      </w:pPr>
      <w:r>
        <w:rPr>
          <w:rFonts w:ascii="Georgia" w:cs="Georgia" w:eastAsia="Georgia" w:hAnsi="Georgia"/>
          <w:b/>
          <w:bCs/>
          <w:i/>
          <w:iCs/>
          <w:color w:val="5C3A3A"/>
          <w:sz w:val="23"/>
          <w:szCs w:val="23"/>
        </w:rPr>
        <w:t xml:space="preserve">Stage Three: The Indian Domestication</w:t>
      </w:r>
    </w:p>
    <w:p>
      <w:pPr>
        <w:spacing w:before="60" w:after="160" w:line="340" w:lineRule="auto"/>
        <w:jc w:val="both"/>
      </w:pPr>
      <w:r>
        <w:rPr>
          <w:rFonts w:ascii="Georgia" w:cs="Georgia" w:eastAsia="Georgia" w:hAnsi="Georgia"/>
          <w:color w:val="2C1A1A"/>
          <w:sz w:val="23"/>
          <w:szCs w:val="23"/>
        </w:rPr>
        <w:t xml:space="preserve">In the Indian context, these two distortions were compounded by a third. The colonial missionary model brought with it a form of Christianity already shaped by European Christendom: strongly institutional, doctrinally precise, liturgically regulated, and culturally European. The encounter with Indian spirituality, with its rich tradition of the interior life, its contemplative depth, its articulation of the divine-human relationship in terms of darshan, bhakti, and the guru-shishya relationship, was, with notable exceptions, managed rather than received.</w:t>
      </w:r>
    </w:p>
    <w:p>
      <w:pPr>
        <w:spacing w:before="60" w:after="160" w:line="340" w:lineRule="auto"/>
        <w:jc w:val="both"/>
      </w:pPr>
      <w:r>
        <w:rPr>
          <w:rFonts w:ascii="Georgia" w:cs="Georgia" w:eastAsia="Georgia" w:hAnsi="Georgia"/>
          <w:color w:val="2C1A1A"/>
          <w:sz w:val="23"/>
          <w:szCs w:val="23"/>
        </w:rPr>
        <w:t xml:space="preserve">George Soares-Prabhu SJ, in his theology of inculturation, identified what he called the triple alienation of the Indian theologian: alienated from their own spiritual tradition, from the Indian poor, and from the global theological conversation (Soares-Prabhu, cited in Lobo, Jnanadeepa). The faith that Indian seminarians receive in formation is often alienated from the very soil in which it is meant to grow.</w:t>
      </w:r>
    </w:p>
    <w:p>
      <w:pPr>
        <w:spacing w:before="60" w:after="160" w:line="340" w:lineRule="auto"/>
        <w:jc w:val="both"/>
      </w:pPr>
      <w:r>
        <w:rPr>
          <w:rFonts w:ascii="Georgia" w:cs="Georgia" w:eastAsia="Georgia" w:hAnsi="Georgia"/>
          <w:color w:val="2C1A1A"/>
          <w:sz w:val="23"/>
          <w:szCs w:val="23"/>
        </w:rPr>
        <w:t xml:space="preserve">The consequence is visible. The depth of bhakti that animates the Santali Christian's relationship to God, the contemplative quality of the adivasi prayer that emerges from deep relationship with the land and the community, the interior richness of the Dalit Christian's faith forged in conditions of systematic oppression: these are not treated, in most formation programmes, as resources for the Church's understanding of faith. They are treated as what needs to be formed into something more recognizably institutional.</w:t>
      </w:r>
    </w:p>
    <w:tbl>
      <w:tblPr>
        <w:tblW w:type="dxa" w:w="9360"/>
        <w:tblBorders>
          <w:top w:val="single" w:color="D4C5B8" w:sz="1"/>
          <w:left w:val="thick" w:color="8C5A00" w:sz="18"/>
          <w:bottom w:val="single" w:color="D4C5B8" w:sz="1"/>
          <w:right w:val="single" w:color="D4C5B8" w:sz="1"/>
          <w:insideH w:val="single" w:color="auto" w:sz="4"/>
          <w:insideV w:val="single" w:color="auto" w:sz="4"/>
        </w:tblBorders>
      </w:tblPr>
      <w:tblGrid>
        <w:gridCol w:w="9360"/>
      </w:tblGrid>
      <w:tr>
        <w:tc>
          <w:tcPr>
            <w:tcW w:type="dxa" w:w="9360"/>
            <w:shd w:fill="F5EDD8" w:val="clear"/>
            <w:tcMar>
              <w:top w:type="dxa" w:w="200"/>
              <w:left w:type="dxa" w:w="300"/>
              <w:bottom w:type="dxa" w:w="200"/>
              <w:right w:type="dxa" w:w="200"/>
            </w:tcMar>
          </w:tcPr>
          <w:p>
            <w:pPr>
              <w:spacing w:before="0" w:after="0" w:line="340" w:lineRule="auto"/>
              <w:jc w:val="both"/>
            </w:pPr>
            <w:r>
              <w:rPr>
                <w:rFonts w:ascii="Georgia" w:cs="Georgia" w:eastAsia="Georgia" w:hAnsi="Georgia"/>
                <w:i/>
                <w:iCs/>
                <w:color w:val="8C5A00"/>
                <w:sz w:val="24"/>
                <w:szCs w:val="24"/>
              </w:rPr>
              <w:t xml:space="preserve">The Indian Church has access to a treasury of contemplative depth, bhakti spirituality, and faith tested by suffering that most of the Western theological tradition can only admire from a distance. The formation programmes of most of our institutions have not drawn on this treasury. They have imported a European institutional model of faith and offered it to people who already have something deeper.</w:t>
            </w:r>
          </w:p>
        </w:tc>
      </w:tr>
    </w:tbl>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Part 5  |  5 Minutes  </w:t>
      </w:r>
      <w:r>
        <w:rPr>
          <w:rFonts w:ascii="Georgia" w:cs="Georgia" w:eastAsia="Georgia" w:hAnsi="Georgia"/>
          <w:b/>
          <w:bCs/>
          <w:color w:val="7B1E3C"/>
          <w:sz w:val="26"/>
          <w:szCs w:val="26"/>
        </w:rPr>
        <w:t xml:space="preserve">The Prophetic Demand: Interior Sustenance as Obligation</w:t>
      </w:r>
    </w:p>
    <w:p>
      <w:pPr>
        <w:spacing w:before="60" w:after="40"/>
      </w:pPr>
    </w:p>
    <w:p>
      <w:pPr>
        <w:spacing w:before="60" w:after="160" w:line="340" w:lineRule="auto"/>
        <w:jc w:val="both"/>
      </w:pPr>
      <w:r>
        <w:rPr>
          <w:rFonts w:ascii="Georgia" w:cs="Georgia" w:eastAsia="Georgia" w:hAnsi="Georgia"/>
          <w:color w:val="2C1A1A"/>
          <w:sz w:val="23"/>
          <w:szCs w:val="23"/>
        </w:rPr>
        <w:t xml:space="preserve">I want to be precise about what this talk demands. Not a longer prayer time, though a longer prayer time may follow from it. Not a new devotional practice, though a new devotional practice may emerge. The demand is more fundamental.</w:t>
      </w:r>
    </w:p>
    <w:p>
      <w:pPr>
        <w:spacing w:before="60" w:after="160" w:line="340" w:lineRule="auto"/>
        <w:jc w:val="both"/>
      </w:pPr>
      <w:r>
        <w:rPr>
          <w:rFonts w:ascii="Georgia" w:cs="Georgia" w:eastAsia="Georgia" w:hAnsi="Georgia"/>
          <w:color w:val="2C1A1A"/>
          <w:sz w:val="23"/>
          <w:szCs w:val="23"/>
        </w:rPr>
        <w:t xml:space="preserve">The demand is for an honest examination of whether the faith one professes is fiducia or performance. Whether one's prayer life is an encounter or a duty discharged. Whether the wilderness one is currently inhabiting is being interpreted as evidence of God's absence or as the curriculum of God's most intensive formation.</w:t>
      </w:r>
    </w:p>
    <w:p>
      <w:pPr>
        <w:spacing w:before="280" w:after="100"/>
      </w:pPr>
      <w:r>
        <w:rPr>
          <w:rFonts w:ascii="Georgia" w:cs="Georgia" w:eastAsia="Georgia" w:hAnsi="Georgia"/>
          <w:b/>
          <w:bCs/>
          <w:i/>
          <w:iCs/>
          <w:color w:val="5C3A3A"/>
          <w:sz w:val="23"/>
          <w:szCs w:val="23"/>
        </w:rPr>
        <w:t xml:space="preserve">For the Individual: The Courage of Honest Prayer</w:t>
      </w:r>
    </w:p>
    <w:p>
      <w:pPr>
        <w:spacing w:before="60" w:after="160" w:line="340" w:lineRule="auto"/>
        <w:jc w:val="both"/>
      </w:pPr>
      <w:r>
        <w:rPr>
          <w:rFonts w:ascii="Georgia" w:cs="Georgia" w:eastAsia="Georgia" w:hAnsi="Georgia"/>
          <w:color w:val="2C1A1A"/>
          <w:sz w:val="23"/>
          <w:szCs w:val="23"/>
        </w:rPr>
        <w:t xml:space="preserve">Mark 9:24 gives us the permission that most formation programmes have not explicitly given: Lord, I do have faith. Help my lack of faith. This prayer is sufficient. It is more theologically honest than most prayer. And Jesus responds to it with a healing that the prayer's imperfection does not prevent.</w:t>
      </w:r>
    </w:p>
    <w:p>
      <w:pPr>
        <w:spacing w:before="60" w:after="160" w:line="340" w:lineRule="auto"/>
        <w:jc w:val="both"/>
      </w:pPr>
      <w:r>
        <w:rPr>
          <w:rFonts w:ascii="Georgia" w:cs="Georgia" w:eastAsia="Georgia" w:hAnsi="Georgia"/>
          <w:color w:val="2C1A1A"/>
          <w:sz w:val="23"/>
          <w:szCs w:val="23"/>
        </w:rPr>
        <w:t xml:space="preserve">Pastores Dabo Vobis 46 identifies the intimate knowledge of Jesus as the foundation of priestly identity and priestly mission. Not theological knowledge about Jesus. Knowledge of Jesus. The distinction is not rhetorical. It is the distinction between fides quae and fiducia, between the map and the journey.</w:t>
      </w:r>
    </w:p>
    <w:p>
      <w:pPr>
        <w:spacing w:before="60" w:after="160" w:line="340" w:lineRule="auto"/>
        <w:jc w:val="both"/>
      </w:pPr>
      <w:r>
        <w:rPr>
          <w:rFonts w:ascii="Georgia" w:cs="Georgia" w:eastAsia="Georgia" w:hAnsi="Georgia"/>
          <w:color w:val="2C1A1A"/>
          <w:sz w:val="23"/>
          <w:szCs w:val="23"/>
        </w:rPr>
        <w:t xml:space="preserve">The demand, personally, is to find the eremos. Not necessarily the physical desert, though for some that is the call. The interior eremos: the silence that strips the noise, the prayer time that is genuinely a conversation and not a monologue, the willingness to bring to God the actual wilderness of one's life rather than the presentable version of it.</w:t>
      </w:r>
    </w:p>
    <w:p>
      <w:pPr>
        <w:spacing w:before="280" w:after="100"/>
      </w:pPr>
      <w:r>
        <w:rPr>
          <w:rFonts w:ascii="Georgia" w:cs="Georgia" w:eastAsia="Georgia" w:hAnsi="Georgia"/>
          <w:b/>
          <w:bCs/>
          <w:i/>
          <w:iCs/>
          <w:color w:val="5C3A3A"/>
          <w:sz w:val="23"/>
          <w:szCs w:val="23"/>
        </w:rPr>
        <w:t xml:space="preserve">For the Community: Formation Programmes That Produce Encounter</w:t>
      </w:r>
    </w:p>
    <w:p>
      <w:pPr>
        <w:spacing w:before="60" w:after="160" w:line="340" w:lineRule="auto"/>
        <w:jc w:val="both"/>
      </w:pPr>
      <w:r>
        <w:rPr>
          <w:rFonts w:ascii="Georgia" w:cs="Georgia" w:eastAsia="Georgia" w:hAnsi="Georgia"/>
          <w:color w:val="2C1A1A"/>
          <w:sz w:val="23"/>
          <w:szCs w:val="23"/>
        </w:rPr>
        <w:t xml:space="preserve">Verbum Domini 86 identifies lectio divina as more than a method of reading Scripture. It is an encounter with the living God through the Word that becomes, for the person who practises it genuinely, a transformation of the whole manner of engagement with reality. Benedict XVI's insistence on this in Verbum Domini is not nostalgic attachment to an old practice. It is a diagnosis of what formation programmes have omitted.</w:t>
      </w:r>
    </w:p>
    <w:p>
      <w:pPr>
        <w:spacing w:before="60" w:after="160" w:line="340" w:lineRule="auto"/>
        <w:jc w:val="both"/>
      </w:pPr>
      <w:r>
        <w:rPr>
          <w:rFonts w:ascii="Georgia" w:cs="Georgia" w:eastAsia="Georgia" w:hAnsi="Georgia"/>
          <w:color w:val="2C1A1A"/>
          <w:sz w:val="23"/>
          <w:szCs w:val="23"/>
        </w:rPr>
        <w:t xml:space="preserve">The demand for communities is structural: to examine whether formation programmes are producing people of fiducia or people of religious performance. Whether novices and seminarians are being taught to encounter God in the eremos of their own interior life, or merely to maintain the external forms of a religious life that God may or may not inhabit.</w:t>
      </w:r>
    </w:p>
    <w:p>
      <w:pPr>
        <w:spacing w:before="280" w:after="100"/>
      </w:pPr>
      <w:r>
        <w:rPr>
          <w:rFonts w:ascii="Georgia" w:cs="Georgia" w:eastAsia="Georgia" w:hAnsi="Georgia"/>
          <w:b/>
          <w:bCs/>
          <w:i/>
          <w:iCs/>
          <w:color w:val="5C3A3A"/>
          <w:sz w:val="23"/>
          <w:szCs w:val="23"/>
        </w:rPr>
        <w:t xml:space="preserve">For the Mission: The Interior That Sustains the Exterior</w:t>
      </w:r>
    </w:p>
    <w:p>
      <w:pPr>
        <w:spacing w:before="60" w:after="160" w:line="340" w:lineRule="auto"/>
        <w:jc w:val="both"/>
      </w:pPr>
      <w:r>
        <w:rPr>
          <w:rFonts w:ascii="Georgia" w:cs="Georgia" w:eastAsia="Georgia" w:hAnsi="Georgia"/>
          <w:color w:val="2C1A1A"/>
          <w:sz w:val="23"/>
          <w:szCs w:val="23"/>
        </w:rPr>
        <w:t xml:space="preserve">Evangelii Gaudium 259 makes the connection explicit: the primary reason for evangelizing is the love of Jesus which we have received, the experience of salvation which urges us to ever greater love of him. The missionary's effectiveness is proportional to the depth of their personal encounter with Christ. Not to their competence, though competence matters. Not to their institutional resources, though these are useful. To the encounter.</w:t>
      </w:r>
    </w:p>
    <w:p>
      <w:pPr>
        <w:spacing w:before="60" w:after="160" w:line="340" w:lineRule="auto"/>
        <w:jc w:val="both"/>
      </w:pPr>
      <w:r>
        <w:rPr>
          <w:rFonts w:ascii="Georgia" w:cs="Georgia" w:eastAsia="Georgia" w:hAnsi="Georgia"/>
          <w:color w:val="2C1A1A"/>
          <w:sz w:val="23"/>
          <w:szCs w:val="23"/>
        </w:rPr>
        <w:t xml:space="preserve">This is why Talk 10 follows Talks 7, 8, and 9 in the series and does not precede them. The sequence is deliberate. We have named the prophetic demands: solidarity with the imprisoned, advocacy against execution, structural clarity against life-destroying forces. And now we name the spring that makes those demands sustainable without destroying the person who attempts to meet them.</w:t>
      </w:r>
    </w:p>
    <w:p>
      <w:pPr>
        <w:spacing w:before="80" w:after="40"/>
      </w:pPr>
    </w:p>
    <w:p>
      <w:pPr>
        <w:pBdr>
          <w:top w:val="thick" w:color="8C5A00" w:sz="12" w:space="6"/>
          <w:bottom w:val="thick" w:color="8C5A00" w:sz="12" w:space="6"/>
        </w:pBdr>
        <w:shd w:fill="F5EDD8" w:val="clear"/>
        <w:spacing w:before="120" w:after="160" w:line="360" w:lineRule="auto"/>
        <w:ind w:left="360" w:right="360"/>
        <w:jc w:val="both"/>
      </w:pPr>
      <w:r>
        <w:rPr>
          <w:rFonts w:ascii="Georgia" w:cs="Georgia" w:eastAsia="Georgia" w:hAnsi="Georgia"/>
          <w:b/>
          <w:bCs/>
          <w:color w:val="8C5A00"/>
          <w:sz w:val="25"/>
          <w:szCs w:val="25"/>
        </w:rPr>
        <w:t xml:space="preserve">Until and unless the interior life of the consecrated person is rooted in a genuine, living, tested encounter with the God who redeems rather than rescues, the prophetic demands of solidarity, advocacy, and structural clarity will produce missionaries who burn out, communities that grow cynical, and institutions that lose the spirit that animated their founding within a generation.</w:t>
      </w:r>
    </w:p>
    <w:p>
      <w:pPr>
        <w:spacing w:before="120" w:after="60"/>
      </w:pPr>
    </w:p>
    <w:p>
      <w:pPr>
        <w:spacing w:before="60" w:after="160" w:line="340" w:lineRule="auto"/>
        <w:jc w:val="both"/>
      </w:pPr>
      <w:r>
        <w:rPr>
          <w:rFonts w:ascii="Georgia" w:cs="Georgia" w:eastAsia="Georgia" w:hAnsi="Georgia"/>
          <w:color w:val="2C1A1A"/>
          <w:sz w:val="23"/>
          <w:szCs w:val="23"/>
        </w:rPr>
        <w:t xml:space="preserve">The old man went every morning. Five years. To a wife who no longer knew his name. He could not explain it with theology. He could not demonstrate it with measurable outcomes. He simply said: she does not know who I am. But I still know who she is.</w:t>
      </w:r>
    </w:p>
    <w:p>
      <w:pPr>
        <w:spacing w:before="60" w:after="160" w:line="340" w:lineRule="auto"/>
        <w:jc w:val="both"/>
      </w:pPr>
      <w:r>
        <w:rPr>
          <w:rFonts w:ascii="Georgia" w:cs="Georgia" w:eastAsia="Georgia" w:hAnsi="Georgia"/>
          <w:color w:val="2C1A1A"/>
          <w:sz w:val="23"/>
          <w:szCs w:val="23"/>
        </w:rPr>
        <w:t xml:space="preserve">That is the interior life that this series has been building toward. Not the faith that produces results. The faith that continues in the absence of results because the relationship itself, with the God who is real and present and working in the wilderness whether or not the person in the wilderness can feel it, is sufficient.</w:t>
      </w:r>
    </w:p>
    <w:p>
      <w:pPr>
        <w:spacing w:before="60" w:after="160" w:line="340" w:lineRule="auto"/>
        <w:jc w:val="both"/>
      </w:pPr>
      <w:r>
        <w:rPr>
          <w:rFonts w:ascii="Georgia" w:cs="Georgia" w:eastAsia="Georgia" w:hAnsi="Georgia"/>
          <w:color w:val="2C1A1A"/>
          <w:sz w:val="23"/>
          <w:szCs w:val="23"/>
        </w:rPr>
        <w:t xml:space="preserve">Halley, in Tihar, prayed. And gained nothing. And lost anger, ego, impatience, depression, insincerity, insecurity, and the fear of death.</w:t>
      </w:r>
    </w:p>
    <w:p>
      <w:pPr>
        <w:spacing w:before="60" w:after="160" w:line="340" w:lineRule="auto"/>
        <w:jc w:val="both"/>
      </w:pPr>
      <w:r>
        <w:rPr>
          <w:rFonts w:ascii="Georgia" w:cs="Georgia" w:eastAsia="Georgia" w:hAnsi="Georgia"/>
          <w:color w:val="2C1A1A"/>
          <w:sz w:val="23"/>
          <w:szCs w:val="23"/>
        </w:rPr>
        <w:t xml:space="preserve">That is enough. That is the oasis. That is the spring from which everything else this series has asked of us becomes possible.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Personal Reflection  |  3 Minutes Silence  </w:t>
      </w:r>
      <w:r>
        <w:rPr>
          <w:rFonts w:ascii="Georgia" w:cs="Georgia" w:eastAsia="Georgia" w:hAnsi="Georgia"/>
          <w:b/>
          <w:bCs/>
          <w:color w:val="7B1E3C"/>
          <w:sz w:val="26"/>
          <w:szCs w:val="26"/>
        </w:rPr>
        <w:t xml:space="preserve">Five Questions for Personal Prayer</w:t>
      </w:r>
    </w:p>
    <w:p>
      <w:pPr>
        <w:spacing w:before="60" w:after="40"/>
      </w:pPr>
    </w:p>
    <w:p>
      <w:pPr>
        <w:spacing w:before="60" w:after="160" w:line="340" w:lineRule="auto"/>
        <w:jc w:val="both"/>
      </w:pPr>
      <w:r>
        <w:rPr>
          <w:rFonts w:ascii="Georgia" w:cs="Georgia" w:eastAsia="Georgia" w:hAnsi="Georgia"/>
          <w:color w:val="2C1A1A"/>
          <w:sz w:val="23"/>
          <w:szCs w:val="23"/>
        </w:rPr>
        <w:t xml:space="preserve">I want to give you five questions. Not for discussion. For personal prayer during the time of silence that follows. They are the questions that Sr. Inigo places at the end of Chapter 10, and they are the questions that productive wildernesses ask.</w:t>
      </w:r>
    </w:p>
    <w:p>
      <w:pPr>
        <w:spacing w:before="40" w:after="20"/>
      </w:pPr>
    </w:p>
    <w:p>
      <w:pPr>
        <w:spacing w:before="60" w:after="160" w:line="320" w:lineRule="auto"/>
        <w:ind w:left="720" w:right="360"/>
        <w:jc w:val="both"/>
      </w:pPr>
      <w:r>
        <w:rPr>
          <w:rFonts w:ascii="Georgia" w:cs="Georgia" w:eastAsia="Georgia" w:hAnsi="Georgia"/>
          <w:i/>
          <w:iCs/>
          <w:color w:val="5C3A3A"/>
          <w:sz w:val="22"/>
          <w:szCs w:val="22"/>
        </w:rPr>
        <w:t xml:space="preserve">First: What do you mean by faith? Not the definition you learned. Your definition — from your own experience, including the experience of struggle with it.</w:t>
      </w:r>
    </w:p>
    <w:p>
      <w:pPr>
        <w:spacing w:before="60" w:after="160" w:line="320" w:lineRule="auto"/>
        <w:ind w:left="720" w:right="360"/>
        <w:jc w:val="both"/>
      </w:pPr>
      <w:r>
        <w:rPr>
          <w:rFonts w:ascii="Georgia" w:cs="Georgia" w:eastAsia="Georgia" w:hAnsi="Georgia"/>
          <w:i/>
          <w:iCs/>
          <w:color w:val="5C3A3A"/>
          <w:sz w:val="22"/>
          <w:szCs w:val="22"/>
        </w:rPr>
        <w:t xml:space="preserve">Second: Who is the God you are actually encountering in your prayer — not the God you were taught to encounter? What does your real image of God reveal about the state of your relationship with God?</w:t>
      </w:r>
    </w:p>
    <w:p>
      <w:pPr>
        <w:spacing w:before="60" w:after="160" w:line="320" w:lineRule="auto"/>
        <w:ind w:left="720" w:right="360"/>
        <w:jc w:val="both"/>
      </w:pPr>
      <w:r>
        <w:rPr>
          <w:rFonts w:ascii="Georgia" w:cs="Georgia" w:eastAsia="Georgia" w:hAnsi="Georgia"/>
          <w:i/>
          <w:iCs/>
          <w:color w:val="5C3A3A"/>
          <w:sz w:val="22"/>
          <w:szCs w:val="22"/>
        </w:rPr>
        <w:t xml:space="preserve">Third: Where, specifically, is God in the wilderness you are currently inhabiting? Not whether God is there. Where. Name the specific place.</w:t>
      </w:r>
    </w:p>
    <w:p>
      <w:pPr>
        <w:spacing w:before="60" w:after="160" w:line="320" w:lineRule="auto"/>
        <w:ind w:left="720" w:right="360"/>
        <w:jc w:val="both"/>
      </w:pPr>
      <w:r>
        <w:rPr>
          <w:rFonts w:ascii="Georgia" w:cs="Georgia" w:eastAsia="Georgia" w:hAnsi="Georgia"/>
          <w:i/>
          <w:iCs/>
          <w:color w:val="5C3A3A"/>
          <w:sz w:val="22"/>
          <w:szCs w:val="22"/>
        </w:rPr>
        <w:t xml:space="preserve">Fourth: Is your prayer life producing intimacy with God or the maintenance of a well-managed religious routine? What would need to change for it to become the former?</w:t>
      </w:r>
    </w:p>
    <w:p>
      <w:pPr>
        <w:spacing w:before="60" w:after="160" w:line="320" w:lineRule="auto"/>
        <w:ind w:left="720" w:right="360"/>
        <w:jc w:val="both"/>
      </w:pPr>
      <w:r>
        <w:rPr>
          <w:rFonts w:ascii="Georgia" w:cs="Georgia" w:eastAsia="Georgia" w:hAnsi="Georgia"/>
          <w:i/>
          <w:iCs/>
          <w:color w:val="5C3A3A"/>
          <w:sz w:val="22"/>
          <w:szCs w:val="22"/>
        </w:rPr>
        <w:t xml:space="preserve">Fifth: Is your community prayer a ritual or an encounter? Does it genuinely bring you into the Word — and put that Word into your hands and feet?</w:t>
      </w:r>
    </w:p>
    <w:p>
      <w:pPr>
        <w:spacing w:before="60" w:after="40"/>
      </w:pPr>
    </w:p>
    <w:p>
      <w:pPr>
        <w:spacing w:before="60" w:after="160" w:line="340" w:lineRule="auto"/>
        <w:jc w:val="both"/>
      </w:pPr>
      <w:r>
        <w:rPr>
          <w:rFonts w:ascii="Georgia" w:cs="Georgia" w:eastAsia="Georgia" w:hAnsi="Georgia"/>
          <w:i/>
          <w:iCs/>
          <w:color w:val="A0793D"/>
          <w:sz w:val="23"/>
          <w:szCs w:val="23"/>
        </w:rPr>
        <w:t xml:space="preserve">[Distribute printed reflection cards if prepared. Allow three minutes of silence.]</w:t>
      </w:r>
    </w:p>
    <w:p>
      <w:pPr>
        <w:spacing w:before="100" w:after="100"/>
        <w:jc w:val="center"/>
      </w:pPr>
      <w:r>
        <w:rPr>
          <w:rFonts w:ascii="Georgia" w:cs="Georgia" w:eastAsia="Georgia" w:hAnsi="Georgia"/>
          <w:b/>
          <w:bCs/>
          <w:i/>
          <w:iCs/>
          <w:color w:val="A0793D"/>
          <w:sz w:val="21"/>
          <w:szCs w:val="21"/>
        </w:rPr>
        <w:t xml:space="preserve">[Three minutes of silence]</w:t>
      </w:r>
    </w:p>
    <w:p>
      <w:pPr>
        <w:spacing w:before="100" w:after="60"/>
      </w:pPr>
    </w:p>
    <w:p>
      <w:pPr>
        <w:pBdr>
          <w:bottom w:val="single" w:color="D4C5B8" w:sz="6" w:space="1"/>
        </w:pBdr>
        <w:spacing w:before="80" w:after="80"/>
      </w:pPr>
    </w:p>
    <w:p>
      <w:pPr>
        <w:spacing w:before="180" w:after="80"/>
      </w:pPr>
    </w:p>
    <w:p>
      <w:pPr>
        <w:spacing w:before="400" w:after="160"/>
      </w:pPr>
      <w:r>
        <w:rPr>
          <w:rFonts w:ascii="Georgia" w:cs="Georgia" w:eastAsia="Georgia" w:hAnsi="Georgia"/>
          <w:b/>
          <w:bCs/>
          <w:smallCaps/>
          <w:color w:val="A0793D"/>
          <w:sz w:val="22"/>
          <w:szCs w:val="22"/>
        </w:rPr>
        <w:t xml:space="preserve">Closing Prayer  |  2 Minutes  </w:t>
      </w:r>
      <w:r>
        <w:rPr>
          <w:rFonts w:ascii="Georgia" w:cs="Georgia" w:eastAsia="Georgia" w:hAnsi="Georgia"/>
          <w:b/>
          <w:bCs/>
          <w:color w:val="7B1E3C"/>
          <w:sz w:val="26"/>
          <w:szCs w:val="26"/>
        </w:rPr>
        <w:t xml:space="preserve"/>
      </w:r>
    </w:p>
    <w:p>
      <w:pPr>
        <w:spacing w:before="60" w:after="40"/>
      </w:pPr>
    </w:p>
    <w:p>
      <w:pPr>
        <w:spacing w:before="60" w:after="120" w:line="360" w:lineRule="auto"/>
        <w:ind w:left="720" w:right="360"/>
        <w:jc w:val="both"/>
      </w:pPr>
      <w:r>
        <w:rPr>
          <w:rFonts w:ascii="Georgia" w:cs="Georgia" w:eastAsia="Georgia" w:hAnsi="Georgia"/>
          <w:i/>
          <w:iCs/>
          <w:color w:val="7B1E3C"/>
          <w:sz w:val="23"/>
          <w:szCs w:val="23"/>
        </w:rPr>
        <w:t xml:space="preserve">Lord of the desert and the oasis —</w:t>
      </w:r>
    </w:p>
    <w:p>
      <w:pPr>
        <w:spacing w:before="40" w:after="120" w:line="360" w:lineRule="auto"/>
        <w:ind w:left="720" w:right="360"/>
        <w:jc w:val="both"/>
      </w:pPr>
      <w:r>
        <w:rPr>
          <w:rFonts w:ascii="Georgia" w:cs="Georgia" w:eastAsia="Georgia" w:hAnsi="Georgia"/>
          <w:i/>
          <w:iCs/>
          <w:color w:val="5C3A3A"/>
          <w:sz w:val="23"/>
          <w:szCs w:val="23"/>
        </w:rPr>
        <w:t xml:space="preserve">You who led Abraham out without giving him a map. You who kept Moses in the wilderness of Midian for forty years before the burning bush. You who drove your own Son into the eremos immediately after declaring him beloved. You who spoke to Elijah not in the earthquake or the fire but in the qol demamah daqah, the sound of sheer silence.</w:t>
      </w:r>
    </w:p>
    <w:p>
      <w:pPr>
        <w:spacing w:before="40" w:after="120" w:line="360" w:lineRule="auto"/>
        <w:ind w:left="720" w:right="360"/>
        <w:jc w:val="both"/>
      </w:pPr>
      <w:r>
        <w:rPr>
          <w:rFonts w:ascii="Georgia" w:cs="Georgia" w:eastAsia="Georgia" w:hAnsi="Georgia"/>
          <w:i/>
          <w:iCs/>
          <w:color w:val="5C3A3A"/>
          <w:sz w:val="23"/>
          <w:szCs w:val="23"/>
        </w:rPr>
        <w:t xml:space="preserve">We confess that we have preferred you in the furnished life. We have kept our prayer times at a safe distance from the actual wilderness of our interior. We have maintained the forms of faith while the living encounter you intended them to sustain has quietly dried up.</w:t>
      </w:r>
    </w:p>
    <w:p>
      <w:pPr>
        <w:spacing w:before="40" w:after="120" w:line="360" w:lineRule="auto"/>
        <w:ind w:left="720" w:right="360"/>
        <w:jc w:val="both"/>
      </w:pPr>
      <w:r>
        <w:rPr>
          <w:rFonts w:ascii="Georgia" w:cs="Georgia" w:eastAsia="Georgia" w:hAnsi="Georgia"/>
          <w:i/>
          <w:iCs/>
          <w:color w:val="5C3A3A"/>
          <w:sz w:val="23"/>
          <w:szCs w:val="23"/>
        </w:rPr>
        <w:t xml:space="preserve">We bring you the prayer of Mark 9:24. Not the prayer of the competent religious professional. The prayer of the desperate father: Lord, I do have faith. Help my lack of faith.</w:t>
      </w:r>
    </w:p>
    <w:p>
      <w:pPr>
        <w:spacing w:before="40" w:after="120" w:line="360" w:lineRule="auto"/>
        <w:ind w:left="720" w:right="360"/>
        <w:jc w:val="both"/>
      </w:pPr>
      <w:r>
        <w:rPr>
          <w:rFonts w:ascii="Georgia" w:cs="Georgia" w:eastAsia="Georgia" w:hAnsi="Georgia"/>
          <w:i/>
          <w:iCs/>
          <w:color w:val="5C3A3A"/>
          <w:sz w:val="23"/>
          <w:szCs w:val="23"/>
        </w:rPr>
        <w:t xml:space="preserve">Turn our deserts into pools of water. Not after the desert ends. Inside it. Now. In the dry prayer life, in the difficult posting, in the community member we cannot reach, in the ministry that costs more than it gives, in the silence where we expected you to speak and you did not.</w:t>
      </w:r>
    </w:p>
    <w:p>
      <w:pPr>
        <w:spacing w:before="40" w:after="120" w:line="360" w:lineRule="auto"/>
        <w:ind w:left="720" w:right="360"/>
        <w:jc w:val="both"/>
      </w:pPr>
      <w:r>
        <w:rPr>
          <w:rFonts w:ascii="Georgia" w:cs="Georgia" w:eastAsia="Georgia" w:hAnsi="Georgia"/>
          <w:i/>
          <w:iCs/>
          <w:color w:val="5C3A3A"/>
          <w:sz w:val="23"/>
          <w:szCs w:val="23"/>
        </w:rPr>
        <w:t xml:space="preserve">Give us the faith of Halley, who prayed and gained nothing and lost everything that was destroying him. Give us the faith of the old man at the clinic, who goes every morning not because it feels rewarding but because he still knows who she is.</w:t>
      </w:r>
    </w:p>
    <w:p>
      <w:pPr>
        <w:spacing w:before="40" w:after="120" w:line="360" w:lineRule="auto"/>
        <w:ind w:left="720" w:right="360"/>
        <w:jc w:val="both"/>
      </w:pPr>
      <w:r>
        <w:rPr>
          <w:rFonts w:ascii="Georgia" w:cs="Georgia" w:eastAsia="Georgia" w:hAnsi="Georgia"/>
          <w:b/>
          <w:bCs/>
          <w:i/>
          <w:iCs/>
          <w:color w:val="8C5A00"/>
          <w:sz w:val="23"/>
          <w:szCs w:val="23"/>
        </w:rPr>
        <w:t xml:space="preserve">Hold our hand. We are not confident we will hold yours. But we trust that you are the kind of Father who, when something frightening happens, does not let go.</w:t>
      </w:r>
    </w:p>
    <w:p>
      <w:pPr>
        <w:spacing w:before="40" w:after="200"/>
        <w:ind w:left="720" w:right="360"/>
        <w:jc w:val="both"/>
      </w:pPr>
      <w:r>
        <w:rPr>
          <w:rFonts w:ascii="Georgia" w:cs="Georgia" w:eastAsia="Georgia" w:hAnsi="Georgia"/>
          <w:b/>
          <w:bCs/>
          <w:color w:val="7B1E3C"/>
          <w:sz w:val="24"/>
          <w:szCs w:val="24"/>
        </w:rPr>
        <w:t xml:space="preserve">Amen.</w:t>
      </w:r>
    </w:p>
    <w:p>
      <w:pPr>
        <w:spacing w:before="100" w:after="60"/>
      </w:pPr>
    </w:p>
    <w:p>
      <w:pPr>
        <w:pBdr>
          <w:bottom w:val="single" w:color="D4C5B8" w:sz="6" w:space="1"/>
        </w:pBdr>
        <w:spacing w:before="80" w:after="80"/>
      </w:pPr>
    </w:p>
    <w:p>
      <w:pPr>
        <w:spacing w:before="200" w:after="100"/>
      </w:pPr>
    </w:p>
    <w:p>
      <w:pPr>
        <w:spacing w:before="240" w:after="60"/>
      </w:pPr>
      <w:r>
        <w:rPr>
          <w:rFonts w:ascii="Georgia" w:cs="Georgia" w:eastAsia="Georgia" w:hAnsi="Georgia"/>
          <w:b/>
          <w:bCs/>
          <w:smallCaps/>
          <w:color w:val="A0793D"/>
          <w:sz w:val="20"/>
          <w:szCs w:val="20"/>
        </w:rPr>
        <w:t xml:space="preserve">Growing Series Arc — Ten Talks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500"/>
        <w:gridCol w:w="5960"/>
      </w:tblGrid>
      <w:tr>
        <w:trPr>
          <w:tblHeader/>
        </w:trPr>
        <w:tc>
          <w:tcPr>
            <w:tcW w:type="dxa" w:w="10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Talk</w:t>
            </w:r>
          </w:p>
        </w:tc>
        <w:tc>
          <w:tcPr>
            <w:tcW w:type="dxa" w:w="9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Ch.</w:t>
            </w:r>
          </w:p>
        </w:tc>
        <w:tc>
          <w:tcPr>
            <w:tcW w:type="dxa" w:w="150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Word</w:t>
            </w:r>
          </w:p>
        </w:tc>
        <w:tc>
          <w:tcPr>
            <w:tcW w:type="dxa" w:w="5960"/>
            <w:tcBorders>
              <w:top w:val="single" w:color="7B1E3C" w:sz="1"/>
              <w:left w:val="single" w:color="7B1E3C" w:sz="1"/>
              <w:bottom w:val="single" w:color="7B1E3C" w:sz="1"/>
              <w:right w:val="single" w:color="7B1E3C" w:sz="1"/>
            </w:tcBorders>
            <w:shd w:fill="7B1E3C" w:val="clear"/>
            <w:tcMar>
              <w:top w:type="dxa" w:w="80"/>
              <w:left w:type="dxa" w:w="120"/>
              <w:bottom w:type="dxa" w:w="80"/>
              <w:right w:type="dxa" w:w="80"/>
            </w:tcMar>
          </w:tcPr>
          <w:p>
            <w:r>
              <w:rPr>
                <w:rFonts w:ascii="Georgia" w:cs="Georgia" w:eastAsia="Georgia" w:hAnsi="Georgia"/>
                <w:b/>
                <w:bCs/>
                <w:color w:val="FFFFFF"/>
                <w:sz w:val="20"/>
                <w:szCs w:val="20"/>
              </w:rPr>
              <w:t xml:space="preserve">Question</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1</w:t>
            </w:r>
          </w:p>
        </w:tc>
        <w:tc>
          <w:tcPr>
            <w:tcW w:type="dxa" w:w="9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1</w:t>
            </w:r>
          </w:p>
        </w:tc>
        <w:tc>
          <w:tcPr>
            <w:tcW w:type="dxa" w:w="15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Courage</w:t>
            </w:r>
          </w:p>
        </w:tc>
        <w:tc>
          <w:tcPr>
            <w:tcW w:type="dxa" w:w="59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Am I alive?</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2</w:t>
            </w:r>
          </w:p>
        </w:tc>
        <w:tc>
          <w:tcPr>
            <w:tcW w:type="dxa" w:w="9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2</w:t>
            </w:r>
          </w:p>
        </w:tc>
        <w:tc>
          <w:tcPr>
            <w:tcW w:type="dxa" w:w="15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Identity</w:t>
            </w:r>
          </w:p>
        </w:tc>
        <w:tc>
          <w:tcPr>
            <w:tcW w:type="dxa" w:w="59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know who I am?</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3</w:t>
            </w:r>
          </w:p>
        </w:tc>
        <w:tc>
          <w:tcPr>
            <w:tcW w:type="dxa" w:w="9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3</w:t>
            </w:r>
          </w:p>
        </w:tc>
        <w:tc>
          <w:tcPr>
            <w:tcW w:type="dxa" w:w="15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Prophecy</w:t>
            </w:r>
          </w:p>
        </w:tc>
        <w:tc>
          <w:tcPr>
            <w:tcW w:type="dxa" w:w="59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Am I dangerous enough?</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4</w:t>
            </w:r>
          </w:p>
        </w:tc>
        <w:tc>
          <w:tcPr>
            <w:tcW w:type="dxa" w:w="9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4</w:t>
            </w:r>
          </w:p>
        </w:tc>
        <w:tc>
          <w:tcPr>
            <w:tcW w:type="dxa" w:w="15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Reverence</w:t>
            </w:r>
          </w:p>
        </w:tc>
        <w:tc>
          <w:tcPr>
            <w:tcW w:type="dxa" w:w="59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treat God's world as beloved?</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5</w:t>
            </w:r>
          </w:p>
        </w:tc>
        <w:tc>
          <w:tcPr>
            <w:tcW w:type="dxa" w:w="9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5</w:t>
            </w:r>
          </w:p>
        </w:tc>
        <w:tc>
          <w:tcPr>
            <w:tcW w:type="dxa" w:w="15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Presence</w:t>
            </w:r>
          </w:p>
        </w:tc>
        <w:tc>
          <w:tcPr>
            <w:tcW w:type="dxa" w:w="59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communicate as God does?</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6</w:t>
            </w:r>
          </w:p>
        </w:tc>
        <w:tc>
          <w:tcPr>
            <w:tcW w:type="dxa" w:w="9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6</w:t>
            </w:r>
          </w:p>
        </w:tc>
        <w:tc>
          <w:tcPr>
            <w:tcW w:type="dxa" w:w="15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Mercy</w:t>
            </w:r>
          </w:p>
        </w:tc>
        <w:tc>
          <w:tcPr>
            <w:tcW w:type="dxa" w:w="59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Is mercy the grammar of my life?</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7</w:t>
            </w:r>
          </w:p>
        </w:tc>
        <w:tc>
          <w:tcPr>
            <w:tcW w:type="dxa" w:w="9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7</w:t>
            </w:r>
          </w:p>
        </w:tc>
        <w:tc>
          <w:tcPr>
            <w:tcW w:type="dxa" w:w="15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Solidarity</w:t>
            </w:r>
          </w:p>
        </w:tc>
        <w:tc>
          <w:tcPr>
            <w:tcW w:type="dxa" w:w="59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show up where Christ already waits?</w:t>
            </w:r>
          </w:p>
        </w:tc>
      </w:tr>
      <w:tr>
        <w:tc>
          <w:tcPr>
            <w:tcW w:type="dxa" w:w="10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8</w:t>
            </w:r>
          </w:p>
        </w:tc>
        <w:tc>
          <w:tcPr>
            <w:tcW w:type="dxa" w:w="9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8</w:t>
            </w:r>
          </w:p>
        </w:tc>
        <w:tc>
          <w:tcPr>
            <w:tcW w:type="dxa" w:w="150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Dignity</w:t>
            </w:r>
          </w:p>
        </w:tc>
        <w:tc>
          <w:tcPr>
            <w:tcW w:type="dxa" w:w="5960"/>
            <w:tcBorders>
              <w:top w:val="single" w:color="D4C5B8" w:sz="1"/>
              <w:left w:val="single" w:color="D4C5B8" w:sz="1"/>
              <w:bottom w:val="single" w:color="D4C5B8" w:sz="1"/>
              <w:right w:val="single" w:color="D4C5B8" w:sz="1"/>
            </w:tcBorders>
            <w:shd w:fill="F2E9E2"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Do I protect the life I cannot revoke?</w:t>
            </w:r>
          </w:p>
        </w:tc>
      </w:tr>
      <w:tr>
        <w:tc>
          <w:tcPr>
            <w:tcW w:type="dxa" w:w="10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Talk 9</w:t>
            </w:r>
          </w:p>
        </w:tc>
        <w:tc>
          <w:tcPr>
            <w:tcW w:type="dxa" w:w="9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Ch. 9</w:t>
            </w:r>
          </w:p>
        </w:tc>
        <w:tc>
          <w:tcPr>
            <w:tcW w:type="dxa" w:w="150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Clarity</w:t>
            </w:r>
          </w:p>
        </w:tc>
        <w:tc>
          <w:tcPr>
            <w:tcW w:type="dxa" w:w="5960"/>
            <w:tcBorders>
              <w:top w:val="single" w:color="D4C5B8" w:sz="1"/>
              <w:left w:val="single" w:color="D4C5B8" w:sz="1"/>
              <w:bottom w:val="single" w:color="D4C5B8" w:sz="1"/>
              <w:right w:val="single" w:color="D4C5B8" w:sz="1"/>
            </w:tcBorders>
            <w:shd w:fill="FAF5F0" w:val="clear"/>
            <w:tcMar>
              <w:top w:type="dxa" w:w="70"/>
              <w:left w:type="dxa" w:w="120"/>
              <w:bottom w:type="dxa" w:w="70"/>
              <w:right w:type="dxa" w:w="80"/>
            </w:tcMar>
          </w:tcPr>
          <w:p>
            <w:r>
              <w:rPr>
                <w:rFonts w:ascii="Georgia" w:cs="Georgia" w:eastAsia="Georgia" w:hAnsi="Georgia"/>
                <w:b w:val="false"/>
                <w:bCs w:val="false"/>
                <w:color w:val="2C1A1A"/>
                <w:sz w:val="20"/>
                <w:szCs w:val="20"/>
              </w:rPr>
              <w:t xml:space="preserve">Am I a signpost or just scenery?</w:t>
            </w:r>
          </w:p>
        </w:tc>
      </w:tr>
      <w:tr>
        <w:tc>
          <w:tcPr>
            <w:tcW w:type="dxa" w:w="1000"/>
            <w:tcBorders>
              <w:top w:val="single" w:color="D4C5B8" w:sz="1"/>
              <w:left w:val="single" w:color="D4C5B8" w:sz="1"/>
              <w:bottom w:val="single" w:color="D4C5B8" w:sz="1"/>
              <w:right w:val="single" w:color="D4C5B8" w:sz="1"/>
            </w:tcBorders>
            <w:shd w:fill="F5EDD8" w:val="clear"/>
            <w:tcMar>
              <w:top w:type="dxa" w:w="70"/>
              <w:left w:type="dxa" w:w="120"/>
              <w:bottom w:type="dxa" w:w="70"/>
              <w:right w:type="dxa" w:w="80"/>
            </w:tcMar>
          </w:tcPr>
          <w:p>
            <w:r>
              <w:rPr>
                <w:rFonts w:ascii="Georgia" w:cs="Georgia" w:eastAsia="Georgia" w:hAnsi="Georgia"/>
                <w:b/>
                <w:bCs/>
                <w:color w:val="8C5A00"/>
                <w:sz w:val="20"/>
                <w:szCs w:val="20"/>
              </w:rPr>
              <w:t xml:space="preserve">Talk 10</w:t>
            </w:r>
          </w:p>
        </w:tc>
        <w:tc>
          <w:tcPr>
            <w:tcW w:type="dxa" w:w="900"/>
            <w:tcBorders>
              <w:top w:val="single" w:color="D4C5B8" w:sz="1"/>
              <w:left w:val="single" w:color="D4C5B8" w:sz="1"/>
              <w:bottom w:val="single" w:color="D4C5B8" w:sz="1"/>
              <w:right w:val="single" w:color="D4C5B8" w:sz="1"/>
            </w:tcBorders>
            <w:shd w:fill="F5EDD8" w:val="clear"/>
            <w:tcMar>
              <w:top w:type="dxa" w:w="70"/>
              <w:left w:type="dxa" w:w="120"/>
              <w:bottom w:type="dxa" w:w="70"/>
              <w:right w:type="dxa" w:w="80"/>
            </w:tcMar>
          </w:tcPr>
          <w:p>
            <w:r>
              <w:rPr>
                <w:rFonts w:ascii="Georgia" w:cs="Georgia" w:eastAsia="Georgia" w:hAnsi="Georgia"/>
                <w:b/>
                <w:bCs/>
                <w:color w:val="8C5A00"/>
                <w:sz w:val="20"/>
                <w:szCs w:val="20"/>
              </w:rPr>
              <w:t xml:space="preserve">Ch. 10</w:t>
            </w:r>
          </w:p>
        </w:tc>
        <w:tc>
          <w:tcPr>
            <w:tcW w:type="dxa" w:w="1500"/>
            <w:tcBorders>
              <w:top w:val="single" w:color="D4C5B8" w:sz="1"/>
              <w:left w:val="single" w:color="D4C5B8" w:sz="1"/>
              <w:bottom w:val="single" w:color="D4C5B8" w:sz="1"/>
              <w:right w:val="single" w:color="D4C5B8" w:sz="1"/>
            </w:tcBorders>
            <w:shd w:fill="F5EDD8" w:val="clear"/>
            <w:tcMar>
              <w:top w:type="dxa" w:w="70"/>
              <w:left w:type="dxa" w:w="120"/>
              <w:bottom w:type="dxa" w:w="70"/>
              <w:right w:type="dxa" w:w="80"/>
            </w:tcMar>
          </w:tcPr>
          <w:p>
            <w:r>
              <w:rPr>
                <w:rFonts w:ascii="Georgia" w:cs="Georgia" w:eastAsia="Georgia" w:hAnsi="Georgia"/>
                <w:b/>
                <w:bCs/>
                <w:color w:val="8C5A00"/>
                <w:sz w:val="20"/>
                <w:szCs w:val="20"/>
              </w:rPr>
              <w:t xml:space="preserve">Faith</w:t>
            </w:r>
          </w:p>
        </w:tc>
        <w:tc>
          <w:tcPr>
            <w:tcW w:type="dxa" w:w="5960"/>
            <w:tcBorders>
              <w:top w:val="single" w:color="D4C5B8" w:sz="1"/>
              <w:left w:val="single" w:color="D4C5B8" w:sz="1"/>
              <w:bottom w:val="single" w:color="D4C5B8" w:sz="1"/>
              <w:right w:val="single" w:color="D4C5B8" w:sz="1"/>
            </w:tcBorders>
            <w:shd w:fill="F5EDD8" w:val="clear"/>
            <w:tcMar>
              <w:top w:type="dxa" w:w="70"/>
              <w:left w:type="dxa" w:w="120"/>
              <w:bottom w:type="dxa" w:w="70"/>
              <w:right w:type="dxa" w:w="80"/>
            </w:tcMar>
          </w:tcPr>
          <w:p>
            <w:r>
              <w:rPr>
                <w:rFonts w:ascii="Georgia" w:cs="Georgia" w:eastAsia="Georgia" w:hAnsi="Georgia"/>
                <w:b/>
                <w:bCs/>
                <w:color w:val="8C5A00"/>
                <w:sz w:val="20"/>
                <w:szCs w:val="20"/>
              </w:rPr>
              <w:t xml:space="preserve">Do I trust the God who redeems rather than rescues?</w:t>
            </w:r>
          </w:p>
        </w:tc>
      </w:tr>
    </w:tbl>
    <w:p>
      <w:pPr>
        <w:spacing w:before="160" w:after="80"/>
      </w:pPr>
    </w:p>
    <w:p>
      <w:pPr>
        <w:spacing w:before="60" w:after="60"/>
      </w:pPr>
      <w:r>
        <w:rPr>
          <w:rFonts w:ascii="Georgia" w:cs="Georgia" w:eastAsia="Georgia" w:hAnsi="Georgia"/>
          <w:b/>
          <w:bCs/>
          <w:smallCaps/>
          <w:color w:val="A0793D"/>
          <w:sz w:val="21"/>
          <w:szCs w:val="21"/>
        </w:rPr>
        <w:t xml:space="preserve">Internal Arc of Part III</w:t>
      </w:r>
    </w:p>
    <w:p>
      <w:pPr>
        <w:spacing w:before="60" w:after="160" w:line="340" w:lineRule="auto"/>
        <w:jc w:val="both"/>
      </w:pPr>
      <w:r>
        <w:rPr>
          <w:rFonts w:ascii="Georgia" w:cs="Georgia" w:eastAsia="Georgia" w:hAnsi="Georgia"/>
          <w:i/>
          <w:iCs/>
          <w:color w:val="5C3A3A"/>
          <w:sz w:val="23"/>
          <w:szCs w:val="23"/>
        </w:rPr>
        <w:t xml:space="preserve">Talk 7 — Encounter: Go to the cell. Christ is already there.</w:t>
      </w:r>
    </w:p>
    <w:p>
      <w:pPr>
        <w:spacing w:before="60" w:after="160" w:line="340" w:lineRule="auto"/>
        <w:jc w:val="both"/>
      </w:pPr>
      <w:r>
        <w:rPr>
          <w:rFonts w:ascii="Georgia" w:cs="Georgia" w:eastAsia="Georgia" w:hAnsi="Georgia"/>
          <w:i/>
          <w:iCs/>
          <w:color w:val="5C3A3A"/>
          <w:sz w:val="23"/>
          <w:szCs w:val="23"/>
        </w:rPr>
        <w:t xml:space="preserve">Talk 8 — Advocacy: Say No to the state's taking of a life it did not give.</w:t>
      </w:r>
    </w:p>
    <w:p>
      <w:pPr>
        <w:spacing w:before="60" w:after="160" w:line="340" w:lineRule="auto"/>
        <w:jc w:val="both"/>
      </w:pPr>
      <w:r>
        <w:rPr>
          <w:rFonts w:ascii="Georgia" w:cs="Georgia" w:eastAsia="Georgia" w:hAnsi="Georgia"/>
          <w:i/>
          <w:iCs/>
          <w:color w:val="5C3A3A"/>
          <w:sz w:val="23"/>
          <w:szCs w:val="23"/>
        </w:rPr>
        <w:t xml:space="preserve">Talk 9 — Structural Vision: Name the forces destroying life. Say Yes and No clearly.</w:t>
      </w:r>
    </w:p>
    <w:p>
      <w:pPr>
        <w:spacing w:before="60" w:after="160" w:line="340" w:lineRule="auto"/>
        <w:jc w:val="both"/>
      </w:pPr>
      <w:r>
        <w:rPr>
          <w:rFonts w:ascii="Georgia" w:cs="Georgia" w:eastAsia="Georgia" w:hAnsi="Georgia"/>
          <w:i/>
          <w:iCs/>
          <w:color w:val="5C3A3A"/>
          <w:sz w:val="23"/>
          <w:szCs w:val="23"/>
        </w:rPr>
        <w:t xml:space="preserve">Talk 10 — Interior Sustenance: The faith that makes all the above possible without burning out.</w:t>
      </w:r>
    </w:p>
    <w:p>
      <w:pPr>
        <w:spacing w:before="80" w:after="40"/>
      </w:pPr>
    </w:p>
    <w:p>
      <w:pPr>
        <w:spacing w:before="60" w:after="160" w:line="340" w:lineRule="auto"/>
        <w:jc w:val="both"/>
      </w:pPr>
      <w:r>
        <w:rPr>
          <w:rFonts w:ascii="Georgia" w:cs="Georgia" w:eastAsia="Georgia" w:hAnsi="Georgia"/>
          <w:i/>
          <w:iCs/>
          <w:color w:val="5C3A3A"/>
          <w:sz w:val="23"/>
          <w:szCs w:val="23"/>
        </w:rPr>
        <w:t xml:space="preserve">Part III concludes with Chapters 11 and 12: human trafficking and the spirituality of mission. The series moves from the interior oasis to the most demanding of the specific missionary territories, with the interior sustenance of Talk 10 now established as its source.</w:t>
      </w:r>
    </w:p>
    <w:p>
      <w:pPr>
        <w:spacing w:before="200" w:after="80"/>
      </w:pPr>
    </w:p>
    <w:p>
      <w:pPr>
        <w:pBdr>
          <w:bottom w:val="single" w:color="D4C5B8" w:sz="6" w:space="1"/>
        </w:pBdr>
        <w:spacing w:before="80" w:after="80"/>
      </w:pPr>
    </w:p>
    <w:p>
      <w:pPr>
        <w:spacing w:before="120" w:after="60"/>
        <w:jc w:val="center"/>
      </w:pPr>
      <w:r>
        <w:rPr>
          <w:rFonts w:ascii="Georgia" w:cs="Georgia" w:eastAsia="Georgia" w:hAnsi="Georgia"/>
          <w:smallCaps/>
          <w:color w:val="A0793D"/>
          <w:sz w:val="19"/>
          <w:szCs w:val="19"/>
        </w:rPr>
        <w:t xml:space="preserve">Morning Star Regional Seminary  |  Barrackpore, West Bengal</w:t>
      </w:r>
    </w:p>
    <w:p>
      <w:pPr>
        <w:spacing w:before="0" w:after="60"/>
        <w:jc w:val="center"/>
      </w:pPr>
      <w:r>
        <w:rPr>
          <w:rFonts w:ascii="Georgia" w:cs="Georgia" w:eastAsia="Georgia" w:hAnsi="Georgia"/>
          <w:i/>
          <w:iCs/>
          <w:color w:val="5C3A3A"/>
          <w:sz w:val="19"/>
          <w:szCs w:val="19"/>
        </w:rPr>
        <w:t xml:space="preserve">Fr. William Anthony MSFS  |  Talk 10: Fides in Eremo</w:t>
      </w:r>
    </w:p>
    <w:sectPr>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2026-03-29T12:38:21.177Z</dcterms:created>
  <dcterms:modified xsi:type="dcterms:W3CDTF">2026-03-29T12:38:21.177Z</dcterms:modified>
</cp:coreProperties>
</file>

<file path=docProps/custom.xml><?xml version="1.0" encoding="utf-8"?>
<Properties xmlns="http://schemas.openxmlformats.org/officeDocument/2006/custom-properties" xmlns:vt="http://schemas.openxmlformats.org/officeDocument/2006/docPropsVTypes"/>
</file>