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Georgia" w:cs="Georgia" w:eastAsia="Georgia" w:hAnsi="Georgia"/>
          <w:b/>
          <w:bCs/>
          <w:smallCaps/>
          <w:color w:val="A0793D"/>
          <w:sz w:val="20"/>
          <w:szCs w:val="20"/>
        </w:rPr>
        <w:t xml:space="preserve">RECOLLECTION SERIES — PART IV BEGINS</w:t>
      </w:r>
    </w:p>
    <w:p>
      <w:pPr>
        <w:spacing w:before="0" w:after="60"/>
      </w:pPr>
      <w:r>
        <w:rPr>
          <w:rFonts w:ascii="Georgia" w:cs="Georgia" w:eastAsia="Georgia" w:hAnsi="Georgia"/>
          <w:i/>
          <w:iCs/>
          <w:color w:val="5C3A3A"/>
          <w:sz w:val="22"/>
          <w:szCs w:val="22"/>
        </w:rPr>
        <w:t xml:space="preserve">The Ever-Evolving Consecrated Life</w:t>
      </w:r>
    </w:p>
    <w:p>
      <w:pPr>
        <w:spacing w:before="0" w:after="60"/>
      </w:pPr>
      <w:r>
        <w:rPr>
          <w:rFonts w:ascii="Georgia" w:cs="Georgia" w:eastAsia="Georgia" w:hAnsi="Georgia"/>
          <w:color w:val="5C3A3A"/>
          <w:sz w:val="20"/>
          <w:szCs w:val="20"/>
        </w:rPr>
        <w:t xml:space="preserve">Sr. Inigo SSA — Part IV, Chapter 13</w:t>
      </w:r>
    </w:p>
    <w:p>
      <w:pPr>
        <w:pBdr>
          <w:bottom w:val="single" w:color="D4C5B8" w:sz="6" w:space="1"/>
        </w:pBdr>
        <w:spacing w:before="80" w:after="80"/>
      </w:pPr>
    </w:p>
    <w:p>
      <w:pPr>
        <w:spacing w:before="160" w:after="60"/>
      </w:pPr>
    </w:p>
    <w:p>
      <w:pPr>
        <w:spacing w:before="0" w:after="100"/>
      </w:pPr>
      <w:r>
        <w:rPr>
          <w:rFonts w:ascii="Georgia" w:cs="Georgia" w:eastAsia="Georgia" w:hAnsi="Georgia"/>
          <w:b/>
          <w:bCs/>
          <w:smallCaps/>
          <w:color w:val="A0793D"/>
          <w:sz w:val="22"/>
          <w:szCs w:val="22"/>
        </w:rPr>
        <w:t xml:space="preserve">Talk 13 of the Series</w:t>
      </w:r>
    </w:p>
    <w:p>
      <w:pPr>
        <w:spacing w:before="0" w:after="180"/>
      </w:pPr>
      <w:r>
        <w:rPr>
          <w:rFonts w:ascii="Georgia" w:cs="Georgia" w:eastAsia="Georgia" w:hAnsi="Georgia"/>
          <w:b/>
          <w:bCs/>
          <w:color w:val="7B1E3C"/>
          <w:sz w:val="33"/>
          <w:szCs w:val="33"/>
        </w:rPr>
        <w:t xml:space="preserve">IMAGO DEI INTEGRA: THE SUPPRESSED HALF OF THE IMAGE OF GOD</w:t>
      </w:r>
    </w:p>
    <w:p>
      <w:pPr>
        <w:spacing w:before="0" w:after="100"/>
      </w:pPr>
      <w:r>
        <w:rPr>
          <w:rFonts w:ascii="Georgia" w:cs="Georgia" w:eastAsia="Georgia" w:hAnsi="Georgia"/>
          <w:i/>
          <w:iCs/>
          <w:color w:val="5C3A3A"/>
          <w:sz w:val="22"/>
          <w:szCs w:val="22"/>
        </w:rPr>
        <w:t xml:space="preserve">Towards the Full Equality of Women in Church and Society</w:t>
      </w:r>
    </w:p>
    <w:p>
      <w:pPr>
        <w:spacing w:before="0" w:after="80"/>
      </w:pPr>
      <w:r>
        <w:rPr>
          <w:rFonts w:ascii="Georgia" w:cs="Georgia" w:eastAsia="Georgia" w:hAnsi="Georgia"/>
          <w:i/>
          <w:iCs/>
          <w:color w:val="5C3A3A"/>
          <w:sz w:val="21"/>
          <w:szCs w:val="21"/>
        </w:rPr>
        <w:t xml:space="preserve">45-Minute Recollection for Priests, Religious, and Major Seminarians — West Bengal Region</w:t>
      </w:r>
    </w:p>
    <w:p>
      <w:pPr>
        <w:pBdr>
          <w:bottom w:val="single" w:color="D4C5B8" w:sz="6" w:space="1"/>
        </w:pBdr>
        <w:spacing w:before="80" w:after="80"/>
      </w:pPr>
    </w:p>
    <w:p>
      <w:pPr>
        <w:spacing w:before="120" w:after="80"/>
      </w:pPr>
    </w:p>
    <w:p>
      <w:pPr>
        <w:spacing w:before="120" w:after="40"/>
        <w:jc w:val="center"/>
      </w:pPr>
      <w:r>
        <w:rPr>
          <w:rFonts w:ascii="Georgia" w:cs="Georgia" w:eastAsia="Georgia" w:hAnsi="Georgia"/>
          <w:b/>
          <w:bCs/>
          <w:smallCaps/>
          <w:color w:val="A0793D"/>
          <w:sz w:val="20"/>
          <w:szCs w:val="20"/>
        </w:rPr>
        <w:t xml:space="preserve">Primary Anchor — Genesis 1:27</w:t>
      </w:r>
    </w:p>
    <w:p>
      <w:pPr>
        <w:spacing w:before="0" w:after="60"/>
        <w:jc w:val="center"/>
      </w:pPr>
      <w:r>
        <w:rPr>
          <w:rFonts w:ascii="Georgia" w:cs="Georgia" w:eastAsia="Georgia" w:hAnsi="Georgia"/>
          <w:i/>
          <w:iCs/>
          <w:color w:val="7B1E3C"/>
          <w:sz w:val="24"/>
          <w:szCs w:val="24"/>
        </w:rPr>
        <w:t xml:space="preserve">"God created human beings in His own image — male and female He created them."</w:t>
      </w:r>
    </w:p>
    <w:p>
      <w:pPr>
        <w:spacing w:before="60" w:after="40"/>
        <w:jc w:val="center"/>
      </w:pPr>
      <w:r>
        <w:rPr>
          <w:rFonts w:ascii="Georgia" w:cs="Georgia" w:eastAsia="Georgia" w:hAnsi="Georgia"/>
          <w:b/>
          <w:bCs/>
          <w:smallCaps/>
          <w:color w:val="A0793D"/>
          <w:sz w:val="20"/>
          <w:szCs w:val="20"/>
        </w:rPr>
        <w:t xml:space="preserve">Secondary Anchor — Luke 10:42</w:t>
      </w:r>
    </w:p>
    <w:p>
      <w:pPr>
        <w:spacing w:before="0" w:after="200"/>
        <w:jc w:val="center"/>
      </w:pPr>
      <w:r>
        <w:rPr>
          <w:rFonts w:ascii="Georgia" w:cs="Georgia" w:eastAsia="Georgia" w:hAnsi="Georgia"/>
          <w:i/>
          <w:iCs/>
          <w:color w:val="7B1E3C"/>
          <w:sz w:val="24"/>
          <w:szCs w:val="24"/>
        </w:rPr>
        <w:t xml:space="preserve">"Mary has chosen the right path — and it will not be taken from her."</w:t>
      </w:r>
    </w:p>
    <w:p>
      <w:pPr>
        <w:spacing w:before="240" w:after="60"/>
      </w:pPr>
      <w:r>
        <w:rPr>
          <w:rFonts w:ascii="Georgia" w:cs="Georgia" w:eastAsia="Georgia" w:hAnsi="Georgia"/>
          <w:b/>
          <w:bCs/>
          <w:smallCaps/>
          <w:color w:val="A0793D"/>
          <w:sz w:val="20"/>
          <w:szCs w:val="20"/>
        </w:rPr>
        <w:t xml:space="preserve">Time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r>
              <w:rPr>
                <w:rFonts w:ascii="Georgia" w:cs="Georgia" w:eastAsia="Georgia" w:hAnsi="Georgia"/>
                <w:b/>
                <w:bCs/>
                <w:color w:val="FFFFFF"/>
                <w:sz w:val="21"/>
                <w:szCs w:val="21"/>
              </w:rPr>
              <w:t xml:space="preserve">Section</w:t>
            </w:r>
          </w:p>
        </w:tc>
        <w:tc>
          <w:tcPr>
            <w:tcW w:type="dxa" w:w="216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pPr>
              <w:jc w:val="center"/>
            </w:pPr>
            <w:r>
              <w:rPr>
                <w:rFonts w:ascii="Georgia" w:cs="Georgia" w:eastAsia="Georgia" w:hAnsi="Georgia"/>
                <w:b/>
                <w:bCs/>
                <w:color w:val="FFFFFF"/>
                <w:sz w:val="21"/>
                <w:szCs w:val="21"/>
              </w:rPr>
              <w:t xml:space="preserve">Duration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Opening: The Problematic</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1 — Two Models of Woman in Church and Culture</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2 — Etymological Recovery: Imago Dei, Ezer, Apostola</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7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3 — The Scriptural Constellation</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12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4 — The Historical Diagnosis: How Half the Image Was Suppressed</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5 — The Prophetic Demand: Institutional and Personal</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Personal Reflection (Silence)</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2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Closing Prayer</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3 min</w:t>
            </w:r>
          </w:p>
        </w:tc>
      </w:tr>
    </w:tbl>
    <w:p>
      <w:pPr>
        <w:spacing w:before="200" w:after="100"/>
      </w:pPr>
    </w:p>
    <w:p>
      <w:pPr>
        <w:pBdr>
          <w:bottom w:val="single" w:color="D4C5B8" w:sz="6" w:space="1"/>
        </w:pBdr>
        <w:spacing w:before="80" w:after="80"/>
      </w:pPr>
    </w:p>
    <w:p>
      <w:pPr>
        <w:spacing w:before="160" w:after="80"/>
      </w:pPr>
    </w:p>
    <w:p>
      <w:pPr>
        <w:spacing w:before="240" w:after="60"/>
      </w:pPr>
      <w:r>
        <w:rPr>
          <w:rFonts w:ascii="Georgia" w:cs="Georgia" w:eastAsia="Georgia" w:hAnsi="Georgia"/>
          <w:b/>
          <w:bCs/>
          <w:smallCaps/>
          <w:color w:val="A0793D"/>
          <w:sz w:val="20"/>
          <w:szCs w:val="20"/>
        </w:rPr>
        <w:t xml:space="preserve">For the Speaker</w:t>
      </w:r>
    </w:p>
    <w:p>
      <w:pPr>
        <w:spacing w:before="60" w:after="80"/>
      </w:pPr>
      <w:r>
        <w:rPr>
          <w:rFonts w:ascii="Georgia" w:cs="Georgia" w:eastAsia="Georgia" w:hAnsi="Georgia"/>
          <w:b/>
          <w:bCs/>
          <w:color w:val="2C1A1A"/>
          <w:sz w:val="22"/>
          <w:szCs w:val="22"/>
        </w:rPr>
        <w:t xml:space="preserve">Position in the Series: </w:t>
      </w:r>
      <w:r>
        <w:rPr>
          <w:rFonts w:ascii="Georgia" w:cs="Georgia" w:eastAsia="Georgia" w:hAnsi="Georgia"/>
          <w:color w:val="5C3A3A"/>
          <w:sz w:val="22"/>
          <w:szCs w:val="22"/>
        </w:rPr>
        <w:t xml:space="preserve">This is the opening of Part IV and Talk 13. It carries a different energy from the interior talks of Part III. The canvas is as wide as Talk 9 (structural vision), the emotional register is as warm as Talk 6 (mercy), and the prophetic demand is as direct as Talk 7 (prison) and Talk 8 (dignity). Name explicitly at the opening why the series has moved here: the full image of God has not yet been proclaimed if half of it is suppressed.</w:t>
      </w:r>
    </w:p>
    <w:p>
      <w:pPr>
        <w:spacing w:before="40" w:after="80"/>
      </w:pPr>
      <w:r>
        <w:rPr>
          <w:rFonts w:ascii="Georgia" w:cs="Georgia" w:eastAsia="Georgia" w:hAnsi="Georgia"/>
          <w:b/>
          <w:bCs/>
          <w:color w:val="2C1A1A"/>
          <w:sz w:val="22"/>
          <w:szCs w:val="22"/>
        </w:rPr>
        <w:t xml:space="preserve">Tone: </w:t>
      </w:r>
      <w:r>
        <w:rPr>
          <w:rFonts w:ascii="Georgia" w:cs="Georgia" w:eastAsia="Georgia" w:hAnsi="Georgia"/>
          <w:color w:val="5C3A3A"/>
          <w:sz w:val="22"/>
          <w:szCs w:val="22"/>
        </w:rPr>
        <w:t xml:space="preserve">Prophetically sober on the diagnosis; genuinely warm on the recovery. The irony (goddess worshipped on Friday, woman dismissed on Sunday) should be named calmly, not angrily — the calm makes it sharper. The Martha and Mary Magdalene sections are moments of genuine theological wonder and should be paced accordingly. For the male audience (priests and seminarians) the tone is challenge delivered with fraternal respect, not accusation.</w:t>
      </w:r>
    </w:p>
    <w:p>
      <w:pPr>
        <w:spacing w:before="40" w:after="80"/>
      </w:pPr>
      <w:r>
        <w:rPr>
          <w:rFonts w:ascii="Georgia" w:cs="Georgia" w:eastAsia="Georgia" w:hAnsi="Georgia"/>
          <w:b/>
          <w:bCs/>
          <w:color w:val="2C1A1A"/>
          <w:sz w:val="22"/>
          <w:szCs w:val="22"/>
        </w:rPr>
        <w:t xml:space="preserve">Key Biblical Texts: </w:t>
      </w:r>
      <w:r>
        <w:rPr>
          <w:rFonts w:ascii="Georgia" w:cs="Georgia" w:eastAsia="Georgia" w:hAnsi="Georgia"/>
          <w:color w:val="5C3A3A"/>
          <w:sz w:val="22"/>
          <w:szCs w:val="22"/>
        </w:rPr>
        <w:t xml:space="preserve">Gen 1:26-27; Gen 2:18-23; Jn 4:7-42; Jn 11:1-44; Jn 20:1-18; Lk 10:38-42; Lk 13:10-17; Lk 1:26-38; Jn 2:3-5; Mk 14:3-9; Lk 7:36-50; Rom 16:1-7; Gal 3:26-28; Is 49:14-15; Lk 15:8-10; Prov 31:10-31.</w:t>
      </w:r>
    </w:p>
    <w:p>
      <w:pPr>
        <w:spacing w:before="40" w:after="80"/>
      </w:pPr>
      <w:r>
        <w:rPr>
          <w:rFonts w:ascii="Georgia" w:cs="Georgia" w:eastAsia="Georgia" w:hAnsi="Georgia"/>
          <w:b/>
          <w:bCs/>
          <w:color w:val="2C1A1A"/>
          <w:sz w:val="22"/>
          <w:szCs w:val="22"/>
        </w:rPr>
        <w:t xml:space="preserve">Key Documents: </w:t>
      </w:r>
      <w:r>
        <w:rPr>
          <w:rFonts w:ascii="Georgia" w:cs="Georgia" w:eastAsia="Georgia" w:hAnsi="Georgia"/>
          <w:color w:val="5C3A3A"/>
          <w:sz w:val="22"/>
          <w:szCs w:val="22"/>
        </w:rPr>
        <w:t xml:space="preserve">Mulieris Dignitatem (John Paul II, 1988), 6, 16, 30; Gaudium et Spes 29, 60; Lumen Gentium 36, 65; Familiaris Consortio 23; Evangelii Gaudium 103-104; Amoris Laetitia 54; Laudato Si 89-90; FABC Papers 129 (women in Asian Church); Letter of the Apostles, John Paul II apology (1995).</w:t>
      </w:r>
    </w:p>
    <w:p>
      <w:pPr>
        <w:spacing w:before="40" w:after="80"/>
      </w:pPr>
      <w:r>
        <w:rPr>
          <w:rFonts w:ascii="Georgia" w:cs="Georgia" w:eastAsia="Georgia" w:hAnsi="Georgia"/>
          <w:b/>
          <w:bCs/>
          <w:color w:val="2C1A1A"/>
          <w:sz w:val="22"/>
          <w:szCs w:val="22"/>
        </w:rPr>
        <w:t xml:space="preserve">Key Thinkers: </w:t>
      </w:r>
      <w:r>
        <w:rPr>
          <w:rFonts w:ascii="Georgia" w:cs="Georgia" w:eastAsia="Georgia" w:hAnsi="Georgia"/>
          <w:color w:val="5C3A3A"/>
          <w:sz w:val="22"/>
          <w:szCs w:val="22"/>
        </w:rPr>
        <w:t xml:space="preserve">Elisabeth Schussler Fiorenza (In Memory of Her, 1983); Phyllis Trible (God and the Rhetoric of Sexuality, 1978); Sandra Schneiders IHM; Mary Daly (early work); B.R. Ambedkar on women's dignity; Rabindranath Tagore (Gitanjali); Mahatma Gandhi on women; Pope Francis (repeated interventions on women's roles); St Thomas Aquinas on Mary Magdalene as Apostola Apostolorum.</w:t>
      </w:r>
    </w:p>
    <w:p>
      <w:pPr>
        <w:spacing w:before="40" w:after="80"/>
      </w:pPr>
      <w:r>
        <w:rPr>
          <w:rFonts w:ascii="Georgia" w:cs="Georgia" w:eastAsia="Georgia" w:hAnsi="Georgia"/>
          <w:b/>
          <w:bCs/>
          <w:color w:val="2C1A1A"/>
          <w:sz w:val="22"/>
          <w:szCs w:val="22"/>
        </w:rPr>
        <w:t xml:space="preserve">West Bengal Specifics: </w:t>
      </w:r>
      <w:r>
        <w:rPr>
          <w:rFonts w:ascii="Georgia" w:cs="Georgia" w:eastAsia="Georgia" w:hAnsi="Georgia"/>
          <w:color w:val="5C3A3A"/>
          <w:sz w:val="22"/>
          <w:szCs w:val="22"/>
        </w:rPr>
        <w:t xml:space="preserve">Tagore as Bengal's own prophetic voice on women's freedom; the Shakti tradition of Bengal (Durga Puja, Kali worship) in tension with domestic subordination of women; the Sati tradition abolished by Bengal reformers (Ram Mohan Roy) as precedent for the Church's own reform capacity; the trafficking reality of North Bengal and Murshidabad named in Talk 9 but not yet given its gendered theological analysis.</w:t>
      </w:r>
    </w:p>
    <w:p>
      <w:pPr>
        <w:spacing w:before="100" w:after="60"/>
      </w:pPr>
    </w:p>
    <w:p>
      <w:pPr>
        <w:pBdr>
          <w:bottom w:val="single" w:color="D4C5B8" w:sz="6" w:space="1"/>
        </w:pBdr>
        <w:spacing w:before="80" w:after="80"/>
      </w:pPr>
    </w:p>
    <w:p>
      <w:pPr>
        <w:spacing w:before="200" w:after="80"/>
      </w:pPr>
    </w:p>
    <w:p>
      <w:pPr>
        <w:spacing w:before="400" w:after="160"/>
      </w:pPr>
      <w:r>
        <w:rPr>
          <w:rFonts w:ascii="Georgia" w:cs="Georgia" w:eastAsia="Georgia" w:hAnsi="Georgia"/>
          <w:b/>
          <w:bCs/>
          <w:smallCaps/>
          <w:color w:val="A0793D"/>
          <w:sz w:val="22"/>
          <w:szCs w:val="22"/>
        </w:rPr>
        <w:t xml:space="preserve">Opening  |  5 Minutes  </w:t>
      </w:r>
      <w:r>
        <w:rPr>
          <w:rFonts w:ascii="Georgia" w:cs="Georgia" w:eastAsia="Georgia" w:hAnsi="Georgia"/>
          <w:b/>
          <w:bCs/>
          <w:color w:val="7B1E3C"/>
          <w:sz w:val="26"/>
          <w:szCs w:val="26"/>
        </w:rPr>
        <w:t xml:space="preserve">The Problematic</w:t>
      </w:r>
    </w:p>
    <w:p>
      <w:pPr>
        <w:spacing w:before="60" w:after="40"/>
      </w:pPr>
    </w:p>
    <w:p>
      <w:pPr>
        <w:spacing w:before="60" w:after="160" w:line="340" w:lineRule="auto"/>
        <w:jc w:val="both"/>
      </w:pPr>
      <w:r>
        <w:rPr>
          <w:rFonts w:ascii="Georgia" w:cs="Georgia" w:eastAsia="Georgia" w:hAnsi="Georgia"/>
          <w:color w:val="2C1A1A"/>
          <w:sz w:val="23"/>
          <w:szCs w:val="23"/>
        </w:rPr>
        <w:t xml:space="preserve">By way of beginning, let me place before you the most foundational theological claim in the Hebrew Bible — and then show you how systematically it has been denied in practice.</w:t>
      </w:r>
    </w:p>
    <w:p>
      <w:pPr>
        <w:spacing w:before="60" w:after="160" w:line="340" w:lineRule="auto"/>
        <w:jc w:val="both"/>
      </w:pPr>
      <w:r>
        <w:rPr>
          <w:rFonts w:ascii="Georgia" w:cs="Georgia" w:eastAsia="Georgia" w:hAnsi="Georgia"/>
          <w:color w:val="2C1A1A"/>
          <w:sz w:val="23"/>
          <w:szCs w:val="23"/>
        </w:rPr>
        <w:t xml:space="preserve">Genesis 1:27 is unambiguous: God created human beings in His own image — male and female He created them. Not: male in His image and female as a derivative. Not: male as the primary image and female as its domestic complement. Male and female, together, without hierarchy, without qualification, as the single complete image of the living God.</w:t>
      </w:r>
    </w:p>
    <w:p>
      <w:pPr>
        <w:spacing w:before="60" w:after="160" w:line="340" w:lineRule="auto"/>
        <w:jc w:val="both"/>
      </w:pPr>
      <w:r>
        <w:rPr>
          <w:rFonts w:ascii="Georgia" w:cs="Georgia" w:eastAsia="Georgia" w:hAnsi="Georgia"/>
          <w:color w:val="2C1A1A"/>
          <w:sz w:val="23"/>
          <w:szCs w:val="23"/>
        </w:rPr>
        <w:t xml:space="preserve">This is the first thing the Bible says about the human being. Before sin. Before the fall. Before any distinction of role or function or social arrangement. The image of God is, in its Genesis fullness, inescapably both male and female.</w:t>
      </w:r>
    </w:p>
    <w:p>
      <w:pPr>
        <w:spacing w:before="60" w:after="160" w:line="340" w:lineRule="auto"/>
        <w:jc w:val="both"/>
      </w:pPr>
      <w:r>
        <w:rPr>
          <w:rFonts w:ascii="Georgia" w:cs="Georgia" w:eastAsia="Georgia" w:hAnsi="Georgia"/>
          <w:color w:val="2C1A1A"/>
          <w:sz w:val="23"/>
          <w:szCs w:val="23"/>
        </w:rPr>
        <w:t xml:space="preserve">We say this. We teach it in our seminaries. We celebrate it in our baptismal theology, where Galatians 3:28 confirms that in Christ there is neither Jew nor Greek, slave nor free, male nor female. We quote Mulieris Dignitatem, John Paul II's 1988 letter on women's dignity, which calls woman an equal partner in humanity with man, bearing equally and in her own way the image of God (Mulieris Dignitatem, 6).</w:t>
      </w:r>
    </w:p>
    <w:p>
      <w:pPr>
        <w:spacing w:before="60" w:after="160" w:line="340" w:lineRule="auto"/>
        <w:jc w:val="both"/>
      </w:pPr>
      <w:r>
        <w:rPr>
          <w:rFonts w:ascii="Georgia" w:cs="Georgia" w:eastAsia="Georgia" w:hAnsi="Georgia"/>
          <w:color w:val="2C1A1A"/>
          <w:sz w:val="23"/>
          <w:szCs w:val="23"/>
        </w:rPr>
        <w:t xml:space="preserve">And then we return to our institutions.</w:t>
      </w:r>
    </w:p>
    <w:p>
      <w:pPr>
        <w:spacing w:before="60" w:after="160" w:line="340" w:lineRule="auto"/>
        <w:jc w:val="both"/>
      </w:pPr>
      <w:r>
        <w:rPr>
          <w:rFonts w:ascii="Georgia" w:cs="Georgia" w:eastAsia="Georgia" w:hAnsi="Georgia"/>
          <w:color w:val="2C1A1A"/>
          <w:sz w:val="23"/>
          <w:szCs w:val="23"/>
        </w:rPr>
        <w:t xml:space="preserve">We return to diocesan finance councils where women are present, if at all, as a courtesy. We return to seminary formation programmes where gender theology is absent from the curriculum. We return to parishes where women organize the crèche, clean the sacristy, run the catechism programme, staff the pastoral council, and are thanked warmly at the annual general meeting by a parish priest who has not once asked for their theological opinion in ten years of ministry.</w:t>
      </w:r>
    </w:p>
    <w:p>
      <w:pPr>
        <w:spacing w:before="60" w:after="160" w:line="340" w:lineRule="auto"/>
        <w:jc w:val="both"/>
      </w:pPr>
      <w:r>
        <w:rPr>
          <w:rFonts w:ascii="Georgia" w:cs="Georgia" w:eastAsia="Georgia" w:hAnsi="Georgia"/>
          <w:color w:val="2C1A1A"/>
          <w:sz w:val="23"/>
          <w:szCs w:val="23"/>
        </w:rPr>
        <w:t xml:space="preserve">We return to the Church of West Bengal, where the Santali, Sora, and adivasi women whose faith is the most visceral, most tested, and most costly in the entire region are the last to be consulted about anything that happens in their own church building.</w:t>
      </w:r>
    </w:p>
    <w:p>
      <w:pPr>
        <w:spacing w:before="60" w:after="160" w:line="340" w:lineRule="auto"/>
        <w:jc w:val="both"/>
      </w:pPr>
      <w:r>
        <w:rPr>
          <w:rFonts w:ascii="Georgia" w:cs="Georgia" w:eastAsia="Georgia" w:hAnsi="Georgia"/>
          <w:color w:val="2C1A1A"/>
          <w:sz w:val="23"/>
          <w:szCs w:val="23"/>
        </w:rPr>
        <w:t xml:space="preserve">And — most sharply, because it is the closest to home — we return to religious communities where women religious run schools, hospitals, and formation houses, manage complex institutions with real competence and genuine faithfulness, and have no seat at the table of episcopal decision-making that shapes the Church within which those institutions exist.</w:t>
      </w:r>
    </w:p>
    <w:tbl>
      <w:tblPr>
        <w:tblW w:type="dxa" w:w="9360"/>
        <w:tblBorders>
          <w:top w:val="single" w:color="D4C5B8" w:sz="1"/>
          <w:left w:val="thick" w:color="8C2257" w:sz="18"/>
          <w:bottom w:val="single" w:color="D4C5B8" w:sz="1"/>
          <w:right w:val="single" w:color="D4C5B8" w:sz="1"/>
          <w:insideH w:val="single" w:color="auto" w:sz="4"/>
          <w:insideV w:val="single" w:color="auto" w:sz="4"/>
        </w:tblBorders>
      </w:tblPr>
      <w:tblGrid>
        <w:gridCol w:w="9360"/>
      </w:tblGrid>
      <w:tr>
        <w:tc>
          <w:tcPr>
            <w:tcW w:type="dxa" w:w="9360"/>
            <w:shd w:fill="F5E8EF"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2257"/>
                <w:sz w:val="24"/>
                <w:szCs w:val="24"/>
              </w:rPr>
              <w:t xml:space="preserve">We profess that the image of God is male and female together, whole and undivided. We practise a Church in which half the image of God is consulted for its labour and excluded from its governance. The gap between the theology we teach and the structure we maintain is not a pastoral oversight. It is a theological contradiction. And it is one that the series cannot conclude without naming directly.</w:t>
            </w:r>
          </w:p>
        </w:tc>
      </w:tr>
    </w:tbl>
    <w:p>
      <w:pPr>
        <w:spacing w:before="80" w:after="40"/>
      </w:pPr>
    </w:p>
    <w:p>
      <w:pPr>
        <w:spacing w:before="60" w:after="160" w:line="340" w:lineRule="auto"/>
        <w:jc w:val="both"/>
      </w:pPr>
      <w:r>
        <w:rPr>
          <w:rFonts w:ascii="Georgia" w:cs="Georgia" w:eastAsia="Georgia" w:hAnsi="Georgia"/>
          <w:color w:val="2C1A1A"/>
          <w:sz w:val="23"/>
          <w:szCs w:val="23"/>
        </w:rPr>
        <w:t xml:space="preserve">This contradiction produces three specific consequences.</w:t>
      </w:r>
    </w:p>
    <w:p>
      <w:pPr>
        <w:spacing w:before="60" w:after="160" w:line="340" w:lineRule="auto"/>
        <w:jc w:val="both"/>
      </w:pPr>
      <w:r>
        <w:rPr>
          <w:rFonts w:ascii="Georgia" w:cs="Georgia" w:eastAsia="Georgia" w:hAnsi="Georgia"/>
          <w:color w:val="2C1A1A"/>
          <w:sz w:val="23"/>
          <w:szCs w:val="23"/>
        </w:rPr>
        <w:t xml:space="preserve">First: the Church's proclamation of the Gospel is structurally incomplete. When the half of humanity that bore Christ in her body, stood beneath the cross when the men had fled, and received the first resurrection commission has no authoritative voice in how the Gospel is proclaimed, the Gospel that is proclaimed is half a Gospel. It is the Gospel heard through one set of human ears, shaped by one set of human experiences, and it misses what only the other set of ears and experiences can receive and transmit.</w:t>
      </w:r>
    </w:p>
    <w:p>
      <w:pPr>
        <w:spacing w:before="60" w:after="160" w:line="340" w:lineRule="auto"/>
        <w:jc w:val="both"/>
      </w:pPr>
      <w:r>
        <w:rPr>
          <w:rFonts w:ascii="Georgia" w:cs="Georgia" w:eastAsia="Georgia" w:hAnsi="Georgia"/>
          <w:color w:val="2C1A1A"/>
          <w:sz w:val="23"/>
          <w:szCs w:val="23"/>
        </w:rPr>
        <w:t xml:space="preserve">Second: the pastoral credibility of the Church's teaching on human dignity is damaged by internal inconsistency. A Church that teaches the equal dignity of every human person while maintaining institutional arrangements that systematically exclude women from decision-making does not have a credible position from which to address the patriarchal structures of the surrounding culture. It has joined them.</w:t>
      </w:r>
    </w:p>
    <w:p>
      <w:pPr>
        <w:spacing w:before="60" w:after="160" w:line="340" w:lineRule="auto"/>
        <w:jc w:val="both"/>
      </w:pPr>
      <w:r>
        <w:rPr>
          <w:rFonts w:ascii="Georgia" w:cs="Georgia" w:eastAsia="Georgia" w:hAnsi="Georgia"/>
          <w:color w:val="2C1A1A"/>
          <w:sz w:val="23"/>
          <w:szCs w:val="23"/>
        </w:rPr>
        <w:t xml:space="preserve">Third: women themselves, formed within institutions that have absorbed patriarchal assumptions as though they were theological necessities, gradually internalize the conviction that their dignity is conditional, that their voice is derivative, and that the most they can hope for is to be useful to a structure that was not designed with them in mind. This interior diminishment is not merely a pastoral problem. It is, theologically, the suppression of the image of God within a living human person.</w:t>
      </w:r>
    </w:p>
    <w:p>
      <w:pPr>
        <w:spacing w:before="60" w:after="160" w:line="340" w:lineRule="auto"/>
        <w:jc w:val="both"/>
      </w:pPr>
      <w:r>
        <w:rPr>
          <w:rFonts w:ascii="Georgia" w:cs="Georgia" w:eastAsia="Georgia" w:hAnsi="Georgia"/>
          <w:color w:val="2C1A1A"/>
          <w:sz w:val="23"/>
          <w:szCs w:val="23"/>
        </w:rPr>
        <w:t xml:space="preserve">In one sentence: the Church cannot proclaim the full Gospel until it honours the full image of God. And honouring the full image of God requires the full, equal, structurally supported participation of women in every dimension of its life.</w:t>
      </w:r>
    </w:p>
    <w:p>
      <w:pPr>
        <w:spacing w:before="60" w:after="160" w:line="340" w:lineRule="auto"/>
        <w:jc w:val="both"/>
      </w:pPr>
      <w:r>
        <w:rPr>
          <w:rFonts w:ascii="Georgia" w:cs="Georgia" w:eastAsia="Georgia" w:hAnsi="Georgia"/>
          <w:color w:val="2C1A1A"/>
          <w:sz w:val="23"/>
          <w:szCs w:val="23"/>
        </w:rPr>
        <w:t xml:space="preserve">Let us examine what this requires and what is preventing it.</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1  |  8 Minutes  </w:t>
      </w:r>
      <w:r>
        <w:rPr>
          <w:rFonts w:ascii="Georgia" w:cs="Georgia" w:eastAsia="Georgia" w:hAnsi="Georgia"/>
          <w:b/>
          <w:bCs/>
          <w:color w:val="7B1E3C"/>
          <w:sz w:val="26"/>
          <w:szCs w:val="26"/>
        </w:rPr>
        <w:t xml:space="preserve">Two Models of Woman in Church and Culture</w:t>
      </w:r>
    </w:p>
    <w:p>
      <w:pPr>
        <w:spacing w:before="60" w:after="40"/>
      </w:pPr>
    </w:p>
    <w:p>
      <w:pPr>
        <w:spacing w:before="60" w:after="160" w:line="340" w:lineRule="auto"/>
        <w:jc w:val="both"/>
      </w:pPr>
      <w:r>
        <w:rPr>
          <w:rFonts w:ascii="Georgia" w:cs="Georgia" w:eastAsia="Georgia" w:hAnsi="Georgia"/>
          <w:color w:val="2C1A1A"/>
          <w:sz w:val="23"/>
          <w:szCs w:val="23"/>
        </w:rPr>
        <w:t xml:space="preserve">Let me identify two fundamentally different models of what woman is and what her role is. They have coexisted within Catholicism for centuries. One is theologically coherent and derives directly from Genesis 1. The other is a cultural importation that has been given theological language it does not deserve.</w:t>
      </w:r>
    </w:p>
    <w:p>
      <w:pPr>
        <w:spacing w:before="280" w:after="100"/>
      </w:pPr>
      <w:r>
        <w:rPr>
          <w:rFonts w:ascii="Georgia" w:cs="Georgia" w:eastAsia="Georgia" w:hAnsi="Georgia"/>
          <w:b/>
          <w:bCs/>
          <w:i/>
          <w:iCs/>
          <w:color w:val="5C3A3A"/>
          <w:sz w:val="23"/>
          <w:szCs w:val="23"/>
        </w:rPr>
        <w:t xml:space="preserve">Model A: Woman as Defined by Function and Relation</w:t>
      </w:r>
    </w:p>
    <w:p>
      <w:pPr>
        <w:spacing w:before="60" w:after="160" w:line="340" w:lineRule="auto"/>
        <w:jc w:val="both"/>
      </w:pPr>
      <w:r>
        <w:rPr>
          <w:rFonts w:ascii="Georgia" w:cs="Georgia" w:eastAsia="Georgia" w:hAnsi="Georgia"/>
          <w:color w:val="2C1A1A"/>
          <w:sz w:val="23"/>
          <w:szCs w:val="23"/>
        </w:rPr>
        <w:t xml:space="preserve">In the dominant cultural model, a woman's identity is entirely constituted by her relationships and functions. She is daughter, wife, mother, daughter-in-law. She exists in reference to others. Her worth is measured by the quality of her service to the family unit, and by her capacity to produce male children. Apart from these functions and relationships, she has, as Nirmala Vasanthakumar's workshop reveals, almost nothing left to say about herself.</w:t>
      </w:r>
    </w:p>
    <w:p>
      <w:pPr>
        <w:spacing w:before="60" w:after="160" w:line="340" w:lineRule="auto"/>
        <w:jc w:val="both"/>
      </w:pPr>
      <w:r>
        <w:rPr>
          <w:rFonts w:ascii="Georgia" w:cs="Georgia" w:eastAsia="Georgia" w:hAnsi="Georgia"/>
          <w:color w:val="2C1A1A"/>
          <w:sz w:val="23"/>
          <w:szCs w:val="23"/>
        </w:rPr>
        <w:t xml:space="preserve">This model has three sophisticated variants within Catholic institutional life, each of which is more subtle than simple sexism and therefore more resistant to naming and critique.</w:t>
      </w:r>
    </w:p>
    <w:p>
      <w:pPr>
        <w:spacing w:before="60" w:after="160" w:line="340" w:lineRule="auto"/>
        <w:jc w:val="both"/>
      </w:pPr>
      <w:r>
        <w:rPr>
          <w:rFonts w:ascii="Georgia" w:cs="Georgia" w:eastAsia="Georgia" w:hAnsi="Georgia"/>
          <w:color w:val="2C1A1A"/>
          <w:sz w:val="23"/>
          <w:szCs w:val="23"/>
        </w:rPr>
        <w:t xml:space="preserve">The first variant is pedestalization. Woman is elevated to a symbol: the Goddess, the Madonna, Bharat Mata, the embodiment of divine feminine energy. This elevation simultaneously removes her from the sphere of ordinary human dignity and redirects attention from her concrete conditions of life to her symbolic function. Bengal worships Durga and Kali with extraordinary intensity for ten days each October, and then returns in November to a social reality in which women in Murshidabad lack basic property rights. The symbol has substituted for the person.</w:t>
      </w:r>
    </w:p>
    <w:p>
      <w:pPr>
        <w:spacing w:before="60" w:after="160" w:line="340" w:lineRule="auto"/>
        <w:jc w:val="both"/>
      </w:pPr>
      <w:r>
        <w:rPr>
          <w:rFonts w:ascii="Georgia" w:cs="Georgia" w:eastAsia="Georgia" w:hAnsi="Georgia"/>
          <w:color w:val="2C1A1A"/>
          <w:sz w:val="23"/>
          <w:szCs w:val="23"/>
        </w:rPr>
        <w:t xml:space="preserve">The second variant is spiritualization. The Church acknowledges the dignity of women in theological terms — the imago Dei, baptismal equality, the equal call to holiness — while maintaining that this dignity has no institutional or governance implications. Women are equal before God. The decision-making structure remains entirely male. The spiritual equality is real. The structural exclusion is also real. And the two are maintained simultaneously without apparent awareness of the contradiction.</w:t>
      </w:r>
    </w:p>
    <w:p>
      <w:pPr>
        <w:spacing w:before="60" w:after="160" w:line="340" w:lineRule="auto"/>
        <w:jc w:val="both"/>
      </w:pPr>
      <w:r>
        <w:rPr>
          <w:rFonts w:ascii="Georgia" w:cs="Georgia" w:eastAsia="Georgia" w:hAnsi="Georgia"/>
          <w:color w:val="2C1A1A"/>
          <w:sz w:val="23"/>
          <w:szCs w:val="23"/>
        </w:rPr>
        <w:t xml:space="preserve">The third variant is functionalization. Women are genuinely valued — for what they do. For their energy, their organizational capacity, their pastoral sensitivity, their teaching skill, their administrative competence. They are thanked warmly and often. They are rarely asked what they think about the theological questions that shape the institution they are serving.</w:t>
      </w:r>
    </w:p>
    <w:p>
      <w:pPr>
        <w:spacing w:before="280" w:after="100"/>
      </w:pPr>
      <w:r>
        <w:rPr>
          <w:rFonts w:ascii="Georgia" w:cs="Georgia" w:eastAsia="Georgia" w:hAnsi="Georgia"/>
          <w:b/>
          <w:bCs/>
          <w:i/>
          <w:iCs/>
          <w:color w:val="5C3A3A"/>
          <w:sz w:val="23"/>
          <w:szCs w:val="23"/>
        </w:rPr>
        <w:t xml:space="preserve">Model B: Woman as Imago Dei Integra — The Full Image</w:t>
      </w:r>
    </w:p>
    <w:p>
      <w:pPr>
        <w:spacing w:before="60" w:after="160" w:line="340" w:lineRule="auto"/>
        <w:jc w:val="both"/>
      </w:pPr>
      <w:r>
        <w:rPr>
          <w:rFonts w:ascii="Georgia" w:cs="Georgia" w:eastAsia="Georgia" w:hAnsi="Georgia"/>
          <w:color w:val="2C1A1A"/>
          <w:sz w:val="23"/>
          <w:szCs w:val="23"/>
        </w:rPr>
        <w:t xml:space="preserve">The second model derives directly from Genesis 1 and is confirmed by the pattern of Jesus's encounters with women throughout the Gospels. In this model, woman is not primarily a function, a symbol, or a relational identity. She is a person: a bearer of the divine image in her own right, with an intellectual, spiritual, theological, and governance capacity that is equal to man's and complementary to it in ways that enrich both.</w:t>
      </w:r>
    </w:p>
    <w:p>
      <w:pPr>
        <w:spacing w:before="60" w:after="160" w:line="340" w:lineRule="auto"/>
        <w:jc w:val="both"/>
      </w:pPr>
      <w:r>
        <w:rPr>
          <w:rFonts w:ascii="Georgia" w:cs="Georgia" w:eastAsia="Georgia" w:hAnsi="Georgia"/>
          <w:color w:val="2C1A1A"/>
          <w:sz w:val="23"/>
          <w:szCs w:val="23"/>
        </w:rPr>
        <w:t xml:space="preserve">This model does not deny the differences between men and women, biological, psychological, or social. It denies that those differences constitute a hierarchy. Difference and hierarchy are not the same thing. The tradition that has used difference as a justification for hierarchy has confused a description of variety with a prescription for subordination.</w:t>
      </w:r>
    </w:p>
    <w:p>
      <w:pPr>
        <w:spacing w:before="60" w:after="160" w:line="340" w:lineRule="auto"/>
        <w:jc w:val="both"/>
      </w:pPr>
      <w:r>
        <w:rPr>
          <w:rFonts w:ascii="Georgia" w:cs="Georgia" w:eastAsia="Georgia" w:hAnsi="Georgia"/>
          <w:color w:val="2C1A1A"/>
          <w:sz w:val="23"/>
          <w:szCs w:val="23"/>
        </w:rPr>
        <w:t xml:space="preserve">The consequences of Model B, where it has been implemented, are observable. Sr. Inigo SSA spent fourteen years in Tihar Jail. The women who ran the early Church's house churches — Priscilla, Phoebe, Lydia, Junia — built communities that outlasted their own lives. The women mystics of the medieval period — Hildegard of Bingen, Catherine of Siena, Teresa of Avila — shaped the Church's theological and institutional development with an authority that no official position conferred and no official structure could ultimately contain.</w:t>
      </w:r>
    </w:p>
    <w:tbl>
      <w:tblPr>
        <w:tblW w:type="dxa" w:w="9360"/>
        <w:tblBorders>
          <w:top w:val="single" w:color="D4C5B8" w:sz="1"/>
          <w:left w:val="thick" w:color="8C2257" w:sz="18"/>
          <w:bottom w:val="single" w:color="D4C5B8" w:sz="1"/>
          <w:right w:val="single" w:color="D4C5B8" w:sz="1"/>
          <w:insideH w:val="single" w:color="auto" w:sz="4"/>
          <w:insideV w:val="single" w:color="auto" w:sz="4"/>
        </w:tblBorders>
      </w:tblPr>
      <w:tblGrid>
        <w:gridCol w:w="9360"/>
      </w:tblGrid>
      <w:tr>
        <w:tc>
          <w:tcPr>
            <w:tcW w:type="dxa" w:w="9360"/>
            <w:shd w:fill="F5E8EF"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2257"/>
                <w:sz w:val="24"/>
                <w:szCs w:val="24"/>
              </w:rPr>
              <w:t xml:space="preserve">The pedestalization of woman and her exclusion from governance are not opposites. They are complements. The culture that elevates woman as a symbol is precisely the culture that excludes her as a person. The goddess is worshipped because a goddess does not need a vote.</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Gaudium et Spes 29, the Second Vatican Council's most direct statement on the equality of men and women, names it without evasion: every type of discrimination, whether social or cultural, whether based on sex, race, colour, social condition, language, or religion, is to be overcome and eradicated as contrary to God's intent.</w:t>
      </w:r>
    </w:p>
    <w:p>
      <w:pPr>
        <w:spacing w:before="60" w:after="160" w:line="340" w:lineRule="auto"/>
        <w:jc w:val="both"/>
      </w:pPr>
      <w:r>
        <w:rPr>
          <w:rFonts w:ascii="Georgia" w:cs="Georgia" w:eastAsia="Georgia" w:hAnsi="Georgia"/>
          <w:color w:val="2C1A1A"/>
          <w:sz w:val="23"/>
          <w:szCs w:val="23"/>
        </w:rPr>
        <w:t xml:space="preserve">The Council said this in 1965. The question before us is not whether it was said. The question is whether it has been implemented. And the answer, in 2026, sixty years after the Council, is: partially, inconsistently, and nowhere near completely.</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2  |  7 Minutes  </w:t>
      </w:r>
      <w:r>
        <w:rPr>
          <w:rFonts w:ascii="Georgia" w:cs="Georgia" w:eastAsia="Georgia" w:hAnsi="Georgia"/>
          <w:b/>
          <w:bCs/>
          <w:color w:val="7B1E3C"/>
          <w:sz w:val="26"/>
          <w:szCs w:val="26"/>
        </w:rPr>
        <w:t xml:space="preserve">Etymological Recovery: Three Words to Reclaim</w:t>
      </w:r>
    </w:p>
    <w:p>
      <w:pPr>
        <w:spacing w:before="60" w:after="40"/>
      </w:pPr>
    </w:p>
    <w:p>
      <w:pPr>
        <w:spacing w:before="60" w:after="160" w:line="340" w:lineRule="auto"/>
        <w:jc w:val="both"/>
      </w:pPr>
      <w:r>
        <w:rPr>
          <w:rFonts w:ascii="Georgia" w:cs="Georgia" w:eastAsia="Georgia" w:hAnsi="Georgia"/>
          <w:color w:val="2C1A1A"/>
          <w:sz w:val="23"/>
          <w:szCs w:val="23"/>
        </w:rPr>
        <w:t xml:space="preserve">Let me attend to three words that are structurally central to this talk and have been domesticated, distorted, or erased in ways that have had direct institutional consequences.</w:t>
      </w:r>
    </w:p>
    <w:p>
      <w:pPr>
        <w:spacing w:before="280" w:after="100"/>
      </w:pPr>
      <w:r>
        <w:rPr>
          <w:rFonts w:ascii="Georgia" w:cs="Georgia" w:eastAsia="Georgia" w:hAnsi="Georgia"/>
          <w:b/>
          <w:bCs/>
          <w:i/>
          <w:iCs/>
          <w:color w:val="5C3A3A"/>
          <w:sz w:val="23"/>
          <w:szCs w:val="23"/>
        </w:rPr>
        <w:t xml:space="preserve">First Word: Imago Dei</w:t>
      </w:r>
    </w:p>
    <w:p>
      <w:pPr>
        <w:spacing w:before="60" w:after="160" w:line="340" w:lineRule="auto"/>
        <w:jc w:val="both"/>
      </w:pPr>
      <w:r>
        <w:rPr>
          <w:rFonts w:ascii="Georgia" w:cs="Georgia" w:eastAsia="Georgia" w:hAnsi="Georgia"/>
          <w:color w:val="2C1A1A"/>
          <w:sz w:val="23"/>
          <w:szCs w:val="23"/>
        </w:rPr>
        <w:t xml:space="preserve">The Latin imago Dei, image of God, derives from the Hebrew tselem Elohim in Genesis 1:27. Tselem is a concrete, physical word: it means an image in the sense of a carved figure, a statue, a representation. The imago Dei is not a spiritual metaphor. It is a declaration that the human person, in their bodily, material, gendered existence, is the visible representation of the invisible God in the world.</w:t>
      </w:r>
    </w:p>
    <w:p>
      <w:pPr>
        <w:spacing w:before="60" w:after="160" w:line="340" w:lineRule="auto"/>
        <w:jc w:val="both"/>
      </w:pPr>
      <w:r>
        <w:rPr>
          <w:rFonts w:ascii="Georgia" w:cs="Georgia" w:eastAsia="Georgia" w:hAnsi="Georgia"/>
          <w:color w:val="2C1A1A"/>
          <w:sz w:val="23"/>
          <w:szCs w:val="23"/>
        </w:rPr>
        <w:t xml:space="preserve">This is what happened to imago Dei over the course of the tradition: it was progressively spiritualized and then implicitly masculinized. The spiritualization came first through Origen and the Alexandrian tradition: the image of God resides in the soul, not in the body, because God is spirit and spirit alone can bear spirit's image. The body, and especially the female body, is not the location of the imago.</w:t>
      </w:r>
    </w:p>
    <w:p>
      <w:pPr>
        <w:spacing w:before="60" w:after="160" w:line="340" w:lineRule="auto"/>
        <w:jc w:val="both"/>
      </w:pPr>
      <w:r>
        <w:rPr>
          <w:rFonts w:ascii="Georgia" w:cs="Georgia" w:eastAsia="Georgia" w:hAnsi="Georgia"/>
          <w:color w:val="2C1A1A"/>
          <w:sz w:val="23"/>
          <w:szCs w:val="23"/>
        </w:rPr>
        <w:t xml:space="preserve">The masculinization followed from the spiritualization. If the image of God resides in the rational soul, and if reason is, as Aristotle argued and the medieval theologians largely accepted, more perfectly realized in the male, then the male human being is more fully the image of God than the female. Thomas Aquinas, working within this framework, wrote that woman is a misbegotten male — mas occasionatus — a defective version of the primary human type (Aquinas, Summa Theologiae I, q. 92, a. 1).</w:t>
      </w:r>
    </w:p>
    <w:p>
      <w:pPr>
        <w:spacing w:before="60" w:after="160" w:line="340" w:lineRule="auto"/>
        <w:jc w:val="both"/>
      </w:pPr>
      <w:r>
        <w:rPr>
          <w:rFonts w:ascii="Georgia" w:cs="Georgia" w:eastAsia="Georgia" w:hAnsi="Georgia"/>
          <w:color w:val="2C1A1A"/>
          <w:sz w:val="23"/>
          <w:szCs w:val="23"/>
        </w:rPr>
        <w:t xml:space="preserve">This is not a marginal opinion from a minor thinker. It is the position of the most influential systematic theologian in the Western tradition, repeated in his commentary on the Sentences, and its effects on the Church's self-understanding of women's capacity for theological reason and institutional authority have been incalculable.</w:t>
      </w:r>
    </w:p>
    <w:p>
      <w:pPr>
        <w:spacing w:before="60" w:after="160" w:line="340" w:lineRule="auto"/>
        <w:jc w:val="both"/>
      </w:pPr>
      <w:r>
        <w:rPr>
          <w:rFonts w:ascii="Georgia" w:cs="Georgia" w:eastAsia="Georgia" w:hAnsi="Georgia"/>
          <w:color w:val="2C1A1A"/>
          <w:sz w:val="23"/>
          <w:szCs w:val="23"/>
        </w:rPr>
        <w:t xml:space="preserve">The etymological recovery of imago Dei requires returning to Genesis 1:27 and refusing the Aristotelian overlay. Tselem Elohim is given to the human being as male and female together. Not to the male alone. Not more fully to the male. Together. Equally. Completely.</w:t>
      </w:r>
    </w:p>
    <w:p>
      <w:pPr>
        <w:spacing w:before="280" w:after="100"/>
      </w:pPr>
      <w:r>
        <w:rPr>
          <w:rFonts w:ascii="Georgia" w:cs="Georgia" w:eastAsia="Georgia" w:hAnsi="Georgia"/>
          <w:b/>
          <w:bCs/>
          <w:i/>
          <w:iCs/>
          <w:color w:val="5C3A3A"/>
          <w:sz w:val="23"/>
          <w:szCs w:val="23"/>
        </w:rPr>
        <w:t xml:space="preserve">Second Word: Ezer</w:t>
      </w:r>
    </w:p>
    <w:p>
      <w:pPr>
        <w:spacing w:before="60" w:after="160" w:line="340" w:lineRule="auto"/>
        <w:jc w:val="both"/>
      </w:pPr>
      <w:r>
        <w:rPr>
          <w:rFonts w:ascii="Georgia" w:cs="Georgia" w:eastAsia="Georgia" w:hAnsi="Georgia"/>
          <w:color w:val="2C1A1A"/>
          <w:sz w:val="23"/>
          <w:szCs w:val="23"/>
        </w:rPr>
        <w:t xml:space="preserve">Genesis 2:18 uses a word for woman that has been translated helper since the earliest English versions and has been read, in that translation, as indicating a secondary or supporting role. God says: it is not good for the man to be alone; I will make him a helper as his partner.</w:t>
      </w:r>
    </w:p>
    <w:p>
      <w:pPr>
        <w:spacing w:before="60" w:after="160" w:line="340" w:lineRule="auto"/>
        <w:jc w:val="both"/>
      </w:pPr>
      <w:r>
        <w:rPr>
          <w:rFonts w:ascii="Georgia" w:cs="Georgia" w:eastAsia="Georgia" w:hAnsi="Georgia"/>
          <w:color w:val="2C1A1A"/>
          <w:sz w:val="23"/>
          <w:szCs w:val="23"/>
        </w:rPr>
        <w:t xml:space="preserve">The Hebrew word is ezer. And ezer is not the word for a subordinate assistant. In the twenty-one times ezer appears in the Hebrew Bible, it is used twice to describe woman in Genesis 2, and nineteen times to describe God. God is Israel's ezer. God is the ezer of the king. God is the ezer of the one who cries out in distress.</w:t>
      </w:r>
    </w:p>
    <w:p>
      <w:pPr>
        <w:spacing w:before="60" w:after="160" w:line="340" w:lineRule="auto"/>
        <w:jc w:val="both"/>
      </w:pPr>
      <w:r>
        <w:rPr>
          <w:rFonts w:ascii="Georgia" w:cs="Georgia" w:eastAsia="Georgia" w:hAnsi="Georgia"/>
          <w:color w:val="2C1A1A"/>
          <w:sz w:val="23"/>
          <w:szCs w:val="23"/>
        </w:rPr>
        <w:t xml:space="preserve">When the psalmist writes: my help, my ezer, comes from the Lord (Psalm 121:2), he is not describing a subordinate relationship. He is describing a relationship in which the stronger party provides what the weaker party cannot provide for themselves. The ezer is the one whose presence makes possible what would otherwise be impossible.</w:t>
      </w:r>
    </w:p>
    <w:p>
      <w:pPr>
        <w:spacing w:before="60" w:after="160" w:line="340" w:lineRule="auto"/>
        <w:jc w:val="both"/>
      </w:pPr>
      <w:r>
        <w:rPr>
          <w:rFonts w:ascii="Georgia" w:cs="Georgia" w:eastAsia="Georgia" w:hAnsi="Georgia"/>
          <w:color w:val="2C1A1A"/>
          <w:sz w:val="23"/>
          <w:szCs w:val="23"/>
        </w:rPr>
        <w:t xml:space="preserve">If ezer is consistently used of God throughout the Hebrew Bible, and if God is described as Israel's ezer in contexts of military rescue, political crisis, and existential threat, then the use of ezer for woman in Genesis 2 cannot mean assistant or subordinate without making God a subordinate assistant to Israel. The word does not carry that meaning in its Hebrew semantic range.</w:t>
      </w:r>
    </w:p>
    <w:p>
      <w:pPr>
        <w:spacing w:before="60" w:after="160" w:line="340" w:lineRule="auto"/>
        <w:jc w:val="both"/>
      </w:pPr>
      <w:r>
        <w:rPr>
          <w:rFonts w:ascii="Georgia" w:cs="Georgia" w:eastAsia="Georgia" w:hAnsi="Georgia"/>
          <w:color w:val="2C1A1A"/>
          <w:sz w:val="23"/>
          <w:szCs w:val="23"/>
        </w:rPr>
        <w:t xml:space="preserve">Woman, in Genesis 2, is described by the same word used for God. This is not a concession. It is a declaration. The theological tradition that derived from this text a justification for women's subordination was not reading the Hebrew. It was reading its own cultural assumptions into the Hebrew.</w:t>
      </w:r>
    </w:p>
    <w:p>
      <w:pPr>
        <w:spacing w:before="280" w:after="100"/>
      </w:pPr>
      <w:r>
        <w:rPr>
          <w:rFonts w:ascii="Georgia" w:cs="Georgia" w:eastAsia="Georgia" w:hAnsi="Georgia"/>
          <w:b/>
          <w:bCs/>
          <w:i/>
          <w:iCs/>
          <w:color w:val="5C3A3A"/>
          <w:sz w:val="23"/>
          <w:szCs w:val="23"/>
        </w:rPr>
        <w:t xml:space="preserve">Third Word: Apostola</w:t>
      </w:r>
    </w:p>
    <w:p>
      <w:pPr>
        <w:spacing w:before="60" w:after="160" w:line="340" w:lineRule="auto"/>
        <w:jc w:val="both"/>
      </w:pPr>
      <w:r>
        <w:rPr>
          <w:rFonts w:ascii="Georgia" w:cs="Georgia" w:eastAsia="Georgia" w:hAnsi="Georgia"/>
          <w:color w:val="2C1A1A"/>
          <w:sz w:val="23"/>
          <w:szCs w:val="23"/>
        </w:rPr>
        <w:t xml:space="preserve">The Latin apostola, the feminine form of apostolus, sender, one who is sent, is the title that Thomas Aquinas gave to Mary Magdalene in the thirteenth century. Apostola Apostolorum: the Apostle of the Apostles. The one sent to the sent ones. The first witness of the resurrection, commissioned by the Risen Christ himself to carry the news to the eleven.</w:t>
      </w:r>
    </w:p>
    <w:p>
      <w:pPr>
        <w:spacing w:before="60" w:after="160" w:line="340" w:lineRule="auto"/>
        <w:jc w:val="both"/>
      </w:pPr>
      <w:r>
        <w:rPr>
          <w:rFonts w:ascii="Georgia" w:cs="Georgia" w:eastAsia="Georgia" w:hAnsi="Georgia"/>
          <w:color w:val="2C1A1A"/>
          <w:sz w:val="23"/>
          <w:szCs w:val="23"/>
        </w:rPr>
        <w:t xml:space="preserve">The word apostola was also applicable to Junia in Romans 16:7, where Paul greets a couple he describes as outstanding among the apostles. The feminine name Junia was, as the textual scholar Bernadette Brooten established in 1977 through exhaustive analysis of ancient naming practices, the original reading of the Greek manuscripts. A medieval scribe, working in the twelfth or thirteenth century, added an iota to the ending and changed Junia to the masculine Junias — a name for which there is no evidence in any ancient source, Greek, Latin, or otherwise.</w:t>
      </w:r>
    </w:p>
    <w:p>
      <w:pPr>
        <w:spacing w:before="60" w:after="160" w:line="340" w:lineRule="auto"/>
        <w:jc w:val="both"/>
      </w:pPr>
      <w:r>
        <w:rPr>
          <w:rFonts w:ascii="Georgia" w:cs="Georgia" w:eastAsia="Georgia" w:hAnsi="Georgia"/>
          <w:color w:val="2C1A1A"/>
          <w:sz w:val="23"/>
          <w:szCs w:val="23"/>
        </w:rPr>
        <w:t xml:space="preserve">The name was changed. The apostola was erased. And the erasure held for approximately eight centuries, until twentieth-century scholarship recovered the original text and the original woman.</w:t>
      </w:r>
    </w:p>
    <w:tbl>
      <w:tblPr>
        <w:tblW w:type="dxa" w:w="9360"/>
        <w:tblBorders>
          <w:top w:val="single" w:color="D4C5B8" w:sz="1"/>
          <w:left w:val="thick" w:color="8C2257" w:sz="18"/>
          <w:bottom w:val="single" w:color="D4C5B8" w:sz="1"/>
          <w:right w:val="single" w:color="D4C5B8" w:sz="1"/>
          <w:insideH w:val="single" w:color="auto" w:sz="4"/>
          <w:insideV w:val="single" w:color="auto" w:sz="4"/>
        </w:tblBorders>
      </w:tblPr>
      <w:tblGrid>
        <w:gridCol w:w="9360"/>
      </w:tblGrid>
      <w:tr>
        <w:tc>
          <w:tcPr>
            <w:tcW w:type="dxa" w:w="9360"/>
            <w:shd w:fill="F5E8EF"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2257"/>
                <w:sz w:val="24"/>
                <w:szCs w:val="24"/>
              </w:rPr>
              <w:t xml:space="preserve">Junia was an apostola. Her name was changed by a medieval scribe because the existence of a female apostle was too inconvenient for the tradition that had already decided women could not hold that office. History was literally rewritten to eliminate the evidence. This is not anti-Catholic polemic. It is the finding of Catholic scholars working with Catholic manuscript traditions.</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3  |  12 Minutes  </w:t>
      </w:r>
      <w:r>
        <w:rPr>
          <w:rFonts w:ascii="Georgia" w:cs="Georgia" w:eastAsia="Georgia" w:hAnsi="Georgia"/>
          <w:b/>
          <w:bCs/>
          <w:color w:val="7B1E3C"/>
          <w:sz w:val="26"/>
          <w:szCs w:val="26"/>
        </w:rPr>
        <w:t xml:space="preserve">The Scriptural Constellation</w:t>
      </w:r>
    </w:p>
    <w:p>
      <w:pPr>
        <w:spacing w:before="60" w:after="40"/>
      </w:pPr>
    </w:p>
    <w:p>
      <w:pPr>
        <w:spacing w:before="60" w:after="160" w:line="340" w:lineRule="auto"/>
        <w:jc w:val="both"/>
      </w:pPr>
      <w:r>
        <w:rPr>
          <w:rFonts w:ascii="Georgia" w:cs="Georgia" w:eastAsia="Georgia" w:hAnsi="Georgia"/>
          <w:color w:val="2C1A1A"/>
          <w:sz w:val="23"/>
          <w:szCs w:val="23"/>
        </w:rPr>
        <w:t xml:space="preserve">Let me now read several scriptural texts together, building a picture of what Jesus actually did with the women he encountered — and what the early Church actually looked like before the patriarchal assumptions of Greco-Roman culture began their work of reconstruction.</w:t>
      </w:r>
    </w:p>
    <w:p>
      <w:pPr>
        <w:spacing w:before="280" w:after="100"/>
      </w:pPr>
      <w:r>
        <w:rPr>
          <w:rFonts w:ascii="Georgia" w:cs="Georgia" w:eastAsia="Georgia" w:hAnsi="Georgia"/>
          <w:b/>
          <w:bCs/>
          <w:i/>
          <w:iCs/>
          <w:color w:val="5C3A3A"/>
          <w:sz w:val="23"/>
          <w:szCs w:val="23"/>
        </w:rPr>
        <w:t xml:space="preserve">Text 1 — Genesis 1:27 and 2:18-23: Two Creation Texts, One Theological Claim</w:t>
      </w:r>
    </w:p>
    <w:p>
      <w:pPr>
        <w:spacing w:before="60" w:after="160" w:line="340" w:lineRule="auto"/>
        <w:jc w:val="both"/>
      </w:pPr>
      <w:r>
        <w:rPr>
          <w:rFonts w:ascii="Georgia" w:cs="Georgia" w:eastAsia="Georgia" w:hAnsi="Georgia"/>
          <w:color w:val="2C1A1A"/>
          <w:sz w:val="23"/>
          <w:szCs w:val="23"/>
        </w:rPr>
        <w:t xml:space="preserve">Genesis 1:27 establishes equality. Genesis 2:18-23 develops relationship. Together they give us the complete theological foundation.</w:t>
      </w:r>
    </w:p>
    <w:p>
      <w:pPr>
        <w:spacing w:before="60" w:after="160" w:line="340" w:lineRule="auto"/>
        <w:jc w:val="both"/>
      </w:pPr>
      <w:r>
        <w:rPr>
          <w:rFonts w:ascii="Georgia" w:cs="Georgia" w:eastAsia="Georgia" w:hAnsi="Georgia"/>
          <w:color w:val="2C1A1A"/>
          <w:sz w:val="23"/>
          <w:szCs w:val="23"/>
        </w:rPr>
        <w:t xml:space="preserve">In Genesis 2, the creation of woman takes place while Adam is in a deep sleep. The narrative detail is theologically loaded. Adam does not participate in the decision. He does not select from a catalogue of options. He does not give permission. God acts, and when Adam wakes he recognizes in the woman not a creation he possesses but a person who is bone of his bone and flesh of his flesh (Genesis 2:23). The language of identity, of identical substance, of radical kinship.</w:t>
      </w:r>
    </w:p>
    <w:p>
      <w:pPr>
        <w:spacing w:before="60" w:after="160" w:line="340" w:lineRule="auto"/>
        <w:jc w:val="both"/>
      </w:pPr>
      <w:r>
        <w:rPr>
          <w:rFonts w:ascii="Georgia" w:cs="Georgia" w:eastAsia="Georgia" w:hAnsi="Georgia"/>
          <w:color w:val="2C1A1A"/>
          <w:sz w:val="23"/>
          <w:szCs w:val="23"/>
        </w:rPr>
        <w:t xml:space="preserve">The feminist biblical scholar Phyllis Trible, in God and the Rhetoric of Sexuality (1978), argues that the traditional reading of Genesis 2 as establishing male precedence and female derivation is a misreading on multiple counts. The adam of Genesis 2 before the creation of woman is not yet a gendered being: the earth creature becomes fully human only in relation to another who is equally human (Trible, God and the Rhetoric of Sexuality, 1978, ch. 4). Woman is not created from a pre-existing gendered male. She is created from the undifferentiated human creature, and in her creation both become what they are: gendered, relational, equal.</w:t>
      </w:r>
    </w:p>
    <w:p>
      <w:pPr>
        <w:spacing w:before="280" w:after="100"/>
      </w:pPr>
      <w:r>
        <w:rPr>
          <w:rFonts w:ascii="Georgia" w:cs="Georgia" w:eastAsia="Georgia" w:hAnsi="Georgia"/>
          <w:b/>
          <w:bCs/>
          <w:i/>
          <w:iCs/>
          <w:color w:val="5C3A3A"/>
          <w:sz w:val="23"/>
          <w:szCs w:val="23"/>
        </w:rPr>
        <w:t xml:space="preserve">Text 2 — Luke 13:10-17: The Daughter of Abraham</w:t>
      </w:r>
    </w:p>
    <w:p>
      <w:pPr>
        <w:spacing w:before="60" w:after="160" w:line="340" w:lineRule="auto"/>
        <w:jc w:val="both"/>
      </w:pPr>
      <w:r>
        <w:rPr>
          <w:rFonts w:ascii="Georgia" w:cs="Georgia" w:eastAsia="Georgia" w:hAnsi="Georgia"/>
          <w:color w:val="2C1A1A"/>
          <w:sz w:val="23"/>
          <w:szCs w:val="23"/>
        </w:rPr>
        <w:t xml:space="preserve">A woman has been bent double for eighteen years. She is in the synagogue. In first-century Jewish practice, women sat separately, in a section at the back or along the side, not among the main congregation. She has not approached Jesus. She has made no request.</w:t>
      </w:r>
    </w:p>
    <w:p>
      <w:pPr>
        <w:spacing w:before="60" w:after="160" w:line="340" w:lineRule="auto"/>
        <w:jc w:val="both"/>
      </w:pPr>
      <w:r>
        <w:rPr>
          <w:rFonts w:ascii="Georgia" w:cs="Georgia" w:eastAsia="Georgia" w:hAnsi="Georgia"/>
          <w:color w:val="2C1A1A"/>
          <w:sz w:val="23"/>
          <w:szCs w:val="23"/>
        </w:rPr>
        <w:t xml:space="preserve">Jesus sees her. He calls her forward. He lays his hands on her. And he says: Woman, you are set free from your ailment (Luke 13:12).</w:t>
      </w:r>
    </w:p>
    <w:p>
      <w:pPr>
        <w:spacing w:before="60" w:after="160" w:line="340" w:lineRule="auto"/>
        <w:jc w:val="both"/>
      </w:pPr>
      <w:r>
        <w:rPr>
          <w:rFonts w:ascii="Georgia" w:cs="Georgia" w:eastAsia="Georgia" w:hAnsi="Georgia"/>
          <w:color w:val="2C1A1A"/>
          <w:sz w:val="23"/>
          <w:szCs w:val="23"/>
        </w:rPr>
        <w:t xml:space="preserve">The synagogue leader objects — to the Sabbath violation, not to the miracle itself. Jesus responds: you hypocrites, do you not untie your ox or donkey from its stall on the Sabbath to lead it to water? And this woman, a daughter of Abraham whom Satan has kept bound for eighteen years, ought she not to be set free from this bondage on the Sabbath day? (Luke 13:15-16).</w:t>
      </w:r>
    </w:p>
    <w:p>
      <w:pPr>
        <w:spacing w:before="60" w:after="160" w:line="340" w:lineRule="auto"/>
        <w:jc w:val="both"/>
      </w:pPr>
      <w:r>
        <w:rPr>
          <w:rFonts w:ascii="Georgia" w:cs="Georgia" w:eastAsia="Georgia" w:hAnsi="Georgia"/>
          <w:color w:val="2C1A1A"/>
          <w:sz w:val="23"/>
          <w:szCs w:val="23"/>
        </w:rPr>
        <w:t xml:space="preserve">Daughter of Abraham. This title had no precedent in Jewish tradition. Sons of Abraham, yes — the male heirs of the covenant. Daughter of Abraham is Jesus's own creation, his deliberate extension of the covenant's full promise to a woman in a culture that had quietly assumed the promise was male. He gives her a theological status the tradition has not given her. He gives her a name for who she is before God, not only who she is to the household.</w:t>
      </w:r>
    </w:p>
    <w:p>
      <w:pPr>
        <w:spacing w:before="280" w:after="100"/>
      </w:pPr>
      <w:r>
        <w:rPr>
          <w:rFonts w:ascii="Georgia" w:cs="Georgia" w:eastAsia="Georgia" w:hAnsi="Georgia"/>
          <w:b/>
          <w:bCs/>
          <w:i/>
          <w:iCs/>
          <w:color w:val="5C3A3A"/>
          <w:sz w:val="23"/>
          <w:szCs w:val="23"/>
        </w:rPr>
        <w:t xml:space="preserve">Text 3 — John 4:7-42: The Theological Conversation Jesus Should Not Have Had</w:t>
      </w:r>
    </w:p>
    <w:p>
      <w:pPr>
        <w:spacing w:before="60" w:after="160" w:line="340" w:lineRule="auto"/>
        <w:jc w:val="both"/>
      </w:pPr>
      <w:r>
        <w:rPr>
          <w:rFonts w:ascii="Georgia" w:cs="Georgia" w:eastAsia="Georgia" w:hAnsi="Georgia"/>
          <w:color w:val="2C1A1A"/>
          <w:sz w:val="23"/>
          <w:szCs w:val="23"/>
        </w:rPr>
        <w:t xml:space="preserve">The encounter at the well in John 4 breaks every protocol simultaneously. Jesus is Jewish; she is Samaritan. Jesus is male; she is female. Jesus is respectable; she is the woman who comes to the well at noon, when no one else is there, which is its own statement about her social standing.</w:t>
      </w:r>
    </w:p>
    <w:p>
      <w:pPr>
        <w:spacing w:before="60" w:after="160" w:line="340" w:lineRule="auto"/>
        <w:jc w:val="both"/>
      </w:pPr>
      <w:r>
        <w:rPr>
          <w:rFonts w:ascii="Georgia" w:cs="Georgia" w:eastAsia="Georgia" w:hAnsi="Georgia"/>
          <w:color w:val="2C1A1A"/>
          <w:sz w:val="23"/>
          <w:szCs w:val="23"/>
        </w:rPr>
        <w:t xml:space="preserve">The disciples return and find him talking with a woman. The text notes their astonishment and then records that none of them asked why he was speaking with her (John 4:27). The question would have been reasonable by their cultural standards. They do not ask it. Which suggests that by this point in their experience of Jesus, the question has already been rendered unavailable by repeated observation.</w:t>
      </w:r>
    </w:p>
    <w:p>
      <w:pPr>
        <w:spacing w:before="60" w:after="160" w:line="340" w:lineRule="auto"/>
        <w:jc w:val="both"/>
      </w:pPr>
      <w:r>
        <w:rPr>
          <w:rFonts w:ascii="Georgia" w:cs="Georgia" w:eastAsia="Georgia" w:hAnsi="Georgia"/>
          <w:color w:val="2C1A1A"/>
          <w:sz w:val="23"/>
          <w:szCs w:val="23"/>
        </w:rPr>
        <w:t xml:space="preserve">The conversation that precedes the disciples' return is the longest single conversation Jesus has with any individual in all four Gospels. He discusses worship, the nature of God, the distinction between true and false religious practice, and his own identity. He reveals himself as the I AM — the name of God — to this woman before he reveals it to any of his disciples. She becomes the first evangelist in John: she returns to the city, she tells everyone what has happened, and it is her testimony that triggers the first mass conversion recorded in the Gospel.</w:t>
      </w:r>
    </w:p>
    <w:p>
      <w:pPr>
        <w:spacing w:before="60" w:after="160" w:line="340" w:lineRule="auto"/>
        <w:jc w:val="both"/>
      </w:pPr>
      <w:r>
        <w:rPr>
          <w:rFonts w:ascii="Georgia" w:cs="Georgia" w:eastAsia="Georgia" w:hAnsi="Georgia"/>
          <w:color w:val="2C1A1A"/>
          <w:sz w:val="23"/>
          <w:szCs w:val="23"/>
        </w:rPr>
        <w:t xml:space="preserve">The Apostola Apostolorum is not the only woman in John's Gospel with an apostolic commission. The Samaritan woman, unnamed, is the first evangelist in John's Gospel. Jesus chose for this first evangelism a woman with a complicated past, from a people the Jews despised, who had come to the well alone because she was not welcome among her own community. He chose her specifically.</w:t>
      </w:r>
    </w:p>
    <w:p>
      <w:pPr>
        <w:spacing w:before="280" w:after="100"/>
      </w:pPr>
      <w:r>
        <w:rPr>
          <w:rFonts w:ascii="Georgia" w:cs="Georgia" w:eastAsia="Georgia" w:hAnsi="Georgia"/>
          <w:b/>
          <w:bCs/>
          <w:i/>
          <w:iCs/>
          <w:color w:val="5C3A3A"/>
          <w:sz w:val="23"/>
          <w:szCs w:val="23"/>
        </w:rPr>
        <w:t xml:space="preserve">Text 4 — John 11:21-27: Martha's Confession</w:t>
      </w:r>
    </w:p>
    <w:p>
      <w:pPr>
        <w:spacing w:before="60" w:after="160" w:line="340" w:lineRule="auto"/>
        <w:jc w:val="both"/>
      </w:pPr>
      <w:r>
        <w:rPr>
          <w:rFonts w:ascii="Georgia" w:cs="Georgia" w:eastAsia="Georgia" w:hAnsi="Georgia"/>
          <w:color w:val="2C1A1A"/>
          <w:sz w:val="23"/>
          <w:szCs w:val="23"/>
        </w:rPr>
        <w:t xml:space="preserve">Lazarus is dead. Jesus arrives four days after the burial. Martha runs to meet him on the road. She is not gentle. She says: Lord, if you had been here, my brother would not have died (John 11:21).</w:t>
      </w:r>
    </w:p>
    <w:p>
      <w:pPr>
        <w:spacing w:before="60" w:after="160" w:line="340" w:lineRule="auto"/>
        <w:jc w:val="both"/>
      </w:pPr>
      <w:r>
        <w:rPr>
          <w:rFonts w:ascii="Georgia" w:cs="Georgia" w:eastAsia="Georgia" w:hAnsi="Georgia"/>
          <w:color w:val="2C1A1A"/>
          <w:sz w:val="23"/>
          <w:szCs w:val="23"/>
        </w:rPr>
        <w:t xml:space="preserve">Jesus responds: your brother will rise again. Martha demonstrates that she understands the conventional theology: I know that he will rise again in the resurrection on the last day (John 11:24). And Jesus then delivers the most cosmologically significant self-revelation in the entire Gospel of John: I am the resurrection and the life (John 11:25).</w:t>
      </w:r>
    </w:p>
    <w:p>
      <w:pPr>
        <w:spacing w:before="60" w:after="160" w:line="340" w:lineRule="auto"/>
        <w:jc w:val="both"/>
      </w:pPr>
      <w:r>
        <w:rPr>
          <w:rFonts w:ascii="Georgia" w:cs="Georgia" w:eastAsia="Georgia" w:hAnsi="Georgia"/>
          <w:color w:val="2C1A1A"/>
          <w:sz w:val="23"/>
          <w:szCs w:val="23"/>
        </w:rPr>
        <w:t xml:space="preserve">He delivers this to Martha. On a dusty road outside Bethany. In response to a woman's grief and a woman's challenge. Not in the Temple. Not to the twelve. Not in a formal theological setting. To a grieving woman who ran to meet him and told him honestly what she felt.</w:t>
      </w:r>
    </w:p>
    <w:p>
      <w:pPr>
        <w:spacing w:before="60" w:after="160" w:line="340" w:lineRule="auto"/>
        <w:jc w:val="both"/>
      </w:pPr>
      <w:r>
        <w:rPr>
          <w:rFonts w:ascii="Georgia" w:cs="Georgia" w:eastAsia="Georgia" w:hAnsi="Georgia"/>
          <w:color w:val="2C1A1A"/>
          <w:sz w:val="23"/>
          <w:szCs w:val="23"/>
        </w:rPr>
        <w:t xml:space="preserve">And Martha responds with a confession of faith that is the theological equal of Peter's confession at Caesarea Philippi: Yes, Lord, I believe that you are the Christ, the Son of God, the one coming into the world (John 11:27). Peter's confession is in Matthew 16:16: You are the Christ, the Son of the living God. The content is identical. The occasion is equally significant. Martha is the first person in John's Gospel to make a complete confession of Christian faith.</w:t>
      </w:r>
    </w:p>
    <w:p>
      <w:pPr>
        <w:spacing w:before="60" w:after="160" w:line="340" w:lineRule="auto"/>
        <w:jc w:val="both"/>
      </w:pPr>
      <w:r>
        <w:rPr>
          <w:rFonts w:ascii="Georgia" w:cs="Georgia" w:eastAsia="Georgia" w:hAnsi="Georgia"/>
          <w:color w:val="2C1A1A"/>
          <w:sz w:val="23"/>
          <w:szCs w:val="23"/>
        </w:rPr>
        <w:t xml:space="preserve">The tradition remembers Peter's confession. The tradition does not remember Martha's with comparable weight. This is not because John records it with less gravity. It is because the tradition that transmitted and interpreted these texts had already decided that Peter's voice was normative and Martha's was incidental.</w:t>
      </w:r>
    </w:p>
    <w:p>
      <w:pPr>
        <w:spacing w:before="280" w:after="100"/>
      </w:pPr>
      <w:r>
        <w:rPr>
          <w:rFonts w:ascii="Georgia" w:cs="Georgia" w:eastAsia="Georgia" w:hAnsi="Georgia"/>
          <w:b/>
          <w:bCs/>
          <w:i/>
          <w:iCs/>
          <w:color w:val="5C3A3A"/>
          <w:sz w:val="23"/>
          <w:szCs w:val="23"/>
        </w:rPr>
        <w:t xml:space="preserve">Text 5 — John 20:1-18: The First Commission of the Risen Christ</w:t>
      </w:r>
    </w:p>
    <w:p>
      <w:pPr>
        <w:spacing w:before="60" w:after="160" w:line="340" w:lineRule="auto"/>
        <w:jc w:val="both"/>
      </w:pPr>
      <w:r>
        <w:rPr>
          <w:rFonts w:ascii="Georgia" w:cs="Georgia" w:eastAsia="Georgia" w:hAnsi="Georgia"/>
          <w:color w:val="2C1A1A"/>
          <w:sz w:val="23"/>
          <w:szCs w:val="23"/>
        </w:rPr>
        <w:t xml:space="preserve">On the morning of the resurrection, Mary Magdalene comes to the tomb while it is still dark. She finds the stone rolled away. She runs to Peter and the beloved disciple, who come, look, and return home (John 20:10). Mary remains. Weeping. Outside the tomb.</w:t>
      </w:r>
    </w:p>
    <w:p>
      <w:pPr>
        <w:spacing w:before="60" w:after="160" w:line="340" w:lineRule="auto"/>
        <w:jc w:val="both"/>
      </w:pPr>
      <w:r>
        <w:rPr>
          <w:rFonts w:ascii="Georgia" w:cs="Georgia" w:eastAsia="Georgia" w:hAnsi="Georgia"/>
          <w:color w:val="2C1A1A"/>
          <w:sz w:val="23"/>
          <w:szCs w:val="23"/>
        </w:rPr>
        <w:t xml:space="preserve">Jesus appears. She does not recognize him at first. Then he calls her by name: Mary. And in that moment of recognition — the Good Shepherd calling his own sheep by name (John 10:3) — the encounter that will change the world begins.</w:t>
      </w:r>
    </w:p>
    <w:p>
      <w:pPr>
        <w:spacing w:before="60" w:after="160" w:line="340" w:lineRule="auto"/>
        <w:jc w:val="both"/>
      </w:pPr>
      <w:r>
        <w:rPr>
          <w:rFonts w:ascii="Georgia" w:cs="Georgia" w:eastAsia="Georgia" w:hAnsi="Georgia"/>
          <w:color w:val="2C1A1A"/>
          <w:sz w:val="23"/>
          <w:szCs w:val="23"/>
        </w:rPr>
        <w:t xml:space="preserve">Jesus gives her the commission: Do not hold on to me, because I have not yet ascended to the Father. But go to my brothers and say to them, I am ascending to my Father and your Father, to my God and your God (John 20:17). Go. And say to them. These are the words of an apostolic commission. Go and tell. This is precisely what Jesus says to the apostles when he sends them out. He says it first, and explicitly, to Mary Magdalene.</w:t>
      </w:r>
    </w:p>
    <w:p>
      <w:pPr>
        <w:spacing w:before="60" w:after="160" w:line="340" w:lineRule="auto"/>
        <w:jc w:val="both"/>
      </w:pPr>
      <w:r>
        <w:rPr>
          <w:rFonts w:ascii="Georgia" w:cs="Georgia" w:eastAsia="Georgia" w:hAnsi="Georgia"/>
          <w:color w:val="2C1A1A"/>
          <w:sz w:val="23"/>
          <w:szCs w:val="23"/>
        </w:rPr>
        <w:t xml:space="preserve">Thomas Aquinas, whose theology of women was in other respects shaped by the Aristotelian framework we examined above, could not avoid what John 20 says. He wrote, in his commentary on this passage: Mary Magdalene was made the apostle of the apostles because Christ chose her, in preference to the male disciples, to announce the good news of the resurrection to those who would become the foundation of the Church (Aquinas, Commentary on John, ch. 20, lect. 3).</w:t>
      </w:r>
    </w:p>
    <w:p>
      <w:pPr>
        <w:spacing w:before="60" w:after="160" w:line="340" w:lineRule="auto"/>
        <w:jc w:val="both"/>
      </w:pPr>
      <w:r>
        <w:rPr>
          <w:rFonts w:ascii="Georgia" w:cs="Georgia" w:eastAsia="Georgia" w:hAnsi="Georgia"/>
          <w:color w:val="2C1A1A"/>
          <w:sz w:val="23"/>
          <w:szCs w:val="23"/>
        </w:rPr>
        <w:t xml:space="preserve">Apostola Apostolorum. Thomas Aquinas said it in the thirteenth century. Pope Francis elevated her feast day to the rank of the apostles in 2016. The seven centuries between those two moments are a measure of the institutional inertia that separates theological recognition from structural consequence.</w:t>
      </w:r>
    </w:p>
    <w:p>
      <w:pPr>
        <w:spacing w:before="280" w:after="100"/>
      </w:pPr>
      <w:r>
        <w:rPr>
          <w:rFonts w:ascii="Georgia" w:cs="Georgia" w:eastAsia="Georgia" w:hAnsi="Georgia"/>
          <w:b/>
          <w:bCs/>
          <w:i/>
          <w:iCs/>
          <w:color w:val="5C3A3A"/>
          <w:sz w:val="23"/>
          <w:szCs w:val="23"/>
        </w:rPr>
        <w:t xml:space="preserve">Text 6 — Romans 16:1-7 and Galatians 3:28: The Early Church That Was Erased</w:t>
      </w:r>
    </w:p>
    <w:p>
      <w:pPr>
        <w:spacing w:before="60" w:after="160" w:line="340" w:lineRule="auto"/>
        <w:jc w:val="both"/>
      </w:pPr>
      <w:r>
        <w:rPr>
          <w:rFonts w:ascii="Georgia" w:cs="Georgia" w:eastAsia="Georgia" w:hAnsi="Georgia"/>
          <w:color w:val="2C1A1A"/>
          <w:sz w:val="23"/>
          <w:szCs w:val="23"/>
        </w:rPr>
        <w:t xml:space="preserve">Paul's letter to the Romans closes with a list of greetings that reads, when its implications are taken seriously, like a description of a Church that the subsequent tradition chose not to remember. Phoebe: a deacon of the church at Cenchreae, a benefactor of many, including Paul himself (Romans 16:1-2). Prisca (Priscilla), named before her husband Aquila in four of six biblical references, who risked her neck for Paul and runs a house church (Romans 16:3-5). Mary, who worked very hard among you (Romans 16:6). Junia, outstanding among the apostles (Romans 16:7).</w:t>
      </w:r>
    </w:p>
    <w:p>
      <w:pPr>
        <w:spacing w:before="60" w:after="160" w:line="340" w:lineRule="auto"/>
        <w:jc w:val="both"/>
      </w:pPr>
      <w:r>
        <w:rPr>
          <w:rFonts w:ascii="Georgia" w:cs="Georgia" w:eastAsia="Georgia" w:hAnsi="Georgia"/>
          <w:color w:val="2C1A1A"/>
          <w:sz w:val="23"/>
          <w:szCs w:val="23"/>
        </w:rPr>
        <w:t xml:space="preserve">Elisabeth Schussler Fiorenza, in In Memory of Her (1983), argues that the early Jesus movement was, in its structural reality, a discipleship of equals: women and men in a community of mutual service and shared mission, the social arrangements of the surrounding Greco-Roman world deliberately subverted in the name of a different social logic (Schussler Fiorenza, In Memory of Her, 1983, ch. 4). The Pauline communities, at their best, embodied this vision. The post-Pauline letters, particularly the Pastoral Epistles, begin the process of accommodation to the Greco-Roman household codes that will eventually produce the institutional structure we have inherited.</w:t>
      </w:r>
    </w:p>
    <w:p>
      <w:pPr>
        <w:spacing w:before="60" w:after="160" w:line="340" w:lineRule="auto"/>
        <w:jc w:val="both"/>
      </w:pPr>
      <w:r>
        <w:rPr>
          <w:rFonts w:ascii="Georgia" w:cs="Georgia" w:eastAsia="Georgia" w:hAnsi="Georgia"/>
          <w:color w:val="2C1A1A"/>
          <w:sz w:val="23"/>
          <w:szCs w:val="23"/>
        </w:rPr>
        <w:t xml:space="preserve">Galatians 3:28 is Paul at his most foundational: There is neither Jew nor Greek, slave nor free, male nor female; for all of you are one in Christ Jesus. This is the baptismal formula of the early Church. It is the theological claim that is logically prior to every other claim about Christian community. And its implications for the role of women in the Church have been, for seventeen centuries, systematically not followed.</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4  |  8 Minutes  </w:t>
      </w:r>
      <w:r>
        <w:rPr>
          <w:rFonts w:ascii="Georgia" w:cs="Georgia" w:eastAsia="Georgia" w:hAnsi="Georgia"/>
          <w:b/>
          <w:bCs/>
          <w:color w:val="7B1E3C"/>
          <w:sz w:val="26"/>
          <w:szCs w:val="26"/>
        </w:rPr>
        <w:t xml:space="preserve">The Historical Diagnosis: How Half the Image Was Suppressed</w:t>
      </w:r>
    </w:p>
    <w:p>
      <w:pPr>
        <w:spacing w:before="60" w:after="40"/>
      </w:pPr>
    </w:p>
    <w:p>
      <w:pPr>
        <w:spacing w:before="60" w:after="160" w:line="340" w:lineRule="auto"/>
        <w:jc w:val="both"/>
      </w:pPr>
      <w:r>
        <w:rPr>
          <w:rFonts w:ascii="Georgia" w:cs="Georgia" w:eastAsia="Georgia" w:hAnsi="Georgia"/>
          <w:color w:val="2C1A1A"/>
          <w:sz w:val="23"/>
          <w:szCs w:val="23"/>
        </w:rPr>
        <w:t xml:space="preserve">The suppression of women's full participation in the Church's life is not a single event. It is a process with identifiable stages, each of which built upon the previous and produced the structure we have inherited. Naming this process is not an act of anti-Church polemic. It is the prerequisite for honest reform.</w:t>
      </w:r>
    </w:p>
    <w:p>
      <w:pPr>
        <w:spacing w:before="280" w:after="100"/>
      </w:pPr>
      <w:r>
        <w:rPr>
          <w:rFonts w:ascii="Georgia" w:cs="Georgia" w:eastAsia="Georgia" w:hAnsi="Georgia"/>
          <w:b/>
          <w:bCs/>
          <w:i/>
          <w:iCs/>
          <w:color w:val="5C3A3A"/>
          <w:sz w:val="23"/>
          <w:szCs w:val="23"/>
        </w:rPr>
        <w:t xml:space="preserve">Stage One: The Philosophical Inheritance — Aristotle in the Baptistery</w:t>
      </w:r>
    </w:p>
    <w:p>
      <w:pPr>
        <w:spacing w:before="60" w:after="160" w:line="340" w:lineRule="auto"/>
        <w:jc w:val="both"/>
      </w:pPr>
      <w:r>
        <w:rPr>
          <w:rFonts w:ascii="Georgia" w:cs="Georgia" w:eastAsia="Georgia" w:hAnsi="Georgia"/>
          <w:color w:val="2C1A1A"/>
          <w:sz w:val="23"/>
          <w:szCs w:val="23"/>
        </w:rPr>
        <w:t xml:space="preserve">The early Church existed within a culture whose dominant philosophical framework, Aristotle's, defined woman as a defective male, a misbegotten human being whose purpose was the reproduction of the species and the management of the household. This was not a fringe view. It was the consensus of Greek philosophical anthropology, and it shaped the social and legal arrangements of the entire Greco-Roman world.</w:t>
      </w:r>
    </w:p>
    <w:p>
      <w:pPr>
        <w:spacing w:before="60" w:after="160" w:line="340" w:lineRule="auto"/>
        <w:jc w:val="both"/>
      </w:pPr>
      <w:r>
        <w:rPr>
          <w:rFonts w:ascii="Georgia" w:cs="Georgia" w:eastAsia="Georgia" w:hAnsi="Georgia"/>
          <w:color w:val="2C1A1A"/>
          <w:sz w:val="23"/>
          <w:szCs w:val="23"/>
        </w:rPr>
        <w:t xml:space="preserve">The Church Fathers did not receive the Scriptures in a cultural vacuum. They received them in a culture that already knew what women were for. And while some Fathers, notably in their theology of the soul's equality before God, resisted the Aristotelian framework, the dominant trajectory moved toward accommodation. Tertullian's description of woman as the gateway of the devil — woman, you are the devil's doorway — is extreme and was not universally accepted. But the underlying assumption that women's bodies were a source of disorder and that their intellectual capacity was inferior to men's was sufficiently widespread to shape the emerging institutional Church's practical arrangements.</w:t>
      </w:r>
    </w:p>
    <w:p>
      <w:pPr>
        <w:spacing w:before="280" w:after="100"/>
      </w:pPr>
      <w:r>
        <w:rPr>
          <w:rFonts w:ascii="Georgia" w:cs="Georgia" w:eastAsia="Georgia" w:hAnsi="Georgia"/>
          <w:b/>
          <w:bCs/>
          <w:i/>
          <w:iCs/>
          <w:color w:val="5C3A3A"/>
          <w:sz w:val="23"/>
          <w:szCs w:val="23"/>
        </w:rPr>
        <w:t xml:space="preserve">Stage Two: The Gregorian Reform — Closing the House Churches</w:t>
      </w:r>
    </w:p>
    <w:p>
      <w:pPr>
        <w:spacing w:before="60" w:after="160" w:line="340" w:lineRule="auto"/>
        <w:jc w:val="both"/>
      </w:pPr>
      <w:r>
        <w:rPr>
          <w:rFonts w:ascii="Georgia" w:cs="Georgia" w:eastAsia="Georgia" w:hAnsi="Georgia"/>
          <w:color w:val="2C1A1A"/>
          <w:sz w:val="23"/>
          <w:szCs w:val="23"/>
        </w:rPr>
        <w:t xml:space="preserve">The house churches of the early centuries gave women legitimate leadership space. Priscilla, Lydia, Phoebe: women whose homes were the meeting places of early Christian communities, who exercised a de facto pastoral leadership that the community recognized and Paul acknowledged. These were not exceptions to the rule. They were the structure of early Christian community.</w:t>
      </w:r>
    </w:p>
    <w:p>
      <w:pPr>
        <w:spacing w:before="60" w:after="160" w:line="340" w:lineRule="auto"/>
        <w:jc w:val="both"/>
      </w:pPr>
      <w:r>
        <w:rPr>
          <w:rFonts w:ascii="Georgia" w:cs="Georgia" w:eastAsia="Georgia" w:hAnsi="Georgia"/>
          <w:color w:val="2C1A1A"/>
          <w:sz w:val="23"/>
          <w:szCs w:val="23"/>
        </w:rPr>
        <w:t xml:space="preserve">The Gregorian Reform of the eleventh century, which sought to regularize and centralize the Church's life, also progressively clericalised its leadership. Leadership became synonymous with ordination. Ordination was male. And the house church, in which a woman could exercise recognized pastoral authority by virtue of her hospitality and her faith, was absorbed into a parochial structure in which authority was formally clerical and therefore formally male.</w:t>
      </w:r>
    </w:p>
    <w:p>
      <w:pPr>
        <w:spacing w:before="60" w:after="160" w:line="340" w:lineRule="auto"/>
        <w:jc w:val="both"/>
      </w:pPr>
      <w:r>
        <w:rPr>
          <w:rFonts w:ascii="Georgia" w:cs="Georgia" w:eastAsia="Georgia" w:hAnsi="Georgia"/>
          <w:color w:val="2C1A1A"/>
          <w:sz w:val="23"/>
          <w:szCs w:val="23"/>
        </w:rPr>
        <w:t xml:space="preserve">The reform was necessary in many of its dimensions: it addressed real corruptions, established real disciplines, and laid the groundwork for medieval Christendom's institutional coherence. But its unintended consequence was the systematic exclusion of women from the structures of recognized leadership that the house church had provided.</w:t>
      </w:r>
    </w:p>
    <w:p>
      <w:pPr>
        <w:spacing w:before="280" w:after="100"/>
      </w:pPr>
      <w:r>
        <w:rPr>
          <w:rFonts w:ascii="Georgia" w:cs="Georgia" w:eastAsia="Georgia" w:hAnsi="Georgia"/>
          <w:b/>
          <w:bCs/>
          <w:i/>
          <w:iCs/>
          <w:color w:val="5C3A3A"/>
          <w:sz w:val="23"/>
          <w:szCs w:val="23"/>
        </w:rPr>
        <w:t xml:space="preserve">Stage Three: The Indian Compounding — Patriarchy Received, Patriarchy Amplified</w:t>
      </w:r>
    </w:p>
    <w:p>
      <w:pPr>
        <w:spacing w:before="60" w:after="160" w:line="340" w:lineRule="auto"/>
        <w:jc w:val="both"/>
      </w:pPr>
      <w:r>
        <w:rPr>
          <w:rFonts w:ascii="Georgia" w:cs="Georgia" w:eastAsia="Georgia" w:hAnsi="Georgia"/>
          <w:color w:val="2C1A1A"/>
          <w:sz w:val="23"/>
          <w:szCs w:val="23"/>
        </w:rPr>
        <w:t xml:space="preserve">In India, the Church received a culture whose patriarchal structures were, in certain respects, more deeply entrenched than those of Mediterranean Christianity. The laws of Manu, the institution of sati, the practice of child marriage, the identification of woman with inauspiciousness in widowhood: these were not peripheral features of Indian culture. They were central to the social arrangements of the Hindu majority and, by cultural osmosis, affected the Christian communities that lived within them.</w:t>
      </w:r>
    </w:p>
    <w:p>
      <w:pPr>
        <w:spacing w:before="60" w:after="160" w:line="340" w:lineRule="auto"/>
        <w:jc w:val="both"/>
      </w:pPr>
      <w:r>
        <w:rPr>
          <w:rFonts w:ascii="Georgia" w:cs="Georgia" w:eastAsia="Georgia" w:hAnsi="Georgia"/>
          <w:color w:val="2C1A1A"/>
          <w:sz w:val="23"/>
          <w:szCs w:val="23"/>
        </w:rPr>
        <w:t xml:space="preserve">The missionary model brought European patriarchy. The Indian context offered indigenous patriarchy. The encounter between the two did not produce a critique of either. It produced an amplification of both, with the added complication that certain forms of Indian patriarchy were given a spurious theological dignity by being described as cultural respect rather than structural exclusion.</w:t>
      </w:r>
    </w:p>
    <w:p>
      <w:pPr>
        <w:spacing w:before="60" w:after="160" w:line="340" w:lineRule="auto"/>
        <w:jc w:val="both"/>
      </w:pPr>
      <w:r>
        <w:rPr>
          <w:rFonts w:ascii="Georgia" w:cs="Georgia" w:eastAsia="Georgia" w:hAnsi="Georgia"/>
          <w:color w:val="2C1A1A"/>
          <w:sz w:val="23"/>
          <w:szCs w:val="23"/>
        </w:rPr>
        <w:t xml:space="preserve">Bengal itself contains the irony in its sharpest form. The tradition of Shakti worship, of Durga and Kali as supreme divine power, coexists with a social reality in which women of the Santali and Rajbongshi communities exercise no legal ownership of land, in which the girl child continues to be aborted in the Murshidabad district at rates that the Health Commission has described as a public health crisis, and in which the trafficking of women from North Bengal to Kolkata and Mumbai continues to be facilitated by networks that the Church has named in its social justice documents and not yet structurally opposed in its pastoral priorities.</w:t>
      </w:r>
    </w:p>
    <w:tbl>
      <w:tblPr>
        <w:tblW w:type="dxa" w:w="9360"/>
        <w:tblBorders>
          <w:top w:val="single" w:color="D4C5B8" w:sz="1"/>
          <w:left w:val="thick" w:color="8C2257" w:sz="18"/>
          <w:bottom w:val="single" w:color="D4C5B8" w:sz="1"/>
          <w:right w:val="single" w:color="D4C5B8" w:sz="1"/>
          <w:insideH w:val="single" w:color="auto" w:sz="4"/>
          <w:insideV w:val="single" w:color="auto" w:sz="4"/>
        </w:tblBorders>
      </w:tblPr>
      <w:tblGrid>
        <w:gridCol w:w="9360"/>
      </w:tblGrid>
      <w:tr>
        <w:tc>
          <w:tcPr>
            <w:tcW w:type="dxa" w:w="9360"/>
            <w:shd w:fill="F5E8EF"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2257"/>
                <w:sz w:val="24"/>
                <w:szCs w:val="24"/>
              </w:rPr>
              <w:t xml:space="preserve">Ram Mohan Roy, a Hindu reformer, led the campaign against Sati in Bengal in 1829 and secured its legal abolition through sustained advocacy at personal cost. He was not a Christian. He was a man who looked at a practice sanctioned by religion and culture and said: this is wrong. The Church, which has the additional resource of Genesis 1:27, Galatians 3:28, and the witness of Mary Magdalene, took longer to arrive at the same conclusion about its own internal arrangements.</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John Paul II, in his 1995 Letter to Women, wrote something that deserves to be quoted in full and then followed up institutionally: I am sorry that many women, in many circumstances, have not been respected and honoured. If objective blame, especially in particular historical contexts, has belonged to not just a few members of the Church, I am truly sorry for this (John Paul II, Letter to Women, 1995, no. 3). An apology is a beginning. Implementation is the substance.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5  |  5 Minutes  </w:t>
      </w:r>
      <w:r>
        <w:rPr>
          <w:rFonts w:ascii="Georgia" w:cs="Georgia" w:eastAsia="Georgia" w:hAnsi="Georgia"/>
          <w:b/>
          <w:bCs/>
          <w:color w:val="7B1E3C"/>
          <w:sz w:val="26"/>
          <w:szCs w:val="26"/>
        </w:rPr>
        <w:t xml:space="preserve">The Prophetic Demand: Institutional and Personal</w:t>
      </w:r>
    </w:p>
    <w:p>
      <w:pPr>
        <w:spacing w:before="60" w:after="40"/>
      </w:pPr>
    </w:p>
    <w:p>
      <w:pPr>
        <w:spacing w:before="60" w:after="160" w:line="340" w:lineRule="auto"/>
        <w:jc w:val="both"/>
      </w:pPr>
      <w:r>
        <w:rPr>
          <w:rFonts w:ascii="Georgia" w:cs="Georgia" w:eastAsia="Georgia" w:hAnsi="Georgia"/>
          <w:color w:val="2C1A1A"/>
          <w:sz w:val="23"/>
          <w:szCs w:val="23"/>
        </w:rPr>
        <w:t xml:space="preserve">I want to state the demand of this talk with the same precision that Sr. Inigo brings to her ten institutional proposals. The demand is not vague encouragement toward better attitudes. It is specific, structural, and addressed to named groups within this room.</w:t>
      </w:r>
    </w:p>
    <w:p>
      <w:pPr>
        <w:spacing w:before="280" w:after="100"/>
      </w:pPr>
      <w:r>
        <w:rPr>
          <w:rFonts w:ascii="Georgia" w:cs="Georgia" w:eastAsia="Georgia" w:hAnsi="Georgia"/>
          <w:b/>
          <w:bCs/>
          <w:i/>
          <w:iCs/>
          <w:color w:val="5C3A3A"/>
          <w:sz w:val="23"/>
          <w:szCs w:val="23"/>
        </w:rPr>
        <w:t xml:space="preserve">For the Institutional Church: Ten Non-Negotiable Steps</w:t>
      </w:r>
    </w:p>
    <w:p>
      <w:pPr>
        <w:spacing w:before="60" w:after="160" w:line="340" w:lineRule="auto"/>
        <w:jc w:val="both"/>
      </w:pPr>
      <w:r>
        <w:rPr>
          <w:rFonts w:ascii="Georgia" w:cs="Georgia" w:eastAsia="Georgia" w:hAnsi="Georgia"/>
          <w:color w:val="2C1A1A"/>
          <w:sz w:val="23"/>
          <w:szCs w:val="23"/>
        </w:rPr>
        <w:t xml:space="preserve">First: introduce gender theology as a mandatory component of seminary and novitiate formation programmes. Not an elective. Not an occasional lecture. A structural part of the formation curriculum, taught by women theologians who speak from their own experience of the tradition.</w:t>
      </w:r>
    </w:p>
    <w:p>
      <w:pPr>
        <w:spacing w:before="60" w:after="160" w:line="340" w:lineRule="auto"/>
        <w:jc w:val="both"/>
      </w:pPr>
      <w:r>
        <w:rPr>
          <w:rFonts w:ascii="Georgia" w:cs="Georgia" w:eastAsia="Georgia" w:hAnsi="Georgia"/>
          <w:color w:val="2C1A1A"/>
          <w:sz w:val="23"/>
          <w:szCs w:val="23"/>
        </w:rPr>
        <w:t xml:space="preserve">Second: provide scholarships specifically for women in biblical and systematic theology. The feminine understanding of God is a missing dimension of the Church's proclamation. The solution is not to note this regretfully at conferences. The solution is to fund the women whose vocation is to provide it.</w:t>
      </w:r>
    </w:p>
    <w:p>
      <w:pPr>
        <w:spacing w:before="60" w:after="160" w:line="340" w:lineRule="auto"/>
        <w:jc w:val="both"/>
      </w:pPr>
      <w:r>
        <w:rPr>
          <w:rFonts w:ascii="Georgia" w:cs="Georgia" w:eastAsia="Georgia" w:hAnsi="Georgia"/>
          <w:color w:val="2C1A1A"/>
          <w:sz w:val="23"/>
          <w:szCs w:val="23"/>
        </w:rPr>
        <w:t xml:space="preserve">Third: include women as co-leaders in diocesan councils, parish governance structures, and institutional decision-making bodies. Evangelii Gaudium 103 is clear: the presence of women in ecclesial and social contexts must be ensured. The word ensure implies structural commitment, not goodwill.</w:t>
      </w:r>
    </w:p>
    <w:p>
      <w:pPr>
        <w:spacing w:before="60" w:after="160" w:line="340" w:lineRule="auto"/>
        <w:jc w:val="both"/>
      </w:pPr>
      <w:r>
        <w:rPr>
          <w:rFonts w:ascii="Georgia" w:cs="Georgia" w:eastAsia="Georgia" w:hAnsi="Georgia"/>
          <w:color w:val="2C1A1A"/>
          <w:sz w:val="23"/>
          <w:szCs w:val="23"/>
        </w:rPr>
        <w:t xml:space="preserve">Fourth: sensitize male religious and seminarians on gender equality through workshops, formation inputs, and ongoing accountability structures. The cultural patriarchy that seminarians bring from their families, communities, and cultures does not evaporate upon entry to the seminary. It requires deliberate, sustained, structurally supported formation.</w:t>
      </w:r>
    </w:p>
    <w:p>
      <w:pPr>
        <w:spacing w:before="60" w:after="160" w:line="340" w:lineRule="auto"/>
        <w:jc w:val="both"/>
      </w:pPr>
      <w:r>
        <w:rPr>
          <w:rFonts w:ascii="Georgia" w:cs="Georgia" w:eastAsia="Georgia" w:hAnsi="Georgia"/>
          <w:color w:val="2C1A1A"/>
          <w:sz w:val="23"/>
          <w:szCs w:val="23"/>
        </w:rPr>
        <w:t xml:space="preserve">Fifth: announce from the pulpit, specifically and repeatedly, that discrimination against women is a sin. Not a social problem. Not a cultural reality to be gradually addressed. A sin. Which means it is a matter for the confessional as well as the committee.</w:t>
      </w:r>
    </w:p>
    <w:p>
      <w:pPr>
        <w:spacing w:before="60" w:after="160" w:line="340" w:lineRule="auto"/>
        <w:jc w:val="both"/>
      </w:pPr>
      <w:r>
        <w:rPr>
          <w:rFonts w:ascii="Georgia" w:cs="Georgia" w:eastAsia="Georgia" w:hAnsi="Georgia"/>
          <w:color w:val="2C1A1A"/>
          <w:sz w:val="23"/>
          <w:szCs w:val="23"/>
        </w:rPr>
        <w:t xml:space="preserve">Sixth: involve women in the ministry of the Word. The Samaritan woman was the first evangelist. Martha was the first to confess full Christian faith in John's Gospel. Mary Magdalene was commissioned to tell the apostles. The feminine theological voice is not a supplement to proclamation. It is a constitutive element of it. Its absence is a deformation of the Gospel.</w:t>
      </w:r>
    </w:p>
    <w:p>
      <w:pPr>
        <w:spacing w:before="60" w:after="160" w:line="340" w:lineRule="auto"/>
        <w:jc w:val="both"/>
      </w:pPr>
      <w:r>
        <w:rPr>
          <w:rFonts w:ascii="Georgia" w:cs="Georgia" w:eastAsia="Georgia" w:hAnsi="Georgia"/>
          <w:color w:val="2C1A1A"/>
          <w:sz w:val="23"/>
          <w:szCs w:val="23"/>
        </w:rPr>
        <w:t xml:space="preserve">Seventh: use inclusive language in liturgy and theological education. God is not only Father. God is the woman who searches for her lost coin (Luke 15:8). God is the mother who cannot forget the child she nursed (Isaiah 49:15). These images are scriptural. They belong in our homilies, our catechesis, and our prayer.</w:t>
      </w:r>
    </w:p>
    <w:p>
      <w:pPr>
        <w:spacing w:before="60" w:after="160" w:line="340" w:lineRule="auto"/>
        <w:jc w:val="both"/>
      </w:pPr>
      <w:r>
        <w:rPr>
          <w:rFonts w:ascii="Georgia" w:cs="Georgia" w:eastAsia="Georgia" w:hAnsi="Georgia"/>
          <w:color w:val="2C1A1A"/>
          <w:sz w:val="23"/>
          <w:szCs w:val="23"/>
        </w:rPr>
        <w:t xml:space="preserve">Eighth: address the trafficking of women from North Bengal and Murshidabad as a Church priority, not only through social work agencies but through the prophetic naming of the economic and cultural structures that make trafficking possible — including structures of female expendability within which it operates.</w:t>
      </w:r>
    </w:p>
    <w:p>
      <w:pPr>
        <w:spacing w:before="60" w:after="160" w:line="340" w:lineRule="auto"/>
        <w:jc w:val="both"/>
      </w:pPr>
      <w:r>
        <w:rPr>
          <w:rFonts w:ascii="Georgia" w:cs="Georgia" w:eastAsia="Georgia" w:hAnsi="Georgia"/>
          <w:color w:val="2C1A1A"/>
          <w:sz w:val="23"/>
          <w:szCs w:val="23"/>
        </w:rPr>
        <w:t xml:space="preserve">Ninth: collaborate with women's rights movements at the grassroots level, as Sr. Inigo proposes. The women who are working on the ground in Birbhum, in the Santali communities, in the tea garden belts of the Jalpaiguri foothills — they do not need the Church to supervise them. They need the Church to walk alongside them.</w:t>
      </w:r>
    </w:p>
    <w:p>
      <w:pPr>
        <w:spacing w:before="60" w:after="160" w:line="340" w:lineRule="auto"/>
        <w:jc w:val="both"/>
      </w:pPr>
      <w:r>
        <w:rPr>
          <w:rFonts w:ascii="Georgia" w:cs="Georgia" w:eastAsia="Georgia" w:hAnsi="Georgia"/>
          <w:color w:val="2C1A1A"/>
          <w:sz w:val="23"/>
          <w:szCs w:val="23"/>
        </w:rPr>
        <w:t xml:space="preserve">Tenth: review our community constitutions and governance structures specifically for the ways in which they have encoded patriarchal assumptions as though they were theological necessities. Vita Consecrata 73 calls consecrated life to be a prophetic sign. A community whose governance excludes the full participation of women is not a prophetic sign of the Kingdom. It is a reflection of the culture that the Kingdom is meant to transform.</w:t>
      </w:r>
    </w:p>
    <w:p>
      <w:pPr>
        <w:spacing w:before="280" w:after="100"/>
      </w:pPr>
      <w:r>
        <w:rPr>
          <w:rFonts w:ascii="Georgia" w:cs="Georgia" w:eastAsia="Georgia" w:hAnsi="Georgia"/>
          <w:b/>
          <w:bCs/>
          <w:i/>
          <w:iCs/>
          <w:color w:val="5C3A3A"/>
          <w:sz w:val="23"/>
          <w:szCs w:val="23"/>
        </w:rPr>
        <w:t xml:space="preserve">For Women: The Claim That Cannot Wait for Permission</w:t>
      </w:r>
    </w:p>
    <w:p>
      <w:pPr>
        <w:spacing w:before="60" w:after="160" w:line="340" w:lineRule="auto"/>
        <w:jc w:val="both"/>
      </w:pPr>
      <w:r>
        <w:rPr>
          <w:rFonts w:ascii="Georgia" w:cs="Georgia" w:eastAsia="Georgia" w:hAnsi="Georgia"/>
          <w:color w:val="2C1A1A"/>
          <w:sz w:val="23"/>
          <w:szCs w:val="23"/>
        </w:rPr>
        <w:t xml:space="preserve">The institutional conversion is necessary. And it will be slow. In the meantime, the demand that this talk makes of the women in this room is the one that Sr. Inigo makes in Chapter 13 with characteristic directness: claim your dignity. Not when the institution finally grants it. Now.</w:t>
      </w:r>
    </w:p>
    <w:p>
      <w:pPr>
        <w:spacing w:before="60" w:after="160" w:line="340" w:lineRule="auto"/>
        <w:jc w:val="both"/>
      </w:pPr>
      <w:r>
        <w:rPr>
          <w:rFonts w:ascii="Georgia" w:cs="Georgia" w:eastAsia="Georgia" w:hAnsi="Georgia"/>
          <w:color w:val="2C1A1A"/>
          <w:sz w:val="23"/>
          <w:szCs w:val="23"/>
        </w:rPr>
        <w:t xml:space="preserve">Nirmala Vasanthakumar's workshop revealed that ninety percent of women, asked to describe themselves without reference to others, had almost nothing to say. The formation that produces that result is deep, multigenerational, and reinforced by every cultural structure the woman inhabits. Reversing it requires a deliberate act of re-formation: learning to say I exist, I think, I have theological convictions, I am the image of God — not because my father says so, not because my congregation says so, not because the bishop says so, but because Genesis 1:27 says so and Jesus confirmed it in every conversation he had with every woman who came to him.</w:t>
      </w:r>
    </w:p>
    <w:p>
      <w:pPr>
        <w:spacing w:before="80" w:after="40"/>
      </w:pPr>
    </w:p>
    <w:p>
      <w:pPr>
        <w:pBdr>
          <w:top w:val="thick" w:color="8C2257" w:sz="12" w:space="6"/>
          <w:bottom w:val="thick" w:color="8C2257" w:sz="12" w:space="6"/>
        </w:pBdr>
        <w:shd w:fill="F5E8EF" w:val="clear"/>
        <w:spacing w:before="120" w:after="160" w:line="360" w:lineRule="auto"/>
        <w:ind w:left="360" w:right="360"/>
        <w:jc w:val="both"/>
      </w:pPr>
      <w:r>
        <w:rPr>
          <w:rFonts w:ascii="Georgia" w:cs="Georgia" w:eastAsia="Georgia" w:hAnsi="Georgia"/>
          <w:b/>
          <w:bCs/>
          <w:color w:val="8C2257"/>
          <w:sz w:val="25"/>
          <w:szCs w:val="25"/>
        </w:rPr>
        <w:t xml:space="preserve">Until and unless the Church honours the full image of God — structurally, in its governance, its theology, its proclamation, and its pastoral priorities — it will continue to preach a half-Gospel to a whole world. The word of Jesus stands: she has chosen the right part. And no one will take it from her.</w:t>
      </w:r>
    </w:p>
    <w:p>
      <w:pPr>
        <w:spacing w:before="120" w:after="60"/>
      </w:pPr>
    </w:p>
    <w:p>
      <w:pPr>
        <w:spacing w:before="60" w:after="160" w:line="340" w:lineRule="auto"/>
        <w:jc w:val="both"/>
      </w:pPr>
      <w:r>
        <w:rPr>
          <w:rFonts w:ascii="Georgia" w:cs="Georgia" w:eastAsia="Georgia" w:hAnsi="Georgia"/>
          <w:color w:val="2C1A1A"/>
          <w:sz w:val="23"/>
          <w:szCs w:val="23"/>
        </w:rPr>
        <w:t xml:space="preserve">Rabindranath Tagore, in Gitanjali, wrote of a heaven of freedom toward which his country should awake. Bengal knows that line. It belongs to this soil. Sr. Inigo paraphrases it for us, and I want to end Part 5 with her paraphrase:</w:t>
      </w:r>
    </w:p>
    <w:p>
      <w:pPr>
        <w:spacing w:before="60" w:after="160" w:line="320" w:lineRule="auto"/>
        <w:ind w:left="720" w:right="360"/>
        <w:jc w:val="both"/>
      </w:pPr>
      <w:r>
        <w:rPr>
          <w:rFonts w:ascii="Georgia" w:cs="Georgia" w:eastAsia="Georgia" w:hAnsi="Georgia"/>
          <w:i/>
          <w:iCs/>
          <w:color w:val="5C3A3A"/>
          <w:sz w:val="22"/>
          <w:szCs w:val="22"/>
        </w:rPr>
        <w:t xml:space="preserve">Into that heaven of freedom, our Father, our Mother — let women and men awake. Together. As one image. Of one God.</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Personal Reflection  |  2 Minutes Silence  </w:t>
      </w:r>
      <w:r>
        <w:rPr>
          <w:rFonts w:ascii="Georgia" w:cs="Georgia" w:eastAsia="Georgia" w:hAnsi="Georgia"/>
          <w:b/>
          <w:bCs/>
          <w:color w:val="7B1E3C"/>
          <w:sz w:val="26"/>
          <w:szCs w:val="26"/>
        </w:rPr>
        <w:t xml:space="preserve">One Question — Two Versions</w:t>
      </w:r>
    </w:p>
    <w:p>
      <w:pPr>
        <w:spacing w:before="60" w:after="40"/>
      </w:pPr>
    </w:p>
    <w:p>
      <w:pPr>
        <w:spacing w:before="60" w:after="160" w:line="340" w:lineRule="auto"/>
        <w:jc w:val="both"/>
      </w:pPr>
      <w:r>
        <w:rPr>
          <w:rFonts w:ascii="Georgia" w:cs="Georgia" w:eastAsia="Georgia" w:hAnsi="Georgia"/>
          <w:color w:val="2C1A1A"/>
          <w:sz w:val="23"/>
          <w:szCs w:val="23"/>
        </w:rPr>
        <w:t xml:space="preserve">I want to give you one question in two versions, depending on who you are.</w:t>
      </w:r>
    </w:p>
    <w:p>
      <w:pPr>
        <w:spacing w:before="40" w:after="20"/>
      </w:pPr>
    </w:p>
    <w:p>
      <w:pPr>
        <w:spacing w:before="60" w:after="160" w:line="320" w:lineRule="auto"/>
        <w:ind w:left="720" w:right="360"/>
        <w:jc w:val="both"/>
      </w:pPr>
      <w:r>
        <w:rPr>
          <w:rFonts w:ascii="Georgia" w:cs="Georgia" w:eastAsia="Georgia" w:hAnsi="Georgia"/>
          <w:i/>
          <w:iCs/>
          <w:color w:val="5C3A3A"/>
          <w:sz w:val="22"/>
          <w:szCs w:val="22"/>
        </w:rPr>
        <w:t xml:space="preserve">For the women in this room: Where, specifically, in your own life and your own community, have you accepted a definition of your worth that comes from the culture rather than from Genesis 1:27? And what would change if you refused it?</w:t>
      </w:r>
    </w:p>
    <w:p>
      <w:pPr>
        <w:spacing w:before="40" w:after="20"/>
      </w:pPr>
    </w:p>
    <w:p>
      <w:pPr>
        <w:spacing w:before="60" w:after="160" w:line="320" w:lineRule="auto"/>
        <w:ind w:left="720" w:right="360"/>
        <w:jc w:val="both"/>
      </w:pPr>
      <w:r>
        <w:rPr>
          <w:rFonts w:ascii="Georgia" w:cs="Georgia" w:eastAsia="Georgia" w:hAnsi="Georgia"/>
          <w:i/>
          <w:iCs/>
          <w:color w:val="5C3A3A"/>
          <w:sz w:val="22"/>
          <w:szCs w:val="22"/>
        </w:rPr>
        <w:t xml:space="preserve">For the men in this room: Where, specifically, in your parish, your seminary, your diocese, your congregation, is the full image of God being suppressed by structural arrangements that you have the power to change — and have not changed?</w:t>
      </w:r>
    </w:p>
    <w:p>
      <w:pPr>
        <w:spacing w:before="60" w:after="40"/>
      </w:pPr>
    </w:p>
    <w:p>
      <w:pPr>
        <w:spacing w:before="100" w:after="100"/>
        <w:jc w:val="center"/>
      </w:pPr>
      <w:r>
        <w:rPr>
          <w:rFonts w:ascii="Georgia" w:cs="Georgia" w:eastAsia="Georgia" w:hAnsi="Georgia"/>
          <w:b/>
          <w:bCs/>
          <w:i/>
          <w:iCs/>
          <w:color w:val="A0793D"/>
          <w:sz w:val="21"/>
          <w:szCs w:val="21"/>
        </w:rPr>
        <w:t xml:space="preserve">[Two minutes of silence]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Closing Prayer  |  3 Minutes  </w:t>
      </w:r>
      <w:r>
        <w:rPr>
          <w:rFonts w:ascii="Georgia" w:cs="Georgia" w:eastAsia="Georgia" w:hAnsi="Georgia"/>
          <w:b/>
          <w:bCs/>
          <w:color w:val="7B1E3C"/>
          <w:sz w:val="26"/>
          <w:szCs w:val="26"/>
        </w:rPr>
        <w:t xml:space="preserve"/>
      </w:r>
    </w:p>
    <w:p>
      <w:pPr>
        <w:spacing w:before="60" w:after="40"/>
      </w:pPr>
    </w:p>
    <w:p>
      <w:pPr>
        <w:spacing w:before="60" w:after="120" w:line="360" w:lineRule="auto"/>
        <w:ind w:left="720" w:right="360"/>
        <w:jc w:val="both"/>
      </w:pPr>
      <w:r>
        <w:rPr>
          <w:rFonts w:ascii="Georgia" w:cs="Georgia" w:eastAsia="Georgia" w:hAnsi="Georgia"/>
          <w:i/>
          <w:iCs/>
          <w:color w:val="7B1E3C"/>
          <w:sz w:val="23"/>
          <w:szCs w:val="23"/>
        </w:rPr>
        <w:t xml:space="preserve">Lord Jesus, who created us in your image — male and female, whole and undivided —</w:t>
      </w:r>
    </w:p>
    <w:p>
      <w:pPr>
        <w:spacing w:before="40" w:after="120" w:line="360" w:lineRule="auto"/>
        <w:ind w:left="720" w:right="360"/>
        <w:jc w:val="both"/>
      </w:pPr>
      <w:r>
        <w:rPr>
          <w:rFonts w:ascii="Georgia" w:cs="Georgia" w:eastAsia="Georgia" w:hAnsi="Georgia"/>
          <w:i/>
          <w:iCs/>
          <w:color w:val="5C3A3A"/>
          <w:sz w:val="23"/>
          <w:szCs w:val="23"/>
        </w:rPr>
        <w:t xml:space="preserve">You who spoke to the Samaritan woman when the disciples would have passed her by. You who called the bent woman a daughter of Abraham in a synagogue that had never given her that name. You who gave Martha the I AM revelation on a dusty road outside Bethany. You who stood in an empty garden and said: Mary. And in saying her name, gave the resurrection its first human voice.</w:t>
      </w:r>
    </w:p>
    <w:p>
      <w:pPr>
        <w:spacing w:before="40" w:after="120" w:line="360" w:lineRule="auto"/>
        <w:ind w:left="720" w:right="360"/>
        <w:jc w:val="both"/>
      </w:pPr>
      <w:r>
        <w:rPr>
          <w:rFonts w:ascii="Georgia" w:cs="Georgia" w:eastAsia="Georgia" w:hAnsi="Georgia"/>
          <w:i/>
          <w:iCs/>
          <w:color w:val="5C3A3A"/>
          <w:sz w:val="23"/>
          <w:szCs w:val="23"/>
        </w:rPr>
        <w:t xml:space="preserve">We confess the centuries. The scribe who changed Junia's name because a female apostle was too inconvenient to transmit. The philosopher whose authority we received into our theology and whose diminishment of women we did not examine for a thousand years. The institutions that worship the Goddess in the sanctuary and dismiss the woman in the governance meeting. The seminary that teaches the imago Dei in the classroom and does not notice its absence in the curriculum committee.</w:t>
      </w:r>
    </w:p>
    <w:p>
      <w:pPr>
        <w:spacing w:before="40" w:after="120" w:line="360" w:lineRule="auto"/>
        <w:ind w:left="720" w:right="360"/>
        <w:jc w:val="both"/>
      </w:pPr>
      <w:r>
        <w:rPr>
          <w:rFonts w:ascii="Georgia" w:cs="Georgia" w:eastAsia="Georgia" w:hAnsi="Georgia"/>
          <w:i/>
          <w:iCs/>
          <w:color w:val="5C3A3A"/>
          <w:sz w:val="23"/>
          <w:szCs w:val="23"/>
        </w:rPr>
        <w:t xml:space="preserve">Raise up, in West Bengal, in the seminaries and the congregations and the parishes and the diocesan offices, the Priscillas who teach theology with authority. The Marthas who confess faith without apology. The Marys who choose the better part and are not moved from it.</w:t>
      </w:r>
    </w:p>
    <w:p>
      <w:pPr>
        <w:spacing w:before="40" w:after="120" w:line="360" w:lineRule="auto"/>
        <w:ind w:left="720" w:right="360"/>
        <w:jc w:val="both"/>
      </w:pPr>
      <w:r>
        <w:rPr>
          <w:rFonts w:ascii="Georgia" w:cs="Georgia" w:eastAsia="Georgia" w:hAnsi="Georgia"/>
          <w:i/>
          <w:iCs/>
          <w:color w:val="5C3A3A"/>
          <w:sz w:val="23"/>
          <w:szCs w:val="23"/>
        </w:rPr>
        <w:t xml:space="preserve">And raise up the Aquilas: the men who are secure enough in their own identity to walk alongside gifted women rather than in front of them. The bishops who read Galatians 3:28 and ask what it requires of their governance. The formation directors who put women theologians on the faculty and not only on the cleaning roster.</w:t>
      </w:r>
    </w:p>
    <w:p>
      <w:pPr>
        <w:spacing w:before="40" w:after="120" w:line="360" w:lineRule="auto"/>
        <w:ind w:left="720" w:right="360"/>
        <w:jc w:val="both"/>
      </w:pPr>
      <w:r>
        <w:rPr>
          <w:rFonts w:ascii="Georgia" w:cs="Georgia" w:eastAsia="Georgia" w:hAnsi="Georgia"/>
          <w:i/>
          <w:iCs/>
          <w:color w:val="5C3A3A"/>
          <w:sz w:val="23"/>
          <w:szCs w:val="23"/>
        </w:rPr>
        <w:t xml:space="preserve">For the woman in Murshidabad whose wages were stolen. For the Santali woman whose land was taken. For the trafficked girl from North Bengal whose dignity was sold. For the religious sister who runs the institution and is thanked for her service and not asked for her theology.</w:t>
      </w:r>
    </w:p>
    <w:p>
      <w:pPr>
        <w:spacing w:before="40" w:after="120" w:line="360" w:lineRule="auto"/>
        <w:ind w:left="720" w:right="360"/>
        <w:jc w:val="both"/>
      </w:pPr>
      <w:r>
        <w:rPr>
          <w:rFonts w:ascii="Georgia" w:cs="Georgia" w:eastAsia="Georgia" w:hAnsi="Georgia"/>
          <w:b/>
          <w:bCs/>
          <w:i/>
          <w:iCs/>
          <w:color w:val="8C2257"/>
          <w:sz w:val="23"/>
          <w:szCs w:val="23"/>
        </w:rPr>
        <w:t xml:space="preserve">She has chosen the right part.</w:t>
      </w:r>
    </w:p>
    <w:p>
      <w:pPr>
        <w:spacing w:before="40" w:after="120" w:line="360" w:lineRule="auto"/>
        <w:ind w:left="720" w:right="360"/>
        <w:jc w:val="both"/>
      </w:pPr>
      <w:r>
        <w:rPr>
          <w:rFonts w:ascii="Georgia" w:cs="Georgia" w:eastAsia="Georgia" w:hAnsi="Georgia"/>
          <w:b/>
          <w:bCs/>
          <w:i/>
          <w:iCs/>
          <w:color w:val="8C2257"/>
          <w:sz w:val="23"/>
          <w:szCs w:val="23"/>
        </w:rPr>
        <w:t xml:space="preserve">No one will take it from her.</w:t>
      </w:r>
    </w:p>
    <w:p>
      <w:pPr>
        <w:spacing w:before="40" w:after="120" w:line="360" w:lineRule="auto"/>
        <w:ind w:left="720" w:right="360"/>
        <w:jc w:val="both"/>
      </w:pPr>
      <w:r>
        <w:rPr>
          <w:rFonts w:ascii="Georgia" w:cs="Georgia" w:eastAsia="Georgia" w:hAnsi="Georgia"/>
          <w:i/>
          <w:iCs/>
          <w:color w:val="5C3A3A"/>
          <w:sz w:val="23"/>
          <w:szCs w:val="23"/>
        </w:rPr>
        <w:t xml:space="preserve">Into that heaven of freedom, our Father, our Mother — let women and men awake. Together. As one image. Of one God.</w:t>
      </w:r>
    </w:p>
    <w:p>
      <w:pPr>
        <w:spacing w:before="40" w:after="200"/>
        <w:ind w:left="720" w:right="360"/>
        <w:jc w:val="both"/>
      </w:pPr>
      <w:r>
        <w:rPr>
          <w:rFonts w:ascii="Georgia" w:cs="Georgia" w:eastAsia="Georgia" w:hAnsi="Georgia"/>
          <w:b/>
          <w:bCs/>
          <w:color w:val="7B1E3C"/>
          <w:sz w:val="24"/>
          <w:szCs w:val="24"/>
        </w:rPr>
        <w:t xml:space="preserve">Amen.</w:t>
      </w:r>
    </w:p>
    <w:p>
      <w:pPr>
        <w:spacing w:before="100" w:after="60"/>
      </w:pPr>
    </w:p>
    <w:p>
      <w:pPr>
        <w:pBdr>
          <w:bottom w:val="single" w:color="D4C5B8" w:sz="6" w:space="1"/>
        </w:pBdr>
        <w:spacing w:before="80" w:after="80"/>
      </w:pPr>
    </w:p>
    <w:p>
      <w:pPr>
        <w:spacing w:before="200" w:after="100"/>
      </w:pPr>
    </w:p>
    <w:p>
      <w:pPr>
        <w:spacing w:before="240" w:after="60"/>
      </w:pPr>
      <w:r>
        <w:rPr>
          <w:rFonts w:ascii="Georgia" w:cs="Georgia" w:eastAsia="Georgia" w:hAnsi="Georgia"/>
          <w:b/>
          <w:bCs/>
          <w:smallCaps/>
          <w:color w:val="A0793D"/>
          <w:sz w:val="20"/>
          <w:szCs w:val="20"/>
        </w:rPr>
        <w:t xml:space="preserve">Growing Series Arc — Thirteen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1500"/>
        <w:gridCol w:w="6060"/>
      </w:tblGrid>
      <w:tr>
        <w:trPr>
          <w:tblHeader/>
        </w:trPr>
        <w:tc>
          <w:tcPr>
            <w:tcW w:type="dxa" w:w="600"/>
            <w:tcBorders>
              <w:top w:val="single" w:color="7B1E3C" w:sz="1"/>
              <w:left w:val="single" w:color="7B1E3C" w:sz="1"/>
              <w:bottom w:val="single" w:color="7B1E3C" w:sz="1"/>
              <w:right w:val="single" w:color="7B1E3C" w:sz="1"/>
            </w:tcBorders>
            <w:shd w:fill="7B1E3C" w:val="clear"/>
            <w:tcMar>
              <w:top w:type="dxa" w:w="80"/>
              <w:left w:type="dxa" w:w="100"/>
              <w:bottom w:type="dxa" w:w="80"/>
              <w:right w:type="dxa" w:w="80"/>
            </w:tcMar>
          </w:tcPr>
          <w:p>
            <w:r>
              <w:rPr>
                <w:rFonts w:ascii="Georgia" w:cs="Georgia" w:eastAsia="Georgia" w:hAnsi="Georgia"/>
                <w:b/>
                <w:bCs/>
                <w:color w:val="FFFFFF"/>
                <w:sz w:val="19"/>
                <w:szCs w:val="19"/>
              </w:rPr>
              <w:t xml:space="preserve">Talk</w:t>
            </w:r>
          </w:p>
        </w:tc>
        <w:tc>
          <w:tcPr>
            <w:tcW w:type="dxa" w:w="600"/>
            <w:tcBorders>
              <w:top w:val="single" w:color="7B1E3C" w:sz="1"/>
              <w:left w:val="single" w:color="7B1E3C" w:sz="1"/>
              <w:bottom w:val="single" w:color="7B1E3C" w:sz="1"/>
              <w:right w:val="single" w:color="7B1E3C" w:sz="1"/>
            </w:tcBorders>
            <w:shd w:fill="7B1E3C" w:val="clear"/>
            <w:tcMar>
              <w:top w:type="dxa" w:w="80"/>
              <w:left w:type="dxa" w:w="100"/>
              <w:bottom w:type="dxa" w:w="80"/>
              <w:right w:type="dxa" w:w="80"/>
            </w:tcMar>
          </w:tcPr>
          <w:p>
            <w:r>
              <w:rPr>
                <w:rFonts w:ascii="Georgia" w:cs="Georgia" w:eastAsia="Georgia" w:hAnsi="Georgia"/>
                <w:b/>
                <w:bCs/>
                <w:color w:val="FFFFFF"/>
                <w:sz w:val="19"/>
                <w:szCs w:val="19"/>
              </w:rPr>
              <w:t xml:space="preserve">Ch.</w:t>
            </w:r>
          </w:p>
        </w:tc>
        <w:tc>
          <w:tcPr>
            <w:tcW w:type="dxa" w:w="600"/>
            <w:tcBorders>
              <w:top w:val="single" w:color="7B1E3C" w:sz="1"/>
              <w:left w:val="single" w:color="7B1E3C" w:sz="1"/>
              <w:bottom w:val="single" w:color="7B1E3C" w:sz="1"/>
              <w:right w:val="single" w:color="7B1E3C" w:sz="1"/>
            </w:tcBorders>
            <w:shd w:fill="7B1E3C" w:val="clear"/>
            <w:tcMar>
              <w:top w:type="dxa" w:w="80"/>
              <w:left w:type="dxa" w:w="100"/>
              <w:bottom w:type="dxa" w:w="80"/>
              <w:right w:type="dxa" w:w="80"/>
            </w:tcMar>
          </w:tcPr>
          <w:p>
            <w:r>
              <w:rPr>
                <w:rFonts w:ascii="Georgia" w:cs="Georgia" w:eastAsia="Georgia" w:hAnsi="Georgia"/>
                <w:b/>
                <w:bCs/>
                <w:color w:val="FFFFFF"/>
                <w:sz w:val="19"/>
                <w:szCs w:val="19"/>
              </w:rPr>
              <w:t xml:space="preserve">Pt.</w:t>
            </w:r>
          </w:p>
        </w:tc>
        <w:tc>
          <w:tcPr>
            <w:tcW w:type="dxa" w:w="1500"/>
            <w:tcBorders>
              <w:top w:val="single" w:color="7B1E3C" w:sz="1"/>
              <w:left w:val="single" w:color="7B1E3C" w:sz="1"/>
              <w:bottom w:val="single" w:color="7B1E3C" w:sz="1"/>
              <w:right w:val="single" w:color="7B1E3C" w:sz="1"/>
            </w:tcBorders>
            <w:shd w:fill="7B1E3C" w:val="clear"/>
            <w:tcMar>
              <w:top w:type="dxa" w:w="80"/>
              <w:left w:type="dxa" w:w="100"/>
              <w:bottom w:type="dxa" w:w="80"/>
              <w:right w:type="dxa" w:w="80"/>
            </w:tcMar>
          </w:tcPr>
          <w:p>
            <w:r>
              <w:rPr>
                <w:rFonts w:ascii="Georgia" w:cs="Georgia" w:eastAsia="Georgia" w:hAnsi="Georgia"/>
                <w:b/>
                <w:bCs/>
                <w:color w:val="FFFFFF"/>
                <w:sz w:val="19"/>
                <w:szCs w:val="19"/>
              </w:rPr>
              <w:t xml:space="preserve">Word</w:t>
            </w:r>
          </w:p>
        </w:tc>
        <w:tc>
          <w:tcPr>
            <w:tcW w:type="dxa" w:w="6060"/>
            <w:tcBorders>
              <w:top w:val="single" w:color="7B1E3C" w:sz="1"/>
              <w:left w:val="single" w:color="7B1E3C" w:sz="1"/>
              <w:bottom w:val="single" w:color="7B1E3C" w:sz="1"/>
              <w:right w:val="single" w:color="7B1E3C" w:sz="1"/>
            </w:tcBorders>
            <w:shd w:fill="7B1E3C" w:val="clear"/>
            <w:tcMar>
              <w:top w:type="dxa" w:w="80"/>
              <w:left w:type="dxa" w:w="100"/>
              <w:bottom w:type="dxa" w:w="80"/>
              <w:right w:type="dxa" w:w="80"/>
            </w:tcMar>
          </w:tcPr>
          <w:p>
            <w:r>
              <w:rPr>
                <w:rFonts w:ascii="Georgia" w:cs="Georgia" w:eastAsia="Georgia" w:hAnsi="Georgia"/>
                <w:b/>
                <w:bCs/>
                <w:color w:val="FFFFFF"/>
                <w:sz w:val="19"/>
                <w:szCs w:val="19"/>
              </w:rPr>
              <w:t xml:space="preserve">Question</w:t>
            </w:r>
          </w:p>
        </w:tc>
      </w:tr>
      <w:tr>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1</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1</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w:t>
            </w:r>
          </w:p>
        </w:tc>
        <w:tc>
          <w:tcPr>
            <w:tcW w:type="dxa" w:w="15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Courage</w:t>
            </w:r>
          </w:p>
        </w:tc>
        <w:tc>
          <w:tcPr>
            <w:tcW w:type="dxa" w:w="606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Am I alive?</w:t>
            </w:r>
          </w:p>
        </w:tc>
      </w:tr>
      <w:tr>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2</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2</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w:t>
            </w:r>
          </w:p>
        </w:tc>
        <w:tc>
          <w:tcPr>
            <w:tcW w:type="dxa" w:w="15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Identity</w:t>
            </w:r>
          </w:p>
        </w:tc>
        <w:tc>
          <w:tcPr>
            <w:tcW w:type="dxa" w:w="606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Do I know who I am?</w:t>
            </w:r>
          </w:p>
        </w:tc>
      </w:tr>
      <w:tr>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3</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3</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w:t>
            </w:r>
          </w:p>
        </w:tc>
        <w:tc>
          <w:tcPr>
            <w:tcW w:type="dxa" w:w="15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Prophecy</w:t>
            </w:r>
          </w:p>
        </w:tc>
        <w:tc>
          <w:tcPr>
            <w:tcW w:type="dxa" w:w="606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Am I dangerous enough?</w:t>
            </w:r>
          </w:p>
        </w:tc>
      </w:tr>
      <w:tr>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4</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4</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II</w:t>
            </w:r>
          </w:p>
        </w:tc>
        <w:tc>
          <w:tcPr>
            <w:tcW w:type="dxa" w:w="15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Reverence</w:t>
            </w:r>
          </w:p>
        </w:tc>
        <w:tc>
          <w:tcPr>
            <w:tcW w:type="dxa" w:w="606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Do I treat God's world as beloved?</w:t>
            </w:r>
          </w:p>
        </w:tc>
      </w:tr>
      <w:tr>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5</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5</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II</w:t>
            </w:r>
          </w:p>
        </w:tc>
        <w:tc>
          <w:tcPr>
            <w:tcW w:type="dxa" w:w="15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Presence</w:t>
            </w:r>
          </w:p>
        </w:tc>
        <w:tc>
          <w:tcPr>
            <w:tcW w:type="dxa" w:w="606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Do I communicate as God does?</w:t>
            </w:r>
          </w:p>
        </w:tc>
      </w:tr>
      <w:tr>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6</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6</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II</w:t>
            </w:r>
          </w:p>
        </w:tc>
        <w:tc>
          <w:tcPr>
            <w:tcW w:type="dxa" w:w="15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Mercy</w:t>
            </w:r>
          </w:p>
        </w:tc>
        <w:tc>
          <w:tcPr>
            <w:tcW w:type="dxa" w:w="606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Is mercy the grammar of my life?</w:t>
            </w:r>
          </w:p>
        </w:tc>
      </w:tr>
      <w:tr>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7</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7</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III</w:t>
            </w:r>
          </w:p>
        </w:tc>
        <w:tc>
          <w:tcPr>
            <w:tcW w:type="dxa" w:w="15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Solidarity</w:t>
            </w:r>
          </w:p>
        </w:tc>
        <w:tc>
          <w:tcPr>
            <w:tcW w:type="dxa" w:w="606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Do I show up where Christ already waits?</w:t>
            </w:r>
          </w:p>
        </w:tc>
      </w:tr>
      <w:tr>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8</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8</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III</w:t>
            </w:r>
          </w:p>
        </w:tc>
        <w:tc>
          <w:tcPr>
            <w:tcW w:type="dxa" w:w="15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Dignity</w:t>
            </w:r>
          </w:p>
        </w:tc>
        <w:tc>
          <w:tcPr>
            <w:tcW w:type="dxa" w:w="606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Do I protect the life I cannot revoke?</w:t>
            </w:r>
          </w:p>
        </w:tc>
      </w:tr>
      <w:tr>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9</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9</w:t>
            </w:r>
          </w:p>
        </w:tc>
        <w:tc>
          <w:tcPr>
            <w:tcW w:type="dxa" w:w="6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III</w:t>
            </w:r>
          </w:p>
        </w:tc>
        <w:tc>
          <w:tcPr>
            <w:tcW w:type="dxa" w:w="150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Clarity</w:t>
            </w:r>
          </w:p>
        </w:tc>
        <w:tc>
          <w:tcPr>
            <w:tcW w:type="dxa" w:w="6060"/>
            <w:tcBorders>
              <w:top w:val="single" w:color="D4C5B8" w:sz="1"/>
              <w:left w:val="single" w:color="D4C5B8" w:sz="1"/>
              <w:bottom w:val="single" w:color="D4C5B8" w:sz="1"/>
              <w:right w:val="single" w:color="D4C5B8" w:sz="1"/>
            </w:tcBorders>
            <w:shd w:fill="FAF5F0"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Am I a signpost or just scenery?</w:t>
            </w:r>
          </w:p>
        </w:tc>
      </w:tr>
      <w:tr>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10</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10</w:t>
            </w:r>
          </w:p>
        </w:tc>
        <w:tc>
          <w:tcPr>
            <w:tcW w:type="dxa" w:w="6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III</w:t>
            </w:r>
          </w:p>
        </w:tc>
        <w:tc>
          <w:tcPr>
            <w:tcW w:type="dxa" w:w="150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Faith</w:t>
            </w:r>
          </w:p>
        </w:tc>
        <w:tc>
          <w:tcPr>
            <w:tcW w:type="dxa" w:w="6060"/>
            <w:tcBorders>
              <w:top w:val="single" w:color="D4C5B8" w:sz="1"/>
              <w:left w:val="single" w:color="D4C5B8" w:sz="1"/>
              <w:bottom w:val="single" w:color="D4C5B8" w:sz="1"/>
              <w:right w:val="single" w:color="D4C5B8" w:sz="1"/>
            </w:tcBorders>
            <w:shd w:fill="F2E9E2" w:val="clear"/>
            <w:tcMar>
              <w:top w:type="dxa" w:w="60"/>
              <w:left w:type="dxa" w:w="100"/>
              <w:bottom w:type="dxa" w:w="60"/>
              <w:right w:type="dxa" w:w="80"/>
            </w:tcMar>
          </w:tcPr>
          <w:p>
            <w:r>
              <w:rPr>
                <w:rFonts w:ascii="Georgia" w:cs="Georgia" w:eastAsia="Georgia" w:hAnsi="Georgia"/>
                <w:b w:val="false"/>
                <w:bCs w:val="false"/>
                <w:color w:val="2C1A1A"/>
                <w:sz w:val="19"/>
                <w:szCs w:val="19"/>
              </w:rPr>
              <w:t xml:space="preserve">Do I trust the God who redeems?</w:t>
            </w:r>
          </w:p>
        </w:tc>
      </w:tr>
      <w:tr>
        <w:tc>
          <w:tcPr>
            <w:tcW w:type="dxa" w:w="6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11</w:t>
            </w:r>
          </w:p>
        </w:tc>
        <w:tc>
          <w:tcPr>
            <w:tcW w:type="dxa" w:w="6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11</w:t>
            </w:r>
          </w:p>
        </w:tc>
        <w:tc>
          <w:tcPr>
            <w:tcW w:type="dxa" w:w="6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III</w:t>
            </w:r>
          </w:p>
        </w:tc>
        <w:tc>
          <w:tcPr>
            <w:tcW w:type="dxa" w:w="15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Justice</w:t>
            </w:r>
          </w:p>
        </w:tc>
        <w:tc>
          <w:tcPr>
            <w:tcW w:type="dxa" w:w="606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Do I renounce evil not just in words?</w:t>
            </w:r>
          </w:p>
        </w:tc>
      </w:tr>
      <w:tr>
        <w:tc>
          <w:tcPr>
            <w:tcW w:type="dxa" w:w="6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12</w:t>
            </w:r>
          </w:p>
        </w:tc>
        <w:tc>
          <w:tcPr>
            <w:tcW w:type="dxa" w:w="6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12</w:t>
            </w:r>
          </w:p>
        </w:tc>
        <w:tc>
          <w:tcPr>
            <w:tcW w:type="dxa" w:w="6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III</w:t>
            </w:r>
          </w:p>
        </w:tc>
        <w:tc>
          <w:tcPr>
            <w:tcW w:type="dxa" w:w="150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Re-vision</w:t>
            </w:r>
          </w:p>
        </w:tc>
        <w:tc>
          <w:tcPr>
            <w:tcW w:type="dxa" w:w="6060"/>
            <w:tcBorders>
              <w:top w:val="single" w:color="D4C5B8" w:sz="1"/>
              <w:left w:val="single" w:color="D4C5B8" w:sz="1"/>
              <w:bottom w:val="single" w:color="D4C5B8" w:sz="1"/>
              <w:right w:val="single" w:color="D4C5B8" w:sz="1"/>
            </w:tcBorders>
            <w:shd w:fill="FAF0F5" w:val="clear"/>
            <w:tcMar>
              <w:top w:type="dxa" w:w="60"/>
              <w:left w:type="dxa" w:w="100"/>
              <w:bottom w:type="dxa" w:w="60"/>
              <w:right w:type="dxa" w:w="80"/>
            </w:tcMar>
          </w:tcPr>
          <w:p>
            <w:r>
              <w:rPr>
                <w:rFonts w:ascii="Georgia" w:cs="Georgia" w:eastAsia="Georgia" w:hAnsi="Georgia"/>
                <w:b w:val="false"/>
                <w:bCs w:val="false"/>
                <w:color w:val="7B1E3C"/>
                <w:sz w:val="19"/>
                <w:szCs w:val="19"/>
              </w:rPr>
              <w:t xml:space="preserve">For whom is this institution here?</w:t>
            </w:r>
          </w:p>
        </w:tc>
      </w:tr>
      <w:tr>
        <w:tc>
          <w:tcPr>
            <w:tcW w:type="dxa" w:w="600"/>
            <w:tcBorders>
              <w:top w:val="single" w:color="D4C5B8" w:sz="1"/>
              <w:left w:val="single" w:color="D4C5B8" w:sz="1"/>
              <w:bottom w:val="single" w:color="D4C5B8" w:sz="1"/>
              <w:right w:val="single" w:color="D4C5B8" w:sz="1"/>
            </w:tcBorders>
            <w:shd w:fill="F5E8EF" w:val="clear"/>
            <w:tcMar>
              <w:top w:type="dxa" w:w="60"/>
              <w:left w:type="dxa" w:w="100"/>
              <w:bottom w:type="dxa" w:w="60"/>
              <w:right w:type="dxa" w:w="80"/>
            </w:tcMar>
          </w:tcPr>
          <w:p>
            <w:r>
              <w:rPr>
                <w:rFonts w:ascii="Georgia" w:cs="Georgia" w:eastAsia="Georgia" w:hAnsi="Georgia"/>
                <w:b/>
                <w:bCs/>
                <w:color w:val="8C2257"/>
                <w:sz w:val="19"/>
                <w:szCs w:val="19"/>
              </w:rPr>
              <w:t xml:space="preserve">13</w:t>
            </w:r>
          </w:p>
        </w:tc>
        <w:tc>
          <w:tcPr>
            <w:tcW w:type="dxa" w:w="600"/>
            <w:tcBorders>
              <w:top w:val="single" w:color="D4C5B8" w:sz="1"/>
              <w:left w:val="single" w:color="D4C5B8" w:sz="1"/>
              <w:bottom w:val="single" w:color="D4C5B8" w:sz="1"/>
              <w:right w:val="single" w:color="D4C5B8" w:sz="1"/>
            </w:tcBorders>
            <w:shd w:fill="F5E8EF" w:val="clear"/>
            <w:tcMar>
              <w:top w:type="dxa" w:w="60"/>
              <w:left w:type="dxa" w:w="100"/>
              <w:bottom w:type="dxa" w:w="60"/>
              <w:right w:type="dxa" w:w="80"/>
            </w:tcMar>
          </w:tcPr>
          <w:p>
            <w:r>
              <w:rPr>
                <w:rFonts w:ascii="Georgia" w:cs="Georgia" w:eastAsia="Georgia" w:hAnsi="Georgia"/>
                <w:b/>
                <w:bCs/>
                <w:color w:val="8C2257"/>
                <w:sz w:val="19"/>
                <w:szCs w:val="19"/>
              </w:rPr>
              <w:t xml:space="preserve">13</w:t>
            </w:r>
          </w:p>
        </w:tc>
        <w:tc>
          <w:tcPr>
            <w:tcW w:type="dxa" w:w="600"/>
            <w:tcBorders>
              <w:top w:val="single" w:color="D4C5B8" w:sz="1"/>
              <w:left w:val="single" w:color="D4C5B8" w:sz="1"/>
              <w:bottom w:val="single" w:color="D4C5B8" w:sz="1"/>
              <w:right w:val="single" w:color="D4C5B8" w:sz="1"/>
            </w:tcBorders>
            <w:shd w:fill="F5E8EF" w:val="clear"/>
            <w:tcMar>
              <w:top w:type="dxa" w:w="60"/>
              <w:left w:type="dxa" w:w="100"/>
              <w:bottom w:type="dxa" w:w="60"/>
              <w:right w:type="dxa" w:w="80"/>
            </w:tcMar>
          </w:tcPr>
          <w:p>
            <w:r>
              <w:rPr>
                <w:rFonts w:ascii="Georgia" w:cs="Georgia" w:eastAsia="Georgia" w:hAnsi="Georgia"/>
                <w:b/>
                <w:bCs/>
                <w:color w:val="8C2257"/>
                <w:sz w:val="19"/>
                <w:szCs w:val="19"/>
              </w:rPr>
              <w:t xml:space="preserve">IV</w:t>
            </w:r>
          </w:p>
        </w:tc>
        <w:tc>
          <w:tcPr>
            <w:tcW w:type="dxa" w:w="1500"/>
            <w:tcBorders>
              <w:top w:val="single" w:color="D4C5B8" w:sz="1"/>
              <w:left w:val="single" w:color="D4C5B8" w:sz="1"/>
              <w:bottom w:val="single" w:color="D4C5B8" w:sz="1"/>
              <w:right w:val="single" w:color="D4C5B8" w:sz="1"/>
            </w:tcBorders>
            <w:shd w:fill="F5E8EF" w:val="clear"/>
            <w:tcMar>
              <w:top w:type="dxa" w:w="60"/>
              <w:left w:type="dxa" w:w="100"/>
              <w:bottom w:type="dxa" w:w="60"/>
              <w:right w:type="dxa" w:w="80"/>
            </w:tcMar>
          </w:tcPr>
          <w:p>
            <w:r>
              <w:rPr>
                <w:rFonts w:ascii="Georgia" w:cs="Georgia" w:eastAsia="Georgia" w:hAnsi="Georgia"/>
                <w:b/>
                <w:bCs/>
                <w:color w:val="8C2257"/>
                <w:sz w:val="19"/>
                <w:szCs w:val="19"/>
              </w:rPr>
              <w:t xml:space="preserve">Equality</w:t>
            </w:r>
          </w:p>
        </w:tc>
        <w:tc>
          <w:tcPr>
            <w:tcW w:type="dxa" w:w="6060"/>
            <w:tcBorders>
              <w:top w:val="single" w:color="D4C5B8" w:sz="1"/>
              <w:left w:val="single" w:color="D4C5B8" w:sz="1"/>
              <w:bottom w:val="single" w:color="D4C5B8" w:sz="1"/>
              <w:right w:val="single" w:color="D4C5B8" w:sz="1"/>
            </w:tcBorders>
            <w:shd w:fill="F5E8EF" w:val="clear"/>
            <w:tcMar>
              <w:top w:type="dxa" w:w="60"/>
              <w:left w:type="dxa" w:w="100"/>
              <w:bottom w:type="dxa" w:w="60"/>
              <w:right w:type="dxa" w:w="80"/>
            </w:tcMar>
          </w:tcPr>
          <w:p>
            <w:r>
              <w:rPr>
                <w:rFonts w:ascii="Georgia" w:cs="Georgia" w:eastAsia="Georgia" w:hAnsi="Georgia"/>
                <w:b/>
                <w:bCs/>
                <w:color w:val="8C2257"/>
                <w:sz w:val="19"/>
                <w:szCs w:val="19"/>
              </w:rPr>
              <w:t xml:space="preserve">Do I honour the full image of God?</w:t>
            </w:r>
          </w:p>
        </w:tc>
      </w:tr>
    </w:tbl>
    <w:p>
      <w:pPr>
        <w:spacing w:before="160" w:after="80"/>
      </w:pPr>
    </w:p>
    <w:p>
      <w:pPr>
        <w:spacing w:before="60" w:after="60"/>
      </w:pPr>
      <w:r>
        <w:rPr>
          <w:rFonts w:ascii="Georgia" w:cs="Georgia" w:eastAsia="Georgia" w:hAnsi="Georgia"/>
          <w:b/>
          <w:bCs/>
          <w:smallCaps/>
          <w:color w:val="A0793D"/>
          <w:sz w:val="21"/>
          <w:szCs w:val="21"/>
        </w:rPr>
        <w:t xml:space="preserve">Part IV: Empowering Women</w:t>
      </w:r>
    </w:p>
    <w:p>
      <w:pPr>
        <w:spacing w:before="60" w:after="160" w:line="340" w:lineRule="auto"/>
        <w:jc w:val="both"/>
      </w:pPr>
      <w:r>
        <w:rPr>
          <w:rFonts w:ascii="Georgia" w:cs="Georgia" w:eastAsia="Georgia" w:hAnsi="Georgia"/>
          <w:i/>
          <w:iCs/>
          <w:color w:val="5C3A3A"/>
          <w:sz w:val="23"/>
          <w:szCs w:val="23"/>
        </w:rPr>
        <w:t xml:space="preserve">Talk 13 opens Part IV with the foundational theological claim: the image of God is male and female together, and the suppression of women's full participation in the Church's life is a deformation of the Gospel. Talks 14, 15, and 16 will develop the specific dimensions of this claim — the spirituality of women's empowerment, the confrontation with trafficking, and the vision of the fully renewed Church.</w:t>
      </w:r>
    </w:p>
    <w:p>
      <w:pPr>
        <w:spacing w:before="200" w:after="80"/>
      </w:pPr>
    </w:p>
    <w:p>
      <w:pPr>
        <w:pBdr>
          <w:bottom w:val="single" w:color="D4C5B8" w:sz="6" w:space="1"/>
        </w:pBdr>
        <w:spacing w:before="80" w:after="80"/>
      </w:pPr>
    </w:p>
    <w:p>
      <w:pPr>
        <w:spacing w:before="120" w:after="60"/>
        <w:jc w:val="center"/>
      </w:pPr>
      <w:r>
        <w:rPr>
          <w:rFonts w:ascii="Georgia" w:cs="Georgia" w:eastAsia="Georgia" w:hAnsi="Georgia"/>
          <w:smallCaps/>
          <w:color w:val="A0793D"/>
          <w:sz w:val="19"/>
          <w:szCs w:val="19"/>
        </w:rPr>
        <w:t xml:space="preserve">Morning Star Regional Seminary  |  Barrackpore, West Bengal</w:t>
      </w:r>
    </w:p>
    <w:p>
      <w:pPr>
        <w:spacing w:before="0" w:after="60"/>
        <w:jc w:val="center"/>
      </w:pPr>
      <w:r>
        <w:rPr>
          <w:rFonts w:ascii="Georgia" w:cs="Georgia" w:eastAsia="Georgia" w:hAnsi="Georgia"/>
          <w:i/>
          <w:iCs/>
          <w:color w:val="5C3A3A"/>
          <w:sz w:val="19"/>
          <w:szCs w:val="19"/>
        </w:rPr>
        <w:t xml:space="preserve">Fr. William Anthony MSFS  |  Talk 13: Imago Dei Integra</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2026-03-29T17:26:40.153Z</dcterms:created>
  <dcterms:modified xsi:type="dcterms:W3CDTF">2026-03-29T17:26:40.154Z</dcterms:modified>
</cp:coreProperties>
</file>

<file path=docProps/custom.xml><?xml version="1.0" encoding="utf-8"?>
<Properties xmlns="http://schemas.openxmlformats.org/officeDocument/2006/custom-properties" xmlns:vt="http://schemas.openxmlformats.org/officeDocument/2006/docPropsVTypes"/>
</file>