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52"/>
          <w:szCs w:val="52"/>
        </w:rPr>
        <w:t xml:space="preserve">OBSIDIAN AS A SECOND BRAIN</w:t>
      </w:r>
    </w:p>
    <w:p>
      <w:pPr>
        <w:spacing w:after="0" w:before="120"/>
        <w:jc w:val="center"/>
      </w:pPr>
      <w:r>
        <w:rPr>
          <w:color w:val="2E74B5"/>
          <w:sz w:val="28"/>
          <w:szCs w:val="28"/>
        </w:rPr>
        <w:t xml:space="preserve">Setup, Workflow, Guidelines &amp; Learning Resources</w:t>
      </w:r>
    </w:p>
    <w:p>
      <w:pPr>
        <w:spacing w:after="0" w:before="60"/>
        <w:jc w:val="center"/>
      </w:pPr>
      <w:r>
        <w:rPr>
          <w:i/>
          <w:iCs/>
          <w:color w:val="595959"/>
          <w:sz w:val="22"/>
          <w:szCs w:val="22"/>
        </w:rPr>
        <w:t xml:space="preserve">Vault: “Willy Dec 2025”</w:t>
      </w:r>
    </w:p>
    <w:p>
      <w:pPr>
        <w:spacing w:after="0" w:before="900"/>
        <w:jc w:val="center"/>
      </w:pPr>
      <w:r>
        <w:rPr>
          <w:color w:val="000000"/>
          <w:sz w:val="24"/>
          <w:szCs w:val="24"/>
        </w:rPr>
        <w:t xml:space="preserve">Prepared for Rev. Prof. William Anthony, MSFS</w:t>
      </w:r>
    </w:p>
    <w:p>
      <w:pPr>
        <w:spacing w:after="0" w:before="40"/>
        <w:jc w:val="center"/>
      </w:pPr>
      <w:r>
        <w:rPr>
          <w:color w:val="595959"/>
          <w:sz w:val="22"/>
          <w:szCs w:val="22"/>
        </w:rPr>
        <w:t xml:space="preserve">Morning Star Regional Seminary, Barrackpore</w:t>
      </w:r>
    </w:p>
    <w:p>
      <w:pPr>
        <w:spacing w:before="40"/>
        <w:jc w:val="center"/>
      </w:pPr>
      <w:r>
        <w:rPr>
          <w:color w:val="595959"/>
          <w:sz w:val="22"/>
          <w:szCs w:val="22"/>
        </w:rPr>
        <w:t xml:space="preserve">Compiled 19 July 2026</w:t>
      </w:r>
    </w:p>
    <w:p>
      <w:r>
        <w:br w:type="page"/>
      </w:r>
    </w:p>
    <w:p>
      <w:pPr>
        <w:pStyle w:val="Heading1"/>
        <w:spacing w:after="140" w:before="320"/>
      </w:pPr>
      <w:r>
        <w:rPr>
          <w:b/>
          <w:bCs/>
          <w:color w:val="1F3864"/>
        </w:rPr>
        <w:t xml:space="preserve">About this document</w:t>
      </w:r>
    </w:p>
    <w:p>
      <w:pPr>
        <w:spacing w:after="120"/>
      </w:pPr>
      <w:r>
        <w:rPr>
          <w:sz w:val="22"/>
          <w:szCs w:val="22"/>
        </w:rPr>
        <w:t xml:space="preserve">This guide compiles the work, suggestions, and resources from the Claude Code working sessions on the Obsidian vault. It records what was changed in the vault, the note-taking workflow to follow, the guidelines (what to do and what to avoid), and every YouTube link recommended for learning.</w:t>
      </w:r>
    </w:p>
    <w:p>
      <w:pPr>
        <w:pBdr>
          <w:top w:val="single" w:color="D0DEF3" w:sz="4" w:space="4"/>
          <w:bottom w:val="single" w:color="D0DEF3" w:sz="4" w:space="4"/>
          <w:left w:val="single" w:color="2E74B5" w:sz="24" w:space="8"/>
          <w:right w:val="single" w:color="D0DEF3" w:sz="4" w:space="4"/>
        </w:pBdr>
        <w:shd w:fill="EAF1FB" w:val="clear"/>
        <w:spacing w:after="140" w:before="100"/>
      </w:pPr>
      <w:r>
        <w:rPr>
          <w:i/>
          <w:iCs/>
          <w:color w:val="1F3864"/>
          <w:sz w:val="22"/>
          <w:szCs w:val="22"/>
        </w:rPr>
        <w:t xml:space="preserve">Scope: this document captures the content available within the working session(s) on this machine. It cannot reach into separate Claude.ai web conversations that were never saved locally. Everything below is drawn from the actual vault work and the verified resource links.</w:t>
      </w:r>
    </w:p>
    <w:p>
      <w:r>
        <w:br w:type="page"/>
      </w:r>
    </w:p>
    <w:p>
      <w:pPr>
        <w:pStyle w:val="Heading1"/>
        <w:spacing w:after="140" w:before="320"/>
      </w:pPr>
      <w:r>
        <w:rPr>
          <w:b/>
          <w:bCs/>
          <w:color w:val="1F386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864"/>
        </w:rPr>
        <w:t xml:space="preserve">1. What was set up in the vault</w:t>
      </w:r>
    </w:p>
    <w:p>
      <w:pPr>
        <w:spacing w:after="120"/>
      </w:pPr>
      <w:r>
        <w:rPr>
          <w:sz w:val="22"/>
          <w:szCs w:val="22"/>
        </w:rPr>
        <w:t xml:space="preserve">The vault was reorganised from a collection of loose files and PDF libraries into a linked, tagged system. Summary of the changes made:</w:t>
      </w:r>
    </w:p>
    <w:p>
      <w:pPr>
        <w:pStyle w:val="Heading2"/>
        <w:spacing w:after="100" w:before="220"/>
      </w:pPr>
      <w:r>
        <w:rPr>
          <w:b/>
          <w:bCs/>
          <w:color w:val="2E74B5"/>
        </w:rPr>
        <w:t xml:space="preserve">Cleanup</w:t>
      </w:r>
    </w:p>
    <w:p>
      <w:pPr>
        <w:pStyle w:val="ListParagraph"/>
        <w:numPr>
          <w:ilvl w:val="0"/>
          <w:numId w:val="2"/>
        </w:numPr>
        <w:spacing w:after="60"/>
      </w:pPr>
      <w:r>
        <w:rPr>
          <w:sz w:val="22"/>
          <w:szCs w:val="22"/>
        </w:rPr>
        <w:t xml:space="preserve">Deleted empty stub notes (blank daily notes, empty placeholders, untouched Welcome/Untitled defaults).</w:t>
      </w:r>
    </w:p>
    <w:p>
      <w:pPr>
        <w:pStyle w:val="ListParagraph"/>
        <w:numPr>
          <w:ilvl w:val="0"/>
          <w:numId w:val="2"/>
        </w:numPr>
        <w:spacing w:after="60"/>
      </w:pPr>
      <w:r>
        <w:rPr>
          <w:sz w:val="22"/>
          <w:szCs w:val="22"/>
        </w:rPr>
        <w:t xml:space="preserve">Removed duplicate files verified as byte-identical (e.g. a repeated Joseph Lobo article, a duplicated Soares-Prabhu PDF, a duplicate Locke PDF).</w:t>
      </w:r>
    </w:p>
    <w:p>
      <w:pPr>
        <w:pStyle w:val="ListParagraph"/>
        <w:numPr>
          <w:ilvl w:val="0"/>
          <w:numId w:val="2"/>
        </w:numPr>
        <w:spacing w:after="60"/>
      </w:pPr>
      <w:r>
        <w:rPr>
          <w:sz w:val="22"/>
          <w:szCs w:val="22"/>
        </w:rPr>
        <w:t xml:space="preserve">Removed Word lock/crash files (~$ temporary files) and regenerable graphify cache.</w:t>
      </w:r>
    </w:p>
    <w:p>
      <w:pPr>
        <w:pStyle w:val="ListParagraph"/>
        <w:numPr>
          <w:ilvl w:val="0"/>
          <w:numId w:val="2"/>
        </w:numPr>
        <w:spacing w:after="60"/>
      </w:pPr>
      <w:r>
        <w:rPr>
          <w:sz w:val="22"/>
          <w:szCs w:val="22"/>
        </w:rPr>
        <w:t xml:space="preserve">Removed empty stray folders.</w:t>
      </w:r>
    </w:p>
    <w:p>
      <w:pPr>
        <w:pStyle w:val="ListParagraph"/>
        <w:numPr>
          <w:ilvl w:val="0"/>
          <w:numId w:val="2"/>
        </w:numPr>
        <w:spacing w:after="60"/>
      </w:pPr>
      <w:r>
        <w:rPr>
          <w:sz w:val="22"/>
          <w:szCs w:val="22"/>
        </w:rPr>
        <w:t xml:space="preserve">Files with the same base name but different content were KEPT (they are different scans/editions, not duplicates).</w:t>
      </w:r>
    </w:p>
    <w:p>
      <w:pPr>
        <w:pStyle w:val="Heading2"/>
        <w:spacing w:after="100" w:before="220"/>
      </w:pPr>
      <w:r>
        <w:rPr>
          <w:b/>
          <w:bCs/>
          <w:color w:val="2E74B5"/>
        </w:rPr>
        <w:t xml:space="preserve">Structure &amp; links</w:t>
      </w:r>
    </w:p>
    <w:p>
      <w:pPr>
        <w:pStyle w:val="ListParagraph"/>
        <w:numPr>
          <w:ilvl w:val="0"/>
          <w:numId w:val="2"/>
        </w:numPr>
        <w:spacing w:after="60"/>
      </w:pPr>
      <w:r>
        <w:rPr>
          <w:sz w:val="22"/>
          <w:szCs w:val="22"/>
        </w:rPr>
        <w:t xml:space="preserve">Moved the loose Daniel/Lennox note into its dedicated folder; moved the BTh Introduction-to-Theology notes into the ST 01 course folder.</w:t>
      </w:r>
    </w:p>
    <w:p>
      <w:pPr>
        <w:pStyle w:val="ListParagraph"/>
        <w:numPr>
          <w:ilvl w:val="0"/>
          <w:numId w:val="2"/>
        </w:numPr>
        <w:spacing w:after="60"/>
      </w:pPr>
      <w:r>
        <w:rPr>
          <w:sz w:val="22"/>
          <w:szCs w:val="22"/>
        </w:rPr>
        <w:t xml:space="preserve">Created hub / Map-of-Content (MOC) notes: </w:t>
      </w:r>
      <w:r>
        <w:rPr>
          <w:i/>
          <w:iCs/>
          <w:sz w:val="22"/>
          <w:szCs w:val="22"/>
        </w:rPr>
        <w:t xml:space="preserve">Synodality MOC, Trinity MOC, Dr. Eli Lizorkin-Eyzenberg, George Soares-Prabhu, Pathil-Veliath MOC, ST 01 Class Notes MOC.</w:t>
      </w:r>
    </w:p>
    <w:p>
      <w:pPr>
        <w:pStyle w:val="ListParagraph"/>
        <w:numPr>
          <w:ilvl w:val="0"/>
          <w:numId w:val="2"/>
        </w:numPr>
        <w:spacing w:after="60"/>
      </w:pPr>
      <w:r>
        <w:rPr>
          <w:sz w:val="22"/>
          <w:szCs w:val="22"/>
        </w:rPr>
        <w:t xml:space="preserve">The Dr. Eli Lizorkin-Eyzenberg hub note resolved 76 previously-broken links in one step.</w:t>
      </w:r>
    </w:p>
    <w:p>
      <w:pPr>
        <w:pStyle w:val="ListParagraph"/>
        <w:numPr>
          <w:ilvl w:val="0"/>
          <w:numId w:val="2"/>
        </w:numPr>
        <w:spacing w:after="60"/>
      </w:pPr>
      <w:r>
        <w:rPr>
          <w:sz w:val="22"/>
          <w:szCs w:val="22"/>
        </w:rPr>
        <w:t xml:space="preserve">Added cross-links between related notes across both Synodality folders and the ST 01 material.</w:t>
      </w:r>
    </w:p>
    <w:p>
      <w:pPr>
        <w:pStyle w:val="Heading2"/>
        <w:spacing w:after="100" w:before="220"/>
      </w:pPr>
      <w:r>
        <w:rPr>
          <w:b/>
          <w:bCs/>
          <w:color w:val="2E74B5"/>
        </w:rPr>
        <w:t xml:space="preserve">Imported from past Claude work</w:t>
      </w:r>
    </w:p>
    <w:p>
      <w:pPr>
        <w:pStyle w:val="ListParagraph"/>
        <w:numPr>
          <w:ilvl w:val="0"/>
          <w:numId w:val="2"/>
        </w:numPr>
        <w:spacing w:after="60"/>
      </w:pPr>
      <w:r>
        <w:rPr>
          <w:sz w:val="22"/>
          <w:szCs w:val="22"/>
        </w:rPr>
        <w:t xml:space="preserve">Brought in the ST 01 chapter notes on Pathil &amp; Veliath, the six-chapter student-facing Class Notes deliverable, and the Trinity study docx/pdf exports — all filed under their proper course folders and indexed by MOC.</w:t>
      </w:r>
    </w:p>
    <w:p>
      <w:pPr>
        <w:pStyle w:val="Heading2"/>
        <w:spacing w:after="100" w:before="220"/>
      </w:pPr>
      <w:r>
        <w:rPr>
          <w:b/>
          <w:bCs/>
          <w:color w:val="2E74B5"/>
        </w:rPr>
        <w:t xml:space="preserve">Tagging system, templates &amp; version control</w:t>
      </w:r>
    </w:p>
    <w:p>
      <w:pPr>
        <w:pStyle w:val="ListParagraph"/>
        <w:numPr>
          <w:ilvl w:val="0"/>
          <w:numId w:val="2"/>
        </w:numPr>
        <w:spacing w:after="60"/>
      </w:pPr>
      <w:r>
        <w:rPr>
          <w:sz w:val="22"/>
          <w:szCs w:val="22"/>
        </w:rPr>
        <w:t xml:space="preserve">Established a note-type scheme in Tag Taxonomy.md (see Section 3).</w:t>
      </w:r>
    </w:p>
    <w:p>
      <w:pPr>
        <w:pStyle w:val="ListParagraph"/>
        <w:numPr>
          <w:ilvl w:val="0"/>
          <w:numId w:val="2"/>
        </w:numPr>
        <w:spacing w:after="60"/>
      </w:pPr>
      <w:r>
        <w:rPr>
          <w:sz w:val="22"/>
          <w:szCs w:val="22"/>
        </w:rPr>
        <w:t xml:space="preserve">Created templates: Literature Note, Permanent Note, Course Note, Homily, MOC, Daily Note.</w:t>
      </w:r>
    </w:p>
    <w:p>
      <w:pPr>
        <w:pStyle w:val="ListParagraph"/>
        <w:numPr>
          <w:ilvl w:val="0"/>
          <w:numId w:val="2"/>
        </w:numPr>
        <w:spacing w:after="60"/>
      </w:pPr>
      <w:r>
        <w:rPr>
          <w:sz w:val="22"/>
          <w:szCs w:val="22"/>
        </w:rPr>
        <w:t xml:space="preserve">Initialised a Git repository for the vault; markdown notes are versioned while large binaries (PDF/docx/pptx/images) are excluded via .gitignore for speed.</w:t>
      </w:r>
    </w:p>
    <w:p>
      <w:pPr>
        <w:pBdr>
          <w:bottom w:val="single" w:color="BFBFBF" w:sz="6" w:space="2"/>
        </w:pBdr>
        <w:spacing w:after="60" w:before="60"/>
      </w:pPr>
    </w:p>
    <w:p>
      <w:pPr>
        <w:pStyle w:val="Heading2"/>
        <w:spacing w:after="100" w:before="220"/>
      </w:pPr>
      <w:r>
        <w:rPr>
          <w:b/>
          <w:bCs/>
          <w:color w:val="2E74B5"/>
        </w:rPr>
        <w:t xml:space="preserve">Plugin inventory</w:t>
      </w:r>
    </w:p>
    <w:p>
      <w:pPr>
        <w:spacing w:after="120"/>
      </w:pPr>
      <w:r>
        <w:rPr>
          <w:sz w:val="22"/>
          <w:szCs w:val="22"/>
        </w:rPr>
        <w:t xml:space="preserve">The plugins now in place and what each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F3864" w:val="clear"/>
          </w:tcPr>
          <w:p>
            <w:r>
              <w:rPr>
                <w:b/>
                <w:bCs/>
                <w:color w:val="FFFFFF"/>
                <w:sz w:val="20"/>
                <w:szCs w:val="20"/>
              </w:rPr>
              <w:t xml:space="preserve">Plugin</w:t>
            </w:r>
          </w:p>
        </w:tc>
        <w:tc>
          <w:tcPr>
            <w:tcW w:type="dxa" w:w="2400"/>
            <w:shd w:fill="1F3864" w:val="clear"/>
          </w:tcPr>
          <w:p>
            <w:r>
              <w:rPr>
                <w:b/>
                <w:bCs/>
                <w:color w:val="FFFFFF"/>
                <w:sz w:val="20"/>
                <w:szCs w:val="20"/>
              </w:rPr>
              <w:t xml:space="preserve">Status</w:t>
            </w:r>
          </w:p>
        </w:tc>
        <w:tc>
          <w:tcPr>
            <w:tcW w:type="dxa" w:w="4560"/>
            <w:shd w:fill="1F3864" w:val="clear"/>
          </w:tcPr>
          <w:p>
            <w:r>
              <w:rPr>
                <w:b/>
                <w:bCs/>
                <w:color w:val="FFFFFF"/>
                <w:sz w:val="20"/>
                <w:szCs w:val="20"/>
              </w:rPr>
              <w:t xml:space="preserve">What it does</w:t>
            </w:r>
          </w:p>
        </w:tc>
      </w:tr>
      <w:tr>
        <w:tc>
          <w:tcPr>
            <w:tcW w:type="dxa" w:w="2400"/>
            <w:shd w:fill="F2F6FC" w:val="clear"/>
          </w:tcPr>
          <w:p>
            <w:r>
              <w:rPr>
                <w:b/>
                <w:bCs/>
                <w:sz w:val="20"/>
                <w:szCs w:val="20"/>
              </w:rPr>
              <w:t xml:space="preserve">Core: Templates</w:t>
            </w:r>
          </w:p>
        </w:tc>
        <w:tc>
          <w:tcPr>
            <w:tcW w:type="dxa" w:w="2400"/>
            <w:shd w:fill="FFFFFF" w:val="clear"/>
          </w:tcPr>
          <w:p>
            <w:r>
              <w:rPr>
                <w:b w:val="false"/>
                <w:bCs w:val="false"/>
                <w:sz w:val="20"/>
                <w:szCs w:val="20"/>
              </w:rPr>
              <w:t xml:space="preserve">On + configured</w:t>
            </w:r>
          </w:p>
        </w:tc>
        <w:tc>
          <w:tcPr>
            <w:tcW w:type="dxa" w:w="4560"/>
            <w:shd w:fill="FFFFFF" w:val="clear"/>
          </w:tcPr>
          <w:p>
            <w:r>
              <w:rPr>
                <w:b w:val="false"/>
                <w:bCs w:val="false"/>
                <w:sz w:val="20"/>
                <w:szCs w:val="20"/>
              </w:rPr>
              <w:t xml:space="preserve">Note skeletons in Templates/ folder</w:t>
            </w:r>
          </w:p>
        </w:tc>
      </w:tr>
      <w:tr>
        <w:tc>
          <w:tcPr>
            <w:tcW w:type="dxa" w:w="2400"/>
            <w:shd w:fill="F2F6FC" w:val="clear"/>
          </w:tcPr>
          <w:p>
            <w:r>
              <w:rPr>
                <w:b/>
                <w:bCs/>
                <w:sz w:val="20"/>
                <w:szCs w:val="20"/>
              </w:rPr>
              <w:t xml:space="preserve">Core: Daily Notes</w:t>
            </w:r>
          </w:p>
        </w:tc>
        <w:tc>
          <w:tcPr>
            <w:tcW w:type="dxa" w:w="2400"/>
            <w:shd w:fill="FFFFFF" w:val="clear"/>
          </w:tcPr>
          <w:p>
            <w:r>
              <w:rPr>
                <w:b w:val="false"/>
                <w:bCs w:val="false"/>
                <w:sz w:val="20"/>
                <w:szCs w:val="20"/>
              </w:rPr>
              <w:t xml:space="preserve">On + configured</w:t>
            </w:r>
          </w:p>
        </w:tc>
        <w:tc>
          <w:tcPr>
            <w:tcW w:type="dxa" w:w="4560"/>
            <w:shd w:fill="FFFFFF" w:val="clear"/>
          </w:tcPr>
          <w:p>
            <w:r>
              <w:rPr>
                <w:b w:val="false"/>
                <w:bCs w:val="false"/>
                <w:sz w:val="20"/>
                <w:szCs w:val="20"/>
              </w:rPr>
              <w:t xml:space="preserve">Auto-creates dated capture note in Daily Notes/</w:t>
            </w:r>
          </w:p>
        </w:tc>
      </w:tr>
      <w:tr>
        <w:tc>
          <w:tcPr>
            <w:tcW w:type="dxa" w:w="2400"/>
            <w:shd w:fill="F2F6FC" w:val="clear"/>
          </w:tcPr>
          <w:p>
            <w:r>
              <w:rPr>
                <w:b/>
                <w:bCs/>
                <w:sz w:val="20"/>
                <w:szCs w:val="20"/>
              </w:rPr>
              <w:t xml:space="preserve">Dataview</w:t>
            </w:r>
          </w:p>
        </w:tc>
        <w:tc>
          <w:tcPr>
            <w:tcW w:type="dxa" w:w="2400"/>
            <w:shd w:fill="FFFFFF" w:val="clear"/>
          </w:tcPr>
          <w:p>
            <w:r>
              <w:rPr>
                <w:b w:val="false"/>
                <w:bCs w:val="false"/>
                <w:sz w:val="20"/>
                <w:szCs w:val="20"/>
              </w:rPr>
              <w:t xml:space="preserve">Installed (0.5.70)</w:t>
            </w:r>
          </w:p>
        </w:tc>
        <w:tc>
          <w:tcPr>
            <w:tcW w:type="dxa" w:w="4560"/>
            <w:shd w:fill="FFFFFF" w:val="clear"/>
          </w:tcPr>
          <w:p>
            <w:r>
              <w:rPr>
                <w:b w:val="false"/>
                <w:bCs w:val="false"/>
                <w:sz w:val="20"/>
                <w:szCs w:val="20"/>
              </w:rPr>
              <w:t xml:space="preserve">Auto-generated lists from frontmatter (type/status/tags)</w:t>
            </w:r>
          </w:p>
        </w:tc>
      </w:tr>
      <w:tr>
        <w:tc>
          <w:tcPr>
            <w:tcW w:type="dxa" w:w="2400"/>
            <w:shd w:fill="F2F6FC" w:val="clear"/>
          </w:tcPr>
          <w:p>
            <w:r>
              <w:rPr>
                <w:b/>
                <w:bCs/>
                <w:sz w:val="20"/>
                <w:szCs w:val="20"/>
              </w:rPr>
              <w:t xml:space="preserve">PDF++</w:t>
            </w:r>
          </w:p>
        </w:tc>
        <w:tc>
          <w:tcPr>
            <w:tcW w:type="dxa" w:w="2400"/>
            <w:shd w:fill="FFFFFF" w:val="clear"/>
          </w:tcPr>
          <w:p>
            <w:r>
              <w:rPr>
                <w:b w:val="false"/>
                <w:bCs w:val="false"/>
                <w:sz w:val="20"/>
                <w:szCs w:val="20"/>
              </w:rPr>
              <w:t xml:space="preserve">Installed (0.40.31)</w:t>
            </w:r>
          </w:p>
        </w:tc>
        <w:tc>
          <w:tcPr>
            <w:tcW w:type="dxa" w:w="4560"/>
            <w:shd w:fill="FFFFFF" w:val="clear"/>
          </w:tcPr>
          <w:p>
            <w:r>
              <w:rPr>
                <w:b w:val="false"/>
                <w:bCs w:val="false"/>
                <w:sz w:val="20"/>
                <w:szCs w:val="20"/>
              </w:rPr>
              <w:t xml:space="preserve">Highlight PDFs; quotes paste back with page links</w:t>
            </w:r>
          </w:p>
        </w:tc>
      </w:tr>
      <w:tr>
        <w:tc>
          <w:tcPr>
            <w:tcW w:type="dxa" w:w="2400"/>
            <w:shd w:fill="F2F6FC" w:val="clear"/>
          </w:tcPr>
          <w:p>
            <w:r>
              <w:rPr>
                <w:b/>
                <w:bCs/>
                <w:sz w:val="20"/>
                <w:szCs w:val="20"/>
              </w:rPr>
              <w:t xml:space="preserve">Obsidian Git</w:t>
            </w:r>
          </w:p>
        </w:tc>
        <w:tc>
          <w:tcPr>
            <w:tcW w:type="dxa" w:w="2400"/>
            <w:shd w:fill="FFFFFF" w:val="clear"/>
          </w:tcPr>
          <w:p>
            <w:r>
              <w:rPr>
                <w:b w:val="false"/>
                <w:bCs w:val="false"/>
                <w:sz w:val="20"/>
                <w:szCs w:val="20"/>
              </w:rPr>
              <w:t xml:space="preserve">Already present</w:t>
            </w:r>
          </w:p>
        </w:tc>
        <w:tc>
          <w:tcPr>
            <w:tcW w:type="dxa" w:w="4560"/>
            <w:shd w:fill="FFFFFF" w:val="clear"/>
          </w:tcPr>
          <w:p>
            <w:r>
              <w:rPr>
                <w:b w:val="false"/>
                <w:bCs w:val="false"/>
                <w:sz w:val="20"/>
                <w:szCs w:val="20"/>
              </w:rPr>
              <w:t xml:space="preserve">Version-control the vault (repo now initialised)</w:t>
            </w:r>
          </w:p>
        </w:tc>
      </w:tr>
    </w:tbl>
    <w:p>
      <w:pPr>
        <w:spacing w:after="120"/>
      </w:pPr>
    </w:p>
    <w:p>
      <w:r>
        <w:br w:type="page"/>
      </w:r>
    </w:p>
    <w:p>
      <w:pPr>
        <w:pStyle w:val="Heading1"/>
        <w:spacing w:after="140" w:before="320"/>
      </w:pPr>
      <w:r>
        <w:rPr>
          <w:b/>
          <w:bCs/>
          <w:color w:val="1F3864"/>
        </w:rPr>
        <w:t xml:space="preserve">2. The core workflow (capture → process → permanent)</w:t>
      </w:r>
    </w:p>
    <w:p>
      <w:pPr>
        <w:spacing w:after="120"/>
      </w:pPr>
      <w:r>
        <w:rPr>
          <w:sz w:val="22"/>
          <w:szCs w:val="22"/>
        </w:rPr>
        <w:t xml:space="preserve">A second brain is your own thinking, in your own words, linked together. The reference PDFs are raw material, not knowledge, until you distil them. The workflow:</w:t>
      </w:r>
    </w:p>
    <w:p>
      <w:pPr>
        <w:pStyle w:val="ListParagraph"/>
        <w:numPr>
          <w:ilvl w:val="0"/>
          <w:numId w:val="3"/>
        </w:numPr>
        <w:spacing w:after="60"/>
      </w:pPr>
      <w:r>
        <w:rPr>
          <w:sz w:val="22"/>
          <w:szCs w:val="22"/>
        </w:rPr>
        <w:t xml:space="preserve">Capture. Fleeting thoughts, reading snippets, and ideas go into the daily note (Daily Notes/, auto-templated). Do not overthink structure here.</w:t>
      </w:r>
    </w:p>
    <w:p>
      <w:pPr>
        <w:pStyle w:val="ListParagraph"/>
        <w:numPr>
          <w:ilvl w:val="0"/>
          <w:numId w:val="3"/>
        </w:numPr>
        <w:spacing w:after="60"/>
      </w:pPr>
      <w:r>
        <w:rPr>
          <w:sz w:val="22"/>
          <w:szCs w:val="22"/>
        </w:rPr>
        <w:t xml:space="preserve">Literature notes. When you actually read a PDF or book, make ONE literature note: key claims, the best quotes, your own reaction. Go forward from now; do not try to backfill the entire library at once.</w:t>
      </w:r>
    </w:p>
    <w:p>
      <w:pPr>
        <w:pStyle w:val="ListParagraph"/>
        <w:numPr>
          <w:ilvl w:val="0"/>
          <w:numId w:val="3"/>
        </w:numPr>
        <w:spacing w:after="60"/>
      </w:pPr>
      <w:r>
        <w:rPr>
          <w:sz w:val="22"/>
          <w:szCs w:val="22"/>
        </w:rPr>
        <w:t xml:space="preserve">Permanent notes. When an idea recurs across two or more notes, promote it to its own atomic note (one idea per note), densely linked, reusable across courses and homilies.</w:t>
      </w:r>
    </w:p>
    <w:p>
      <w:pPr>
        <w:pStyle w:val="ListParagraph"/>
        <w:numPr>
          <w:ilvl w:val="0"/>
          <w:numId w:val="3"/>
        </w:numPr>
        <w:spacing w:after="60"/>
      </w:pPr>
      <w:r>
        <w:rPr>
          <w:sz w:val="22"/>
          <w:szCs w:val="22"/>
        </w:rPr>
        <w:t xml:space="preserve">MOCs. Keep one hub note per course or major topic that lists and groups everything under it. Update the MOC whenever you add a note.</w:t>
      </w:r>
    </w:p>
    <w:p>
      <w:pPr>
        <w:pStyle w:val="ListParagraph"/>
        <w:numPr>
          <w:ilvl w:val="0"/>
          <w:numId w:val="3"/>
        </w:numPr>
        <w:spacing w:after="60"/>
      </w:pPr>
      <w:r>
        <w:rPr>
          <w:sz w:val="22"/>
          <w:szCs w:val="22"/>
        </w:rPr>
        <w:t xml:space="preserve">Weekly review. Once a week, skim the week’s daily notes; promote what is worth keeping into literature/permanent/course notes. 20 minutes weekly beats a 4-hour rescue every quarter.</w:t>
      </w:r>
    </w:p>
    <w:p>
      <w:pPr>
        <w:pBdr>
          <w:top w:val="single" w:color="D0DEF3" w:sz="4" w:space="4"/>
          <w:bottom w:val="single" w:color="D0DEF3" w:sz="4" w:space="4"/>
          <w:left w:val="single" w:color="2E74B5" w:sz="24" w:space="8"/>
          <w:right w:val="single" w:color="D0DEF3" w:sz="4" w:space="4"/>
        </w:pBdr>
        <w:shd w:fill="EAF1FB" w:val="clear"/>
        <w:spacing w:after="140" w:before="100"/>
      </w:pPr>
      <w:r>
        <w:rPr>
          <w:i/>
          <w:iCs/>
          <w:color w:val="1F3864"/>
          <w:sz w:val="22"/>
          <w:szCs w:val="22"/>
        </w:rPr>
        <w:t xml:space="preserve">The one rule that matters most: your vault is PDF-heavy and note-poor. A PDF sitting unread in a folder is weight, not knowledge. No new source comes in until a note is written on the last one.</w:t>
      </w:r>
    </w:p>
    <w:p>
      <w:pPr>
        <w:pStyle w:val="Heading2"/>
        <w:spacing w:after="100" w:before="220"/>
      </w:pPr>
      <w:r>
        <w:rPr>
          <w:b/>
          <w:bCs/>
          <w:color w:val="2E74B5"/>
        </w:rPr>
        <w:t xml:space="preserve">NotebookLM → Obsidian</w:t>
      </w:r>
    </w:p>
    <w:p>
      <w:pPr>
        <w:spacing w:after="120"/>
      </w:pPr>
      <w:r>
        <w:rPr>
          <w:sz w:val="22"/>
          <w:szCs w:val="22"/>
        </w:rPr>
        <w:t xml:space="preserve">NotebookLM is the reading assistant; Obsidian is the memory. Nothing stays only in NotebookLM — it cannot link, graph, or query your notes.</w:t>
      </w:r>
    </w:p>
    <w:p>
      <w:pPr>
        <w:pStyle w:val="ListParagraph"/>
        <w:numPr>
          <w:ilvl w:val="0"/>
          <w:numId w:val="3"/>
        </w:numPr>
        <w:spacing w:after="60"/>
      </w:pPr>
      <w:r>
        <w:rPr>
          <w:sz w:val="22"/>
          <w:szCs w:val="22"/>
        </w:rPr>
        <w:t xml:space="preserve">One NotebookLM notebook per study project — matched to one vault MOC (e.g. a Lonergan notebook → the Lonergan folder).</w:t>
      </w:r>
    </w:p>
    <w:p>
      <w:pPr>
        <w:pStyle w:val="ListParagraph"/>
        <w:numPr>
          <w:ilvl w:val="0"/>
          <w:numId w:val="3"/>
        </w:numPr>
        <w:spacing w:after="60"/>
      </w:pPr>
      <w:r>
        <w:rPr>
          <w:sz w:val="22"/>
          <w:szCs w:val="22"/>
        </w:rPr>
        <w:t xml:space="preserve">Upload the reference PDFs from the vault as sources; the originals stay in the vault.</w:t>
      </w:r>
    </w:p>
    <w:p>
      <w:pPr>
        <w:pStyle w:val="ListParagraph"/>
        <w:numPr>
          <w:ilvl w:val="0"/>
          <w:numId w:val="3"/>
        </w:numPr>
        <w:spacing w:after="60"/>
      </w:pPr>
      <w:r>
        <w:rPr>
          <w:sz w:val="22"/>
          <w:szCs w:val="22"/>
        </w:rPr>
        <w:t xml:space="preserve">Ask NotebookLM for structured, cited syntheses grounded in those sources.</w:t>
      </w:r>
    </w:p>
    <w:p>
      <w:pPr>
        <w:pStyle w:val="ListParagraph"/>
        <w:numPr>
          <w:ilvl w:val="0"/>
          <w:numId w:val="3"/>
        </w:numPr>
        <w:spacing w:after="60"/>
      </w:pPr>
      <w:r>
        <w:rPr>
          <w:sz w:val="22"/>
          <w:szCs w:val="22"/>
        </w:rPr>
        <w:t xml:space="preserve">Copy each answer into a new note using the Literature Note template; tag it and link it to the project MOC. One synthesis = one note (do not dump many answers into one giant file).</w:t>
      </w:r>
    </w:p>
    <w:p>
      <w:pPr>
        <w:pStyle w:val="Heading2"/>
        <w:spacing w:after="100" w:before="220"/>
      </w:pPr>
      <w:r>
        <w:rPr>
          <w:b/>
          <w:bCs/>
          <w:color w:val="2E74B5"/>
        </w:rPr>
        <w:t xml:space="preserve">PDF++ reading loop</w:t>
      </w:r>
    </w:p>
    <w:p>
      <w:pPr>
        <w:pStyle w:val="ListParagraph"/>
        <w:numPr>
          <w:ilvl w:val="0"/>
          <w:numId w:val="3"/>
        </w:numPr>
        <w:spacing w:after="60"/>
      </w:pPr>
      <w:r>
        <w:rPr>
          <w:sz w:val="22"/>
          <w:szCs w:val="22"/>
        </w:rPr>
        <w:t xml:space="preserve">Open a PDF from a reference library folder inside Obsidian.</w:t>
      </w:r>
    </w:p>
    <w:p>
      <w:pPr>
        <w:pStyle w:val="ListParagraph"/>
        <w:numPr>
          <w:ilvl w:val="0"/>
          <w:numId w:val="3"/>
        </w:numPr>
        <w:spacing w:after="60"/>
      </w:pPr>
      <w:r>
        <w:rPr>
          <w:sz w:val="22"/>
          <w:szCs w:val="22"/>
        </w:rPr>
        <w:t xml:space="preserve">Highlight as you read; use “copy link to selection”.</w:t>
      </w:r>
    </w:p>
    <w:p>
      <w:pPr>
        <w:pStyle w:val="ListParagraph"/>
        <w:numPr>
          <w:ilvl w:val="0"/>
          <w:numId w:val="3"/>
        </w:numPr>
        <w:spacing w:after="60"/>
      </w:pPr>
      <w:r>
        <w:rPr>
          <w:sz w:val="22"/>
          <w:szCs w:val="22"/>
        </w:rPr>
        <w:t xml:space="preserve">Paste the quote (it carries a link back to the exact page) into the “Notable quotes” section of the matching literature note.</w:t>
      </w:r>
    </w:p>
    <w:p>
      <w:pPr>
        <w:pStyle w:val="ListParagraph"/>
        <w:numPr>
          <w:ilvl w:val="0"/>
          <w:numId w:val="3"/>
        </w:numPr>
        <w:spacing w:after="60"/>
      </w:pPr>
      <w:r>
        <w:rPr>
          <w:sz w:val="22"/>
          <w:szCs w:val="22"/>
        </w:rPr>
        <w:t xml:space="preserve">This is what turns “PDF in a folder” into “literature note with real evidence.”</w:t>
      </w:r>
    </w:p>
    <w:p>
      <w:r>
        <w:br w:type="page"/>
      </w:r>
    </w:p>
    <w:p>
      <w:pPr>
        <w:pStyle w:val="Heading1"/>
        <w:spacing w:after="140" w:before="320"/>
      </w:pPr>
      <w:r>
        <w:rPr>
          <w:b/>
          <w:bCs/>
          <w:color w:val="1F3864"/>
        </w:rPr>
        <w:t xml:space="preserve">3. The tagging &amp; note-type system</w:t>
      </w:r>
    </w:p>
    <w:p>
      <w:pPr>
        <w:spacing w:after="120"/>
      </w:pPr>
      <w:r>
        <w:rPr>
          <w:sz w:val="22"/>
          <w:szCs w:val="22"/>
        </w:rPr>
        <w:t xml:space="preserve">Every new note carries a type: field in its frontmatter. Six types, each with a matching template:</w:t>
      </w:r>
    </w:p>
    <w:p>
      <w:pPr>
        <w:pStyle w:val="ListParagraph"/>
        <w:numPr>
          <w:ilvl w:val="0"/>
          <w:numId w:val="2"/>
        </w:numPr>
        <w:spacing w:after="60"/>
      </w:pPr>
      <w:r>
        <w:rPr>
          <w:b/>
          <w:bCs/>
          <w:sz w:val="22"/>
          <w:szCs w:val="22"/>
        </w:rPr>
        <w:t xml:space="preserve">literature-note</w:t>
      </w:r>
      <w:r>
        <w:rPr>
          <w:sz w:val="22"/>
          <w:szCs w:val="22"/>
        </w:rPr>
        <w:t xml:space="preserve"> — one per PDF/book read: claims, quotes, your reaction.</w:t>
      </w:r>
    </w:p>
    <w:p>
      <w:pPr>
        <w:pStyle w:val="ListParagraph"/>
        <w:numPr>
          <w:ilvl w:val="0"/>
          <w:numId w:val="2"/>
        </w:numPr>
        <w:spacing w:after="60"/>
      </w:pPr>
      <w:r>
        <w:rPr>
          <w:b/>
          <w:bCs/>
          <w:sz w:val="22"/>
          <w:szCs w:val="22"/>
        </w:rPr>
        <w:t xml:space="preserve">permanent-note</w:t>
      </w:r>
      <w:r>
        <w:rPr>
          <w:sz w:val="22"/>
          <w:szCs w:val="22"/>
        </w:rPr>
        <w:t xml:space="preserve"> — one atomic idea, reusable, densely linked.</w:t>
      </w:r>
    </w:p>
    <w:p>
      <w:pPr>
        <w:pStyle w:val="ListParagraph"/>
        <w:numPr>
          <w:ilvl w:val="0"/>
          <w:numId w:val="2"/>
        </w:numPr>
        <w:spacing w:after="60"/>
      </w:pPr>
      <w:r>
        <w:rPr>
          <w:b/>
          <w:bCs/>
          <w:sz w:val="22"/>
          <w:szCs w:val="22"/>
        </w:rPr>
        <w:t xml:space="preserve">course-note</w:t>
      </w:r>
      <w:r>
        <w:rPr>
          <w:sz w:val="22"/>
          <w:szCs w:val="22"/>
        </w:rPr>
        <w:t xml:space="preserve"> — class/lecture content for a specific course.</w:t>
      </w:r>
    </w:p>
    <w:p>
      <w:pPr>
        <w:pStyle w:val="ListParagraph"/>
        <w:numPr>
          <w:ilvl w:val="0"/>
          <w:numId w:val="2"/>
        </w:numPr>
        <w:spacing w:after="60"/>
      </w:pPr>
      <w:r>
        <w:rPr>
          <w:b/>
          <w:bCs/>
          <w:sz w:val="22"/>
          <w:szCs w:val="22"/>
        </w:rPr>
        <w:t xml:space="preserve">homily</w:t>
      </w:r>
      <w:r>
        <w:rPr>
          <w:sz w:val="22"/>
          <w:szCs w:val="22"/>
        </w:rPr>
        <w:t xml:space="preserve"> — homilies, recollection talks, formation input.</w:t>
      </w:r>
    </w:p>
    <w:p>
      <w:pPr>
        <w:pStyle w:val="ListParagraph"/>
        <w:numPr>
          <w:ilvl w:val="0"/>
          <w:numId w:val="2"/>
        </w:numPr>
        <w:spacing w:after="60"/>
      </w:pPr>
      <w:r>
        <w:rPr>
          <w:b/>
          <w:bCs/>
          <w:sz w:val="22"/>
          <w:szCs w:val="22"/>
        </w:rPr>
        <w:t xml:space="preserve">moc</w:t>
      </w:r>
      <w:r>
        <w:rPr>
          <w:sz w:val="22"/>
          <w:szCs w:val="22"/>
        </w:rPr>
        <w:t xml:space="preserve"> — hub note linking a topic/project together.</w:t>
      </w:r>
    </w:p>
    <w:p>
      <w:pPr>
        <w:pStyle w:val="ListParagraph"/>
        <w:numPr>
          <w:ilvl w:val="0"/>
          <w:numId w:val="2"/>
        </w:numPr>
        <w:spacing w:after="60"/>
      </w:pPr>
      <w:r>
        <w:rPr>
          <w:b/>
          <w:bCs/>
          <w:sz w:val="22"/>
          <w:szCs w:val="22"/>
        </w:rPr>
        <w:t xml:space="preserve">daily</w:t>
      </w:r>
      <w:r>
        <w:rPr>
          <w:sz w:val="22"/>
          <w:szCs w:val="22"/>
        </w:rPr>
        <w:t xml:space="preserve"> — daily capture/inbox note.</w:t>
      </w:r>
    </w:p>
    <w:p>
      <w:pPr>
        <w:spacing w:after="120"/>
      </w:pPr>
      <w:r>
        <w:rPr>
          <w:sz w:val="22"/>
          <w:szCs w:val="22"/>
        </w:rPr>
        <w:t xml:space="preserve">Also use a status: field (draft / in-progress / final) so you can filter for unprocessed work.</w:t>
      </w:r>
    </w:p>
    <w:p>
      <w:pPr>
        <w:pStyle w:val="Heading2"/>
        <w:spacing w:after="100" w:before="220"/>
      </w:pPr>
      <w:r>
        <w:rPr>
          <w:b/>
          <w:bCs/>
          <w:color w:val="2E74B5"/>
        </w:rPr>
        <w:t xml:space="preserve">Tags</w:t>
      </w:r>
    </w:p>
    <w:p>
      <w:pPr>
        <w:pStyle w:val="ListParagraph"/>
        <w:numPr>
          <w:ilvl w:val="0"/>
          <w:numId w:val="2"/>
        </w:numPr>
        <w:spacing w:after="60"/>
      </w:pPr>
      <w:r>
        <w:rPr>
          <w:sz w:val="22"/>
          <w:szCs w:val="22"/>
        </w:rPr>
        <w:t xml:space="preserve">Topic tags: #trinity, #synodality, #christology, #lonergan, #soares-prabhu, #daniel, #pneumatology — mirror folder names where sensible.</w:t>
      </w:r>
    </w:p>
    <w:p>
      <w:pPr>
        <w:pStyle w:val="ListParagraph"/>
        <w:numPr>
          <w:ilvl w:val="0"/>
          <w:numId w:val="2"/>
        </w:numPr>
        <w:spacing w:after="60"/>
      </w:pPr>
      <w:r>
        <w:rPr>
          <w:sz w:val="22"/>
          <w:szCs w:val="22"/>
        </w:rPr>
        <w:t xml:space="preserve">Course tags: #st01, #synodality-course.</w:t>
      </w:r>
    </w:p>
    <w:p>
      <w:pPr>
        <w:pStyle w:val="ListParagraph"/>
        <w:numPr>
          <w:ilvl w:val="0"/>
          <w:numId w:val="2"/>
        </w:numPr>
        <w:spacing w:after="60"/>
      </w:pPr>
      <w:r>
        <w:rPr>
          <w:sz w:val="22"/>
          <w:szCs w:val="22"/>
        </w:rPr>
        <w:t xml:space="preserve">Keep it light: 1–3 topic tags per note; the links do the rest.</w:t>
      </w:r>
    </w:p>
    <w:p>
      <w:pPr>
        <w:pStyle w:val="Heading2"/>
        <w:spacing w:after="100" w:before="220"/>
      </w:pPr>
      <w:r>
        <w:rPr>
          <w:b/>
          <w:bCs/>
          <w:color w:val="2E74B5"/>
        </w:rPr>
        <w:t xml:space="preserve">Dataview — sample queries (already in Tag Taxonomy.md)</w:t>
      </w:r>
    </w:p>
    <w:p>
      <w:pPr>
        <w:spacing w:after="120"/>
      </w:pPr>
      <w:r>
        <w:rPr>
          <w:sz w:val="22"/>
          <w:szCs w:val="22"/>
        </w:rPr>
        <w:t xml:space="preserve">Everything still in draft (your real to-do list):</w:t>
      </w:r>
    </w:p>
    <w:p>
      <w:pPr>
        <w:shd w:fill="F5F5F5" w:val="clear"/>
        <w:spacing w:after="100"/>
      </w:pPr>
      <w:r>
        <w:rPr>
          <w:rFonts w:ascii="Consolas" w:cs="Consolas" w:eastAsia="Consolas" w:hAnsi="Consolas"/>
          <w:sz w:val="20"/>
          <w:szCs w:val="20"/>
        </w:rPr>
        <w:t xml:space="preserve">TABLE type, tags  WHERE status = "draft"  SORT file.mtime DESC</w:t>
      </w:r>
    </w:p>
    <w:p>
      <w:pPr>
        <w:spacing w:after="120"/>
      </w:pPr>
      <w:r>
        <w:rPr>
          <w:sz w:val="22"/>
          <w:szCs w:val="22"/>
        </w:rPr>
        <w:t xml:space="preserve">All literature notes grouped by topic tag:</w:t>
      </w:r>
    </w:p>
    <w:p>
      <w:pPr>
        <w:shd w:fill="F5F5F5" w:val="clear"/>
        <w:spacing w:after="100"/>
      </w:pPr>
      <w:r>
        <w:rPr>
          <w:rFonts w:ascii="Consolas" w:cs="Consolas" w:eastAsia="Consolas" w:hAnsi="Consolas"/>
          <w:sz w:val="20"/>
          <w:szCs w:val="20"/>
        </w:rPr>
        <w:t xml:space="preserve">TABLE tags, status  WHERE type = "literature-note"  SORT file.name ASC</w:t>
      </w:r>
    </w:p>
    <w:p>
      <w:pPr>
        <w:spacing w:after="120"/>
      </w:pPr>
      <w:r>
        <w:rPr>
          <w:sz w:val="22"/>
          <w:szCs w:val="22"/>
        </w:rPr>
        <w:t xml:space="preserve">Every MOC in the vault:</w:t>
      </w:r>
    </w:p>
    <w:p>
      <w:pPr>
        <w:shd w:fill="F5F5F5" w:val="clear"/>
        <w:spacing w:after="100"/>
      </w:pPr>
      <w:r>
        <w:rPr>
          <w:rFonts w:ascii="Consolas" w:cs="Consolas" w:eastAsia="Consolas" w:hAnsi="Consolas"/>
          <w:sz w:val="20"/>
          <w:szCs w:val="20"/>
        </w:rPr>
        <w:t xml:space="preserve">LIST  WHERE type = "moc"</w:t>
      </w:r>
    </w:p>
    <w:p>
      <w:r>
        <w:br w:type="page"/>
      </w:r>
    </w:p>
    <w:p>
      <w:pPr>
        <w:pStyle w:val="Heading1"/>
        <w:spacing w:after="140" w:before="320"/>
      </w:pPr>
      <w:r>
        <w:rPr>
          <w:b/>
          <w:bCs/>
          <w:color w:val="1F3864"/>
        </w:rPr>
        <w:t xml:space="preserve">4. Guidelines — do &amp; don’t</w:t>
      </w:r>
    </w:p>
    <w:p>
      <w:pPr>
        <w:pStyle w:val="Heading2"/>
        <w:spacing w:after="100" w:before="220"/>
      </w:pPr>
      <w:r>
        <w:rPr>
          <w:b/>
          <w:bCs/>
          <w:color w:val="2E74B5"/>
        </w:rPr>
        <w:t xml:space="preserve">Do</w:t>
      </w:r>
    </w:p>
    <w:p>
      <w:pPr>
        <w:pStyle w:val="ListParagraph"/>
        <w:numPr>
          <w:ilvl w:val="0"/>
          <w:numId w:val="2"/>
        </w:numPr>
        <w:spacing w:after="60"/>
      </w:pPr>
      <w:r>
        <w:rPr>
          <w:sz w:val="22"/>
          <w:szCs w:val="22"/>
        </w:rPr>
        <w:t xml:space="preserve">Write in your own words; that is what makes it a brain, not a filing cabinet.</w:t>
      </w:r>
    </w:p>
    <w:p>
      <w:pPr>
        <w:pStyle w:val="ListParagraph"/>
        <w:numPr>
          <w:ilvl w:val="0"/>
          <w:numId w:val="2"/>
        </w:numPr>
        <w:spacing w:after="60"/>
      </w:pPr>
      <w:r>
        <w:rPr>
          <w:sz w:val="22"/>
          <w:szCs w:val="22"/>
        </w:rPr>
        <w:t xml:space="preserve">Give every new note at least one link (a link to an MOC counts).</w:t>
      </w:r>
    </w:p>
    <w:p>
      <w:pPr>
        <w:pStyle w:val="ListParagraph"/>
        <w:numPr>
          <w:ilvl w:val="0"/>
          <w:numId w:val="2"/>
        </w:numPr>
        <w:spacing w:after="60"/>
      </w:pPr>
      <w:r>
        <w:rPr>
          <w:sz w:val="22"/>
          <w:szCs w:val="22"/>
        </w:rPr>
        <w:t xml:space="preserve">Search before creating — extend an existing note rather than making a parallel one.</w:t>
      </w:r>
    </w:p>
    <w:p>
      <w:pPr>
        <w:pStyle w:val="ListParagraph"/>
        <w:numPr>
          <w:ilvl w:val="0"/>
          <w:numId w:val="2"/>
        </w:numPr>
        <w:spacing w:after="60"/>
      </w:pPr>
      <w:r>
        <w:rPr>
          <w:sz w:val="22"/>
          <w:szCs w:val="22"/>
        </w:rPr>
        <w:t xml:space="preserve">Convert old material to markdown only when you actually reuse it.</w:t>
      </w:r>
    </w:p>
    <w:p>
      <w:pPr>
        <w:pStyle w:val="ListParagraph"/>
        <w:numPr>
          <w:ilvl w:val="0"/>
          <w:numId w:val="2"/>
        </w:numPr>
        <w:spacing w:after="60"/>
      </w:pPr>
      <w:r>
        <w:rPr>
          <w:sz w:val="22"/>
          <w:szCs w:val="22"/>
        </w:rPr>
        <w:t xml:space="preserve">Do the weekly review.</w:t>
      </w:r>
    </w:p>
    <w:p>
      <w:pPr>
        <w:pStyle w:val="Heading2"/>
        <w:spacing w:after="100" w:before="220"/>
      </w:pPr>
      <w:r>
        <w:rPr>
          <w:b/>
          <w:bCs/>
          <w:color w:val="2E74B5"/>
        </w:rPr>
        <w:t xml:space="preserve">Don’t</w:t>
      </w:r>
    </w:p>
    <w:p>
      <w:pPr>
        <w:pStyle w:val="ListParagraph"/>
        <w:numPr>
          <w:ilvl w:val="0"/>
          <w:numId w:val="2"/>
        </w:numPr>
        <w:spacing w:after="60"/>
      </w:pPr>
      <w:r>
        <w:rPr>
          <w:sz w:val="22"/>
          <w:szCs w:val="22"/>
        </w:rPr>
        <w:t xml:space="preserve">Don’t hoard sources without processing them — collecting feels like learning but isn’t.</w:t>
      </w:r>
    </w:p>
    <w:p>
      <w:pPr>
        <w:pStyle w:val="ListParagraph"/>
        <w:numPr>
          <w:ilvl w:val="0"/>
          <w:numId w:val="2"/>
        </w:numPr>
        <w:spacing w:after="60"/>
      </w:pPr>
      <w:r>
        <w:rPr>
          <w:sz w:val="22"/>
          <w:szCs w:val="22"/>
        </w:rPr>
        <w:t xml:space="preserve">Don’t over-organise folders; with links, tags and Dataview, folder location barely matters.</w:t>
      </w:r>
    </w:p>
    <w:p>
      <w:pPr>
        <w:pStyle w:val="ListParagraph"/>
        <w:numPr>
          <w:ilvl w:val="0"/>
          <w:numId w:val="2"/>
        </w:numPr>
        <w:spacing w:after="60"/>
      </w:pPr>
      <w:r>
        <w:rPr>
          <w:sz w:val="22"/>
          <w:szCs w:val="22"/>
        </w:rPr>
        <w:t xml:space="preserve">Don’t treat copy-pasted whole articles as your notes — they are raw material until distilled.</w:t>
      </w:r>
    </w:p>
    <w:p>
      <w:pPr>
        <w:pStyle w:val="ListParagraph"/>
        <w:numPr>
          <w:ilvl w:val="0"/>
          <w:numId w:val="2"/>
        </w:numPr>
        <w:spacing w:after="60"/>
      </w:pPr>
      <w:r>
        <w:rPr>
          <w:sz w:val="22"/>
          <w:szCs w:val="22"/>
        </w:rPr>
        <w:t xml:space="preserve">Don’t keep tinkering with the setup as an escape from writing notes; the foundation is done.</w:t>
      </w:r>
    </w:p>
    <w:p>
      <w:pPr>
        <w:pStyle w:val="ListParagraph"/>
        <w:numPr>
          <w:ilvl w:val="0"/>
          <w:numId w:val="2"/>
        </w:numPr>
        <w:spacing w:after="60"/>
      </w:pPr>
      <w:r>
        <w:rPr>
          <w:sz w:val="22"/>
          <w:szCs w:val="22"/>
        </w:rPr>
        <w:t xml:space="preserve">Don’t leave orphan notes (zero links).</w:t>
      </w:r>
    </w:p>
    <w:p>
      <w:pPr>
        <w:pStyle w:val="ListParagraph"/>
        <w:numPr>
          <w:ilvl w:val="0"/>
          <w:numId w:val="2"/>
        </w:numPr>
        <w:spacing w:after="60"/>
      </w:pPr>
      <w:r>
        <w:rPr>
          <w:sz w:val="22"/>
          <w:szCs w:val="22"/>
        </w:rPr>
        <w:t xml:space="preserve">Don’t duplicate; don’t split one project across parallel folders.</w:t>
      </w:r>
    </w:p>
    <w:p>
      <w:pPr>
        <w:pStyle w:val="ListParagraph"/>
        <w:numPr>
          <w:ilvl w:val="0"/>
          <w:numId w:val="2"/>
        </w:numPr>
        <w:spacing w:after="60"/>
      </w:pPr>
      <w:r>
        <w:rPr>
          <w:sz w:val="22"/>
          <w:szCs w:val="22"/>
        </w:rPr>
        <w:t xml:space="preserve">Don’t skip the weekly review — an unprocessed inbox rots the system within a month.</w:t>
      </w:r>
    </w:p>
    <w:p>
      <w:pPr>
        <w:pStyle w:val="Heading2"/>
        <w:spacing w:after="100" w:before="220"/>
      </w:pPr>
      <w:r>
        <w:rPr>
          <w:b/>
          <w:bCs/>
          <w:color w:val="2E74B5"/>
        </w:rPr>
        <w:t xml:space="preserve">What to do with old PPT &amp; Word notes</w:t>
      </w:r>
    </w:p>
    <w:p>
      <w:pPr>
        <w:pStyle w:val="ListParagraph"/>
        <w:numPr>
          <w:ilvl w:val="0"/>
          <w:numId w:val="3"/>
        </w:numPr>
        <w:spacing w:after="60"/>
      </w:pPr>
      <w:r>
        <w:rPr>
          <w:sz w:val="22"/>
          <w:szCs w:val="22"/>
        </w:rPr>
        <w:t xml:space="preserve">Leave them where they are — they open fine from Obsidian (click opens PowerPoint/Word).</w:t>
      </w:r>
    </w:p>
    <w:p>
      <w:pPr>
        <w:pStyle w:val="ListParagraph"/>
        <w:numPr>
          <w:ilvl w:val="0"/>
          <w:numId w:val="3"/>
        </w:numPr>
        <w:spacing w:after="60"/>
      </w:pPr>
      <w:r>
        <w:rPr>
          <w:sz w:val="22"/>
          <w:szCs w:val="22"/>
        </w:rPr>
        <w:t xml:space="preserve">Index, don’t convert: give each folder that matters an MOC listing its files with one-line descriptions.</w:t>
      </w:r>
    </w:p>
    <w:p>
      <w:pPr>
        <w:pStyle w:val="ListParagraph"/>
        <w:numPr>
          <w:ilvl w:val="0"/>
          <w:numId w:val="3"/>
        </w:numPr>
        <w:spacing w:after="60"/>
      </w:pPr>
      <w:r>
        <w:rPr>
          <w:sz w:val="22"/>
          <w:szCs w:val="22"/>
        </w:rPr>
        <w:t xml:space="preserve">Convert on use, not in advance — the moment you actually reuse a file for teaching, convert THAT one to markdown, tag it, link it.</w:t>
      </w:r>
    </w:p>
    <w:p>
      <w:pPr>
        <w:pStyle w:val="ListParagraph"/>
        <w:numPr>
          <w:ilvl w:val="0"/>
          <w:numId w:val="3"/>
        </w:numPr>
        <w:spacing w:after="60"/>
      </w:pPr>
      <w:r>
        <w:rPr>
          <w:sz w:val="22"/>
          <w:szCs w:val="22"/>
        </w:rPr>
        <w:t xml:space="preserve">Batch-convert only what you will teach this semester (e.g. the active ST 01 pptx/docx).</w:t>
      </w:r>
    </w:p>
    <w:p>
      <w:r>
        <w:br w:type="page"/>
      </w:r>
    </w:p>
    <w:p>
      <w:pPr>
        <w:pStyle w:val="Heading1"/>
        <w:spacing w:after="140" w:before="320"/>
      </w:pPr>
      <w:r>
        <w:rPr>
          <w:b/>
          <w:bCs/>
          <w:color w:val="1F3864"/>
        </w:rPr>
        <w:t xml:space="preserve">5. Learning resources (YouTube)</w:t>
      </w:r>
    </w:p>
    <w:p>
      <w:pPr>
        <w:spacing w:after="120"/>
      </w:pPr>
      <w:r>
        <w:rPr>
          <w:sz w:val="22"/>
          <w:szCs w:val="22"/>
        </w:rPr>
        <w:t xml:space="preserve">All links below were retrieved by live search (real URLs, with view counts), curated to match the exact setup in the vault. Suggested order of watching.</w:t>
      </w:r>
    </w:p>
    <w:p>
      <w:pPr>
        <w:pStyle w:val="Heading2"/>
        <w:spacing w:after="100" w:before="220"/>
      </w:pPr>
      <w:r>
        <w:rPr>
          <w:b/>
          <w:bCs/>
          <w:color w:val="2E74B5"/>
        </w:rPr>
        <w:t xml:space="preserve">A. Obsidian basics &amp; second brain</w:t>
      </w:r>
    </w:p>
    <w:p>
      <w:pPr>
        <w:pStyle w:val="ListParagraph"/>
        <w:numPr>
          <w:ilvl w:val="0"/>
          <w:numId w:val="2"/>
        </w:numPr>
        <w:spacing w:after="80"/>
      </w:pPr>
      <w:hyperlink w:history="1" r:id="rIdet5mo2jyk4uyxw6_jnltn">
        <w:r>
          <w:rPr>
            <w:rStyle w:val="Hyperlink"/>
            <w:b/>
            <w:bCs/>
            <w:sz w:val="22"/>
            <w:szCs w:val="22"/>
          </w:rPr>
          <w:t xml:space="preserve">Give Me 15 Minutes. I’ll Teach You 80% of Obsidian</w:t>
        </w:r>
      </w:hyperlink>
      <w:r>
        <w:rPr>
          <w:color w:val="595959"/>
          <w:sz w:val="22"/>
          <w:szCs w:val="22"/>
        </w:rPr>
        <w:t xml:space="preserve"> — Nick Milo, 15 min, 1.6M views. Best short start.</w:t>
      </w:r>
    </w:p>
    <w:p>
      <w:pPr>
        <w:pStyle w:val="ListParagraph"/>
        <w:numPr>
          <w:ilvl w:val="0"/>
          <w:numId w:val="2"/>
        </w:numPr>
        <w:spacing w:after="80"/>
      </w:pPr>
      <w:hyperlink w:history="1" r:id="rId_ncaipccbbtovxr9vdxff">
        <w:r>
          <w:rPr>
            <w:rStyle w:val="Hyperlink"/>
            <w:b/>
            <w:bCs/>
            <w:sz w:val="22"/>
            <w:szCs w:val="22"/>
          </w:rPr>
          <w:t xml:space="preserve">Obsidian for Beginners: Start HERE</w:t>
        </w:r>
      </w:hyperlink>
      <w:r>
        <w:rPr>
          <w:color w:val="595959"/>
          <w:sz w:val="22"/>
          <w:szCs w:val="22"/>
        </w:rPr>
        <w:t xml:space="preserve"> — Nick Milo, 12 min, 2.4M views.</w:t>
      </w:r>
    </w:p>
    <w:p>
      <w:pPr>
        <w:pStyle w:val="ListParagraph"/>
        <w:numPr>
          <w:ilvl w:val="0"/>
          <w:numId w:val="2"/>
        </w:numPr>
        <w:spacing w:after="80"/>
      </w:pPr>
      <w:hyperlink w:history="1" r:id="rIdijhzhfqbytfgd4furoju3">
        <w:r>
          <w:rPr>
            <w:rStyle w:val="Hyperlink"/>
            <w:b/>
            <w:bCs/>
            <w:sz w:val="22"/>
            <w:szCs w:val="22"/>
          </w:rPr>
          <w:t xml:space="preserve">Hack your brain with Obsidian.md</w:t>
        </w:r>
      </w:hyperlink>
      <w:r>
        <w:rPr>
          <w:color w:val="595959"/>
          <w:sz w:val="22"/>
          <w:szCs w:val="22"/>
        </w:rPr>
        <w:t xml:space="preserve"> — No Boilerplate, 12 min, 2.2M views. Why linking beats folders.</w:t>
      </w:r>
    </w:p>
    <w:p>
      <w:pPr>
        <w:pStyle w:val="ListParagraph"/>
        <w:numPr>
          <w:ilvl w:val="0"/>
          <w:numId w:val="2"/>
        </w:numPr>
        <w:spacing w:after="80"/>
      </w:pPr>
      <w:hyperlink w:history="1" r:id="rId8zlp-a-bdttyv5pozpscc">
        <w:r>
          <w:rPr>
            <w:rStyle w:val="Hyperlink"/>
            <w:b/>
            <w:bCs/>
            <w:sz w:val="22"/>
            <w:szCs w:val="22"/>
          </w:rPr>
          <w:t xml:space="preserve">Obsidian As A Second Brain: The ULTIMATE Tutorial</w:t>
        </w:r>
      </w:hyperlink>
      <w:r>
        <w:rPr>
          <w:color w:val="595959"/>
          <w:sz w:val="22"/>
          <w:szCs w:val="22"/>
        </w:rPr>
        <w:t xml:space="preserve"> — Dabi, 2 hrs, 1.3M views. Deep dive when ready.</w:t>
      </w:r>
    </w:p>
    <w:p>
      <w:pPr>
        <w:pStyle w:val="Heading2"/>
        <w:spacing w:after="100" w:before="220"/>
      </w:pPr>
      <w:r>
        <w:rPr>
          <w:b/>
          <w:bCs/>
          <w:color w:val="2E74B5"/>
        </w:rPr>
        <w:t xml:space="preserve">B. Zettelkasten workflow (literature → permanent notes)</w:t>
      </w:r>
    </w:p>
    <w:p>
      <w:pPr>
        <w:pStyle w:val="ListParagraph"/>
        <w:numPr>
          <w:ilvl w:val="0"/>
          <w:numId w:val="2"/>
        </w:numPr>
        <w:spacing w:after="80"/>
      </w:pPr>
      <w:hyperlink w:history="1" r:id="rIdmdqubyansz81zlugmm_de">
        <w:r>
          <w:rPr>
            <w:rStyle w:val="Hyperlink"/>
            <w:b/>
            <w:bCs/>
            <w:sz w:val="22"/>
            <w:szCs w:val="22"/>
          </w:rPr>
          <w:t xml:space="preserve">Zettelkasten Note-Taking Method: Simply Explained</w:t>
        </w:r>
      </w:hyperlink>
      <w:r>
        <w:rPr>
          <w:color w:val="595959"/>
          <w:sz w:val="22"/>
          <w:szCs w:val="22"/>
        </w:rPr>
        <w:t xml:space="preserve"> — Shu Omi, 5 min, 572K views. The concept in 5 minutes.</w:t>
      </w:r>
    </w:p>
    <w:p>
      <w:pPr>
        <w:pStyle w:val="ListParagraph"/>
        <w:numPr>
          <w:ilvl w:val="0"/>
          <w:numId w:val="2"/>
        </w:numPr>
        <w:spacing w:after="80"/>
      </w:pPr>
      <w:hyperlink w:history="1" r:id="rId1skwmdydxsqsqaivy0ebz">
        <w:r>
          <w:rPr>
            <w:rStyle w:val="Hyperlink"/>
            <w:b/>
            <w:bCs/>
            <w:sz w:val="22"/>
            <w:szCs w:val="22"/>
          </w:rPr>
          <w:t xml:space="preserve">Zettelkasten Smart Notes: Step by Step with Obsidian</w:t>
        </w:r>
      </w:hyperlink>
      <w:r>
        <w:rPr>
          <w:color w:val="595959"/>
          <w:sz w:val="22"/>
          <w:szCs w:val="22"/>
        </w:rPr>
        <w:t xml:space="preserve"> — Martin Adams, 19 min, 527K views. Exactly the literature→permanent pipeline.</w:t>
      </w:r>
    </w:p>
    <w:p>
      <w:pPr>
        <w:pStyle w:val="ListParagraph"/>
        <w:numPr>
          <w:ilvl w:val="0"/>
          <w:numId w:val="2"/>
        </w:numPr>
        <w:spacing w:after="80"/>
      </w:pPr>
      <w:hyperlink w:history="1" r:id="rIdon8lflurwhzr5fm-imjku">
        <w:r>
          <w:rPr>
            <w:rStyle w:val="Hyperlink"/>
            <w:b/>
            <w:bCs/>
            <w:sz w:val="22"/>
            <w:szCs w:val="22"/>
          </w:rPr>
          <w:t xml:space="preserve">My FULL Obsidian Zettelkasten Workflow in 10 minutes</w:t>
        </w:r>
      </w:hyperlink>
      <w:r>
        <w:rPr>
          <w:color w:val="595959"/>
          <w:sz w:val="22"/>
          <w:szCs w:val="22"/>
        </w:rPr>
        <w:t xml:space="preserve"> — FromSergio, 10 min, 357K views.</w:t>
      </w:r>
    </w:p>
    <w:p>
      <w:pPr>
        <w:pStyle w:val="Heading2"/>
        <w:spacing w:after="100" w:before="220"/>
      </w:pPr>
      <w:r>
        <w:rPr>
          <w:b/>
          <w:bCs/>
          <w:color w:val="2E74B5"/>
        </w:rPr>
        <w:t xml:space="preserve">C. Dataview (installed in the vault)</w:t>
      </w:r>
    </w:p>
    <w:p>
      <w:pPr>
        <w:pStyle w:val="ListParagraph"/>
        <w:numPr>
          <w:ilvl w:val="0"/>
          <w:numId w:val="2"/>
        </w:numPr>
        <w:spacing w:after="80"/>
      </w:pPr>
      <w:hyperlink w:history="1" r:id="rIdwnwluqnyzzqrwhw3flmzx">
        <w:r>
          <w:rPr>
            <w:rStyle w:val="Hyperlink"/>
            <w:b/>
            <w:bCs/>
            <w:sz w:val="22"/>
            <w:szCs w:val="22"/>
          </w:rPr>
          <w:t xml:space="preserve">How to use the Obsidian Dataview plugin</w:t>
        </w:r>
      </w:hyperlink>
      <w:r>
        <w:rPr>
          <w:color w:val="595959"/>
          <w:sz w:val="22"/>
          <w:szCs w:val="22"/>
        </w:rPr>
        <w:t xml:space="preserve"> — Nicole van der Hoeven, 16 min, 274K views. Best intro.</w:t>
      </w:r>
    </w:p>
    <w:p>
      <w:pPr>
        <w:pStyle w:val="ListParagraph"/>
        <w:numPr>
          <w:ilvl w:val="0"/>
          <w:numId w:val="2"/>
        </w:numPr>
        <w:spacing w:after="80"/>
      </w:pPr>
      <w:hyperlink w:history="1" r:id="rId7-9_5g31dsmlcqvryy8fk">
        <w:r>
          <w:rPr>
            <w:rStyle w:val="Hyperlink"/>
            <w:b/>
            <w:bCs/>
            <w:sz w:val="22"/>
            <w:szCs w:val="22"/>
          </w:rPr>
          <w:t xml:space="preserve">Automate Your Vault With Dataview</w:t>
        </w:r>
      </w:hyperlink>
      <w:r>
        <w:rPr>
          <w:color w:val="595959"/>
          <w:sz w:val="22"/>
          <w:szCs w:val="22"/>
        </w:rPr>
        <w:t xml:space="preserve"> — FromSergio, 22 min, 244K views.</w:t>
      </w:r>
    </w:p>
    <w:p>
      <w:pPr>
        <w:pStyle w:val="Heading2"/>
        <w:spacing w:after="100" w:before="220"/>
      </w:pPr>
      <w:r>
        <w:rPr>
          <w:b/>
          <w:bCs/>
          <w:color w:val="2E74B5"/>
        </w:rPr>
        <w:t xml:space="preserve">D. PDF++ (installed — for the PDF libraries)</w:t>
      </w:r>
    </w:p>
    <w:p>
      <w:pPr>
        <w:pStyle w:val="ListParagraph"/>
        <w:numPr>
          <w:ilvl w:val="0"/>
          <w:numId w:val="2"/>
        </w:numPr>
        <w:spacing w:after="80"/>
      </w:pPr>
      <w:hyperlink w:history="1" r:id="rIdffssrv4pb0d6fwmtptg_p">
        <w:r>
          <w:rPr>
            <w:rStyle w:val="Hyperlink"/>
            <w:b/>
            <w:bCs/>
            <w:sz w:val="22"/>
            <w:szCs w:val="22"/>
          </w:rPr>
          <w:t xml:space="preserve">PDF++: The Best PDF Plugin For Obsidian</w:t>
        </w:r>
      </w:hyperlink>
      <w:r>
        <w:rPr>
          <w:color w:val="595959"/>
          <w:sz w:val="22"/>
          <w:szCs w:val="22"/>
        </w:rPr>
        <w:t xml:space="preserve"> — Prakash Joshi Pax, 15 min, 70K views. The exact plugin in the vault.</w:t>
      </w:r>
    </w:p>
    <w:p>
      <w:pPr>
        <w:pStyle w:val="ListParagraph"/>
        <w:numPr>
          <w:ilvl w:val="0"/>
          <w:numId w:val="2"/>
        </w:numPr>
        <w:spacing w:after="80"/>
      </w:pPr>
      <w:hyperlink w:history="1" r:id="rIddgsmalhxuyz-tqwdu5wxo">
        <w:r>
          <w:rPr>
            <w:rStyle w:val="Hyperlink"/>
            <w:b/>
            <w:bCs/>
            <w:sz w:val="22"/>
            <w:szCs w:val="22"/>
          </w:rPr>
          <w:t xml:space="preserve">Quick Obsidian Setup for Reading Research Papers</w:t>
        </w:r>
      </w:hyperlink>
      <w:r>
        <w:rPr>
          <w:color w:val="595959"/>
          <w:sz w:val="22"/>
          <w:szCs w:val="22"/>
        </w:rPr>
        <w:t xml:space="preserve"> — Akshit Sinha, 4 min, 24K views. Academic reading workflow.</w:t>
      </w:r>
    </w:p>
    <w:p>
      <w:pPr>
        <w:pStyle w:val="Heading2"/>
        <w:spacing w:after="100" w:before="220"/>
      </w:pPr>
      <w:r>
        <w:rPr>
          <w:b/>
          <w:bCs/>
          <w:color w:val="2E74B5"/>
        </w:rPr>
        <w:t xml:space="preserve">E. NotebookLM + Obsidian</w:t>
      </w:r>
    </w:p>
    <w:p>
      <w:pPr>
        <w:pStyle w:val="ListParagraph"/>
        <w:numPr>
          <w:ilvl w:val="0"/>
          <w:numId w:val="2"/>
        </w:numPr>
        <w:spacing w:after="80"/>
      </w:pPr>
      <w:hyperlink w:history="1" r:id="rIdzspdfoi_fohtflklps6wj">
        <w:r>
          <w:rPr>
            <w:rStyle w:val="Hyperlink"/>
            <w:b/>
            <w:bCs/>
            <w:sz w:val="22"/>
            <w:szCs w:val="22"/>
          </w:rPr>
          <w:t xml:space="preserve">Give Me 13 Minutes. I’ll Teach You 80% of NotebookLM</w:t>
        </w:r>
      </w:hyperlink>
      <w:r>
        <w:rPr>
          <w:color w:val="595959"/>
          <w:sz w:val="22"/>
          <w:szCs w:val="22"/>
        </w:rPr>
        <w:t xml:space="preserve"> — Nick Milo, 13 min, 166K views.</w:t>
      </w:r>
    </w:p>
    <w:p>
      <w:pPr>
        <w:pStyle w:val="ListParagraph"/>
        <w:numPr>
          <w:ilvl w:val="0"/>
          <w:numId w:val="2"/>
        </w:numPr>
        <w:spacing w:after="80"/>
      </w:pPr>
      <w:hyperlink w:history="1" r:id="rIdmb_pwui1zasby_oor6l-s">
        <w:r>
          <w:rPr>
            <w:rStyle w:val="Hyperlink"/>
            <w:b/>
            <w:bCs/>
            <w:sz w:val="22"/>
            <w:szCs w:val="22"/>
          </w:rPr>
          <w:t xml:space="preserve">Learn 80% of NotebookLM in Under 13 Minutes</w:t>
        </w:r>
      </w:hyperlink>
      <w:r>
        <w:rPr>
          <w:color w:val="595959"/>
          <w:sz w:val="22"/>
          <w:szCs w:val="22"/>
        </w:rPr>
        <w:t xml:space="preserve"> — Jeff Su, 13 min, 1.7M views.</w:t>
      </w:r>
    </w:p>
    <w:p>
      <w:pPr>
        <w:pStyle w:val="ListParagraph"/>
        <w:numPr>
          <w:ilvl w:val="0"/>
          <w:numId w:val="2"/>
        </w:numPr>
        <w:spacing w:after="80"/>
      </w:pPr>
      <w:hyperlink w:history="1" r:id="rIdjbgvrqzbcs5n9ytzrpi8c">
        <w:r>
          <w:rPr>
            <w:rStyle w:val="Hyperlink"/>
            <w:b/>
            <w:bCs/>
            <w:sz w:val="22"/>
            <w:szCs w:val="22"/>
          </w:rPr>
          <w:t xml:space="preserve">Claude Code + NotebookLM + Obsidian = GOD MODE</w:t>
        </w:r>
      </w:hyperlink>
      <w:r>
        <w:rPr>
          <w:color w:val="595959"/>
          <w:sz w:val="22"/>
          <w:szCs w:val="22"/>
        </w:rPr>
        <w:t xml:space="preserve"> — Chase AI, 15 min, 115K views. Literally this three-tool setup.</w:t>
      </w:r>
    </w:p>
    <w:p>
      <w:pPr>
        <w:pBdr>
          <w:top w:val="single" w:color="D0DEF3" w:sz="4" w:space="4"/>
          <w:bottom w:val="single" w:color="D0DEF3" w:sz="4" w:space="4"/>
          <w:left w:val="single" w:color="2E74B5" w:sz="24" w:space="8"/>
          <w:right w:val="single" w:color="D0DEF3" w:sz="4" w:space="4"/>
        </w:pBdr>
        <w:shd w:fill="EAF1FB" w:val="clear"/>
        <w:spacing w:after="140" w:before="100"/>
      </w:pPr>
      <w:r>
        <w:rPr>
          <w:i/>
          <w:iCs/>
          <w:color w:val="1F3864"/>
          <w:sz w:val="22"/>
          <w:szCs w:val="22"/>
        </w:rPr>
        <w:t xml:space="preserve">Minimum path if time is short: A (Nick Milo 15-min) → B (Martin Adams) → D (PDF++) → E (Nick Milo NotebookLM). About one hour, covers the whole workflow.</w:t>
      </w:r>
    </w:p>
    <w:p>
      <w:r>
        <w:br w:type="page"/>
      </w:r>
    </w:p>
    <w:p>
      <w:pPr>
        <w:pStyle w:val="Heading1"/>
        <w:spacing w:after="140" w:before="320"/>
      </w:pPr>
      <w:r>
        <w:rPr>
          <w:b/>
          <w:bCs/>
          <w:color w:val="1F3864"/>
        </w:rPr>
        <w:t xml:space="preserve">6. Suggested next actions</w:t>
      </w:r>
    </w:p>
    <w:p>
      <w:pPr>
        <w:pStyle w:val="ListParagraph"/>
        <w:numPr>
          <w:ilvl w:val="0"/>
          <w:numId w:val="3"/>
        </w:numPr>
        <w:spacing w:after="60"/>
      </w:pPr>
      <w:r>
        <w:rPr>
          <w:sz w:val="22"/>
          <w:szCs w:val="22"/>
        </w:rPr>
        <w:t xml:space="preserve">Watch the four-video minimum path above (about one hour).</w:t>
      </w:r>
    </w:p>
    <w:p>
      <w:pPr>
        <w:pStyle w:val="ListParagraph"/>
        <w:numPr>
          <w:ilvl w:val="0"/>
          <w:numId w:val="3"/>
        </w:numPr>
        <w:spacing w:after="60"/>
      </w:pPr>
      <w:r>
        <w:rPr>
          <w:sz w:val="22"/>
          <w:szCs w:val="22"/>
        </w:rPr>
        <w:t xml:space="preserve">Start ONE literature note the next time you read a PDF, using the template — this is the habit that makes the vault a second brain.</w:t>
      </w:r>
    </w:p>
    <w:p>
      <w:pPr>
        <w:pStyle w:val="ListParagraph"/>
        <w:numPr>
          <w:ilvl w:val="0"/>
          <w:numId w:val="3"/>
        </w:numPr>
        <w:spacing w:after="60"/>
      </w:pPr>
      <w:r>
        <w:rPr>
          <w:sz w:val="22"/>
          <w:szCs w:val="22"/>
        </w:rPr>
        <w:t xml:space="preserve">Pick one study project (Lonergan is the obvious candidate: 34 PDFs, zero notes) and build a NotebookLM notebook for it.</w:t>
      </w:r>
    </w:p>
    <w:p>
      <w:pPr>
        <w:pStyle w:val="ListParagraph"/>
        <w:numPr>
          <w:ilvl w:val="0"/>
          <w:numId w:val="3"/>
        </w:numPr>
        <w:spacing w:after="60"/>
      </w:pPr>
      <w:r>
        <w:rPr>
          <w:sz w:val="22"/>
          <w:szCs w:val="22"/>
        </w:rPr>
        <w:t xml:space="preserve">Batch-convert only the active ST 01 pptx/docx to markdown so this semester’s teaching material is searchable and linkable.</w:t>
      </w:r>
    </w:p>
    <w:p>
      <w:pPr>
        <w:pStyle w:val="ListParagraph"/>
        <w:numPr>
          <w:ilvl w:val="0"/>
          <w:numId w:val="3"/>
        </w:numPr>
        <w:spacing w:after="60"/>
      </w:pPr>
      <w:r>
        <w:rPr>
          <w:sz w:val="22"/>
          <w:szCs w:val="22"/>
        </w:rPr>
        <w:t xml:space="preserve">Do a 20-minute weekly review every week.</w:t>
      </w:r>
    </w:p>
    <w:p>
      <w:pPr>
        <w:spacing w:before="300"/>
        <w:jc w:val="center"/>
      </w:pPr>
      <w:r>
        <w:rPr>
          <w:i/>
          <w:iCs/>
          <w:color w:val="595959"/>
          <w:sz w:val="20"/>
          <w:szCs w:val="20"/>
        </w:rPr>
        <w:t xml:space="preserve">— End of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DefaultParagraphFont"/>
    <w:rPr>
      <w:color w:val="2E74B5"/>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t5mo2jyk4uyxw6_jnltn" Type="http://schemas.openxmlformats.org/officeDocument/2006/relationships/hyperlink" Target="https://www.youtube.com/watch?v=z4AbijUCoKU" TargetMode="External"/><Relationship Id="rId_ncaipccbbtovxr9vdxff" Type="http://schemas.openxmlformats.org/officeDocument/2006/relationships/hyperlink" Target="https://www.youtube.com/watch?v=QgbLb6QCK88" TargetMode="External"/><Relationship Id="rIdijhzhfqbytfgd4furoju3" Type="http://schemas.openxmlformats.org/officeDocument/2006/relationships/hyperlink" Target="https://www.youtube.com/watch?v=DbsAQSIKQXk" TargetMode="External"/><Relationship Id="rId8zlp-a-bdttyv5pozpscc" Type="http://schemas.openxmlformats.org/officeDocument/2006/relationships/hyperlink" Target="https://www.youtube.com/watch?v=WqKluXIra70" TargetMode="External"/><Relationship Id="rIdmdqubyansz81zlugmm_de" Type="http://schemas.openxmlformats.org/officeDocument/2006/relationships/hyperlink" Target="https://www.youtube.com/watch?v=rOSZOCoqOo8" TargetMode="External"/><Relationship Id="rId1skwmdydxsqsqaivy0ebz" Type="http://schemas.openxmlformats.org/officeDocument/2006/relationships/hyperlink" Target="https://www.youtube.com/watch?v=ziE6UExsOrs" TargetMode="External"/><Relationship Id="rIdon8lflurwhzr5fm-imjku" Type="http://schemas.openxmlformats.org/officeDocument/2006/relationships/hyperlink" Target="https://www.youtube.com/watch?v=GRA_fwbdrtc" TargetMode="External"/><Relationship Id="rIdwnwluqnyzzqrwhw3flmzx" Type="http://schemas.openxmlformats.org/officeDocument/2006/relationships/hyperlink" Target="https://www.youtube.com/watch?v=JTObSymEvWA" TargetMode="External"/><Relationship Id="rId7-9_5g31dsmlcqvryy8fk" Type="http://schemas.openxmlformats.org/officeDocument/2006/relationships/hyperlink" Target="https://www.youtube.com/watch?v=8yjNuiSBSAM" TargetMode="External"/><Relationship Id="rIdffssrv4pb0d6fwmtptg_p" Type="http://schemas.openxmlformats.org/officeDocument/2006/relationships/hyperlink" Target="https://www.youtube.com/watch?v=4dU6WXULSqg" TargetMode="External"/><Relationship Id="rIddgsmalhxuyz-tqwdu5wxo" Type="http://schemas.openxmlformats.org/officeDocument/2006/relationships/hyperlink" Target="https://www.youtube.com/watch?v=l2gVrIhhNOI" TargetMode="External"/><Relationship Id="rIdzspdfoi_fohtflklps6wj" Type="http://schemas.openxmlformats.org/officeDocument/2006/relationships/hyperlink" Target="https://www.youtube.com/watch?v=646GdYl2nKs" TargetMode="External"/><Relationship Id="rIdmb_pwui1zasby_oor6l-s" Type="http://schemas.openxmlformats.org/officeDocument/2006/relationships/hyperlink" Target="https://www.youtube.com/watch?v=EOmgC3-hznM" TargetMode="External"/><Relationship Id="rIdjbgvrqzbcs5n9ytzrpi8c" Type="http://schemas.openxmlformats.org/officeDocument/2006/relationships/hyperlink" Target="https://www.youtube.com/watch?v=kU3qYQ7ACMA"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Obsidian Second Brain — Setup, Workflow &amp; Resources</dc:title>
  <dc:creator>Willy (Rev. Prof. William Anthony, MSFS)</dc:creator>
  <cp:lastModifiedBy>Un-named</cp:lastModifiedBy>
  <cp:revision>1</cp:revision>
  <dcterms:created xsi:type="dcterms:W3CDTF">2026-07-19T05:38:37.554Z</dcterms:created>
  <dcterms:modified xsi:type="dcterms:W3CDTF">2026-07-19T05:38:37.556Z</dcterms:modified>
</cp:coreProperties>
</file>

<file path=docProps/custom.xml><?xml version="1.0" encoding="utf-8"?>
<Properties xmlns="http://schemas.openxmlformats.org/officeDocument/2006/custom-properties" xmlns:vt="http://schemas.openxmlformats.org/officeDocument/2006/docPropsVTypes"/>
</file>