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40"/>
          <w:szCs w:val="40"/>
        </w:rPr>
        <w:t xml:space="preserve">THEOLOGY OF SYNODALITY</w:t>
      </w:r>
    </w:p>
    <w:p>
      <w:pPr>
        <w:spacing w:after="80" w:before="0"/>
        <w:jc w:val="center"/>
      </w:pPr>
      <w:r>
        <w:rPr>
          <w:b w:val="false"/>
          <w:bCs w:val="false"/>
          <w:sz w:val="26"/>
          <w:szCs w:val="26"/>
        </w:rPr>
        <w:t xml:space="preserve">Lecture Notes for the Bachelor of Theology</w:t>
      </w:r>
    </w:p>
    <w:p>
      <w:pPr>
        <w:spacing w:after="80" w:before="0"/>
        <w:jc w:val="center"/>
      </w:pPr>
      <w:r>
        <w:rPr>
          <w:b w:val="false"/>
          <w:bCs w:val="false"/>
          <w:sz w:val="26"/>
          <w:szCs w:val="26"/>
        </w:rPr>
        <w:t xml:space="preserve">Teacher Edition</w:t>
      </w:r>
    </w:p>
    <w:p>
      <w:pPr>
        <w:spacing w:after="400" w:before="0"/>
        <w:jc w:val="center"/>
      </w:pPr>
      <w:r>
        <w:rPr>
          <w:b/>
          <w:bCs/>
          <w:sz w:val="26"/>
          <w:szCs w:val="26"/>
        </w:rPr>
        <w:t xml:space="preserve">Part 1: Classes 1 to 3 of 15</w:t>
      </w:r>
    </w:p>
    <w:p>
      <w:pPr>
        <w:spacing w:after="80" w:before="0"/>
        <w:jc w:val="center"/>
      </w:pPr>
      <w:r>
        <w:rPr>
          <w:b w:val="false"/>
          <w:bCs w:val="false"/>
          <w:sz w:val="24"/>
          <w:szCs w:val="24"/>
        </w:rPr>
        <w:t xml:space="preserve">Morning Star Regional Seminary, Barrackpore</w:t>
      </w:r>
    </w:p>
    <w:p>
      <w:pPr>
        <w:spacing w:after="400" w:before="0"/>
        <w:jc w:val="center"/>
      </w:pPr>
      <w:r>
        <w:rPr>
          <w:b w:val="false"/>
          <w:bCs w:val="false"/>
          <w:sz w:val="24"/>
          <w:szCs w:val="24"/>
        </w:rPr>
        <w:t xml:space="preserve">Rev. Prof. William Anthony, MSFS</w:t>
      </w:r>
    </w:p>
    <w:p>
      <w:pPr>
        <w:spacing w:after="200" w:before="0"/>
        <w:jc w:val="center"/>
      </w:pPr>
      <w:r>
        <w:rPr>
          <w:b w:val="false"/>
          <w:bCs w:val="false"/>
          <w:sz w:val="24"/>
          <w:szCs w:val="24"/>
        </w:rPr>
        <w:t xml:space="preserve">Course thread: Communion, Participation, Mission</w:t>
      </w:r>
    </w:p>
    <w:p>
      <w:pPr>
        <w:pStyle w:val="Heading2"/>
        <w:spacing w:after="120" w:before="220"/>
      </w:pPr>
      <w:r>
        <w:t xml:space="preserve">How to Use These Notes</w:t>
      </w:r>
    </w:p>
    <w:p>
      <w:pPr>
        <w:spacing w:after="120"/>
      </w:pPr>
      <w:r>
        <w:t xml:space="preserve">These notes carry the full teaching text of the course, class by class, in the order of the approved outline. Each class is written to fill 45 minutes: about five minutes to open and recapitulate, thirty minutes of exposition, and the final ten minutes on the discussion questions, which are deliberately Indian in their footing. The thread of the whole course is the synodal triad of communion, participation, and mission, and every class returns to it.</w:t>
      </w:r>
    </w:p>
    <w:p>
      <w:pPr>
        <w:spacing w:after="120"/>
      </w:pPr>
      <w:r>
        <w:t xml:space="preserve">Four kinds of coloured boxes punctuate the text. Gold classroom cues are for the teacher alone and give timing, board work, and assignments. Green boxes ground each class in concrete Indian realities. Blue boxes give worked examples for the classroom. Purple boxes flag places where current scholarship diverges from older textbook presentations, so that the teacher can answer sharp questions with confidence.</w:t>
      </w:r>
    </w:p>
    <w:p>
      <w:pPr>
        <w:spacing w:after="120"/>
      </w:pPr>
      <w:r>
        <w:t xml:space="preserve">Part 1 carries Classes 1 to 3, covering Module 1 and the first half of Module 2. Later parts follow in the same style until all fifteen classes are in hand, each part closing with its own bibliography in Turabian form. Scripture is quoted from the Revised Standard Version, Second Catholic Edition.</w:t>
      </w:r>
    </w:p>
    <w:p>
      <w:pPr>
        <w:pStyle w:val="Heading2"/>
        <w:spacing w:after="120" w:before="220"/>
      </w:pPr>
      <w:r>
        <w:t xml:space="preserve">The Course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500"/>
      </w:tblGrid>
      <w:tr>
        <w:tc>
          <w:tcPr>
            <w:tcW w:type="dxa" w:w="900"/>
            <w:tcBorders>
              <w:top w:val="single" w:color="8A8A8A" w:sz="4"/>
              <w:left w:val="single" w:color="8A8A8A" w:sz="4"/>
              <w:bottom w:val="single" w:color="8A8A8A" w:sz="4"/>
              <w:right w:val="single" w:color="8A8A8A" w:sz="4"/>
            </w:tcBorders>
            <w:shd w:fill="EDEAE3" w:val="clear"/>
            <w:tcMar>
              <w:top w:type="dxa" w:w="60"/>
              <w:left w:type="dxa" w:w="100"/>
              <w:bottom w:type="dxa" w:w="60"/>
              <w:right w:type="dxa" w:w="100"/>
            </w:tcMar>
          </w:tcPr>
          <w:p>
            <w:r>
              <w:rPr>
                <w:b/>
                <w:bCs/>
              </w:rPr>
              <w:t xml:space="preserve">Class</w:t>
            </w:r>
          </w:p>
        </w:tc>
        <w:tc>
          <w:tcPr>
            <w:tcW w:type="dxa" w:w="1600"/>
            <w:tcBorders>
              <w:top w:val="single" w:color="8A8A8A" w:sz="4"/>
              <w:left w:val="single" w:color="8A8A8A" w:sz="4"/>
              <w:bottom w:val="single" w:color="8A8A8A" w:sz="4"/>
              <w:right w:val="single" w:color="8A8A8A" w:sz="4"/>
            </w:tcBorders>
            <w:shd w:fill="EDEAE3" w:val="clear"/>
            <w:tcMar>
              <w:top w:type="dxa" w:w="60"/>
              <w:left w:type="dxa" w:w="100"/>
              <w:bottom w:type="dxa" w:w="60"/>
              <w:right w:type="dxa" w:w="100"/>
            </w:tcMar>
          </w:tcPr>
          <w:p>
            <w:r>
              <w:rPr>
                <w:b/>
                <w:bCs/>
              </w:rPr>
              <w:t xml:space="preserve">Module</w:t>
            </w:r>
          </w:p>
        </w:tc>
        <w:tc>
          <w:tcPr>
            <w:tcW w:type="dxa" w:w="6500"/>
            <w:tcBorders>
              <w:top w:val="single" w:color="8A8A8A" w:sz="4"/>
              <w:left w:val="single" w:color="8A8A8A" w:sz="4"/>
              <w:bottom w:val="single" w:color="8A8A8A" w:sz="4"/>
              <w:right w:val="single" w:color="8A8A8A" w:sz="4"/>
            </w:tcBorders>
            <w:shd w:fill="EDEAE3" w:val="clear"/>
            <w:tcMar>
              <w:top w:type="dxa" w:w="60"/>
              <w:left w:type="dxa" w:w="100"/>
              <w:bottom w:type="dxa" w:w="60"/>
              <w:right w:type="dxa" w:w="100"/>
            </w:tcMar>
          </w:tcPr>
          <w:p>
            <w:r>
              <w:rPr>
                <w:b/>
                <w:bCs/>
              </w:rPr>
              <w:t xml:space="preserve">Theme</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1</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1</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Walking together: what synodality means</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2</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2</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The pilgrim People of God and the covenant assemblies</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3</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2</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Communal discernment and prophetic listening</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4</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3</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Jesus forms a community of disciples; the </w:t>
            </w:r>
            <w:r>
              <w:rPr>
                <w:i/>
                <w:iCs/>
              </w:rPr>
              <w:t xml:space="preserve">koinonia</w:t>
            </w:r>
            <w:r>
              <w:t xml:space="preserve"> of Acts 2 to 4</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5</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3</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The Council of Jerusalem: Acts 15 as the abiding synodal model</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6</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4</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Local synods and the first ecumenical councils</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7</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4</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Bishops, deacons, and the community; monastic discernment</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8</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5</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Medieval development and decline; centralisation</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9</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5</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Reform currents and recovery before Vatican II</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10</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6</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rPr>
                <w:i/>
                <w:iCs/>
              </w:rPr>
              <w:t xml:space="preserve">Lumen Gentium</w:t>
            </w:r>
            <w:r>
              <w:t xml:space="preserve">: People of God, </w:t>
            </w:r>
            <w:r>
              <w:rPr>
                <w:i/>
                <w:iCs/>
              </w:rPr>
              <w:t xml:space="preserve">sensus fidei</w:t>
            </w:r>
            <w:r>
              <w:t xml:space="preserve">, collegiality</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11</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6</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rPr>
                <w:i/>
                <w:iCs/>
              </w:rPr>
              <w:t xml:space="preserve">Gaudium et Spes</w:t>
            </w:r>
            <w:r>
              <w:t xml:space="preserve"> and the participatory structures</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12</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7</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rPr>
                <w:i/>
                <w:iCs/>
              </w:rPr>
              <w:t xml:space="preserve">Apostolica Sollicitudo</w:t>
            </w:r>
            <w:r>
              <w:t xml:space="preserve"> and the Synod of Bishops</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13</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8</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The synodal vision of Pope Francis</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14</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8</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The global synodal process 2021 to 2024 and its method</w:t>
            </w:r>
          </w:p>
        </w:tc>
      </w:tr>
      <w:tr>
        <w:tc>
          <w:tcPr>
            <w:tcW w:type="dxa" w:w="9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15</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Module 8</w:t>
            </w:r>
          </w:p>
        </w:tc>
        <w:tc>
          <w:tcPr>
            <w:tcW w:type="dxa" w:w="6500"/>
            <w:tcBorders>
              <w:top w:val="single" w:color="8A8A8A" w:sz="4"/>
              <w:left w:val="single" w:color="8A8A8A" w:sz="4"/>
              <w:bottom w:val="single" w:color="8A8A8A" w:sz="4"/>
              <w:right w:val="single" w:color="8A8A8A" w:sz="4"/>
            </w:tcBorders>
            <w:tcMar>
              <w:top w:type="dxa" w:w="60"/>
              <w:left w:type="dxa" w:w="100"/>
              <w:bottom w:type="dxa" w:w="60"/>
              <w:right w:type="dxa" w:w="100"/>
            </w:tcMar>
          </w:tcPr>
          <w:p>
            <w:r>
              <w:t xml:space="preserve">Synodality received in India; course synthesis</w:t>
            </w:r>
          </w:p>
        </w:tc>
      </w:tr>
    </w:tbl>
    <w:p>
      <w:r>
        <w:br w:type="page"/>
      </w:r>
    </w:p>
    <w:p>
      <w:pPr>
        <w:pStyle w:val="Heading1"/>
        <w:spacing w:after="160" w:before="280"/>
      </w:pPr>
      <w:r>
        <w:t xml:space="preserve">CLASS 1: WALKING TOGETHER, OR WHAT SYNODALITY MEANS</w:t>
      </w:r>
    </w:p>
    <w:p>
      <w:pPr>
        <w:spacing w:after="120"/>
      </w:pPr>
      <w:r>
        <w:rPr>
          <w:i/>
          <w:iCs/>
        </w:rPr>
        <w:t xml:space="preserve">Module 1: Introduction to Synodality</w:t>
      </w:r>
    </w:p>
    <w:p>
      <w:pPr>
        <w:pStyle w:val="Heading2"/>
        <w:spacing w:after="120" w:before="220"/>
      </w:pPr>
      <w:r>
        <w:t xml:space="preserve">Aim of the Class</w:t>
      </w:r>
    </w:p>
    <w:p>
      <w:pPr>
        <w:spacing w:after="120"/>
      </w:pPr>
      <w:r>
        <w:t xml:space="preserve">This first class fixes the meaning of the word that names the whole course. By the end of it the students should be able to define synodality, distinguish it from a synod and from episcopal collegiality, and state why the Church of our day has placed it at the centre of her self-understanding. The thread that will run through all fifteen classes appears here for the first time: communion, participation, mission.</w:t>
      </w:r>
    </w:p>
    <w:p>
      <w:pPr>
        <w:pBdr>
          <w:left w:val="single" w:color="B8860B" w:sz="24"/>
        </w:pBdr>
        <w:shd w:fill="FFF8E1" w:val="clear"/>
        <w:spacing w:after="160" w:before="160"/>
        <w:ind w:left="240"/>
      </w:pPr>
      <w:r>
        <w:rPr>
          <w:b/>
          <w:bCs/>
          <w:color w:val="B8860B"/>
        </w:rPr>
        <w:t xml:space="preserve">CLASSROOM CUE: </w:t>
      </w:r>
      <w:r>
        <w:t xml:space="preserve">Open with two minutes at the board. Write SYN + HODOS and ask the class for every Bengali or Hindi word they know for a company on the road: yatra, tirthayatri, michhil, baraat. Let them discover that each names a group with a direction, though a baraat rarely has one in silence. Then announce the standing shape of every class this semester: five minutes of recapitulation, thirty minutes of exposition, ten minutes on the discussion questions.</w:t>
      </w:r>
    </w:p>
    <w:p>
      <w:pPr>
        <w:pStyle w:val="Heading2"/>
        <w:spacing w:after="120" w:before="220"/>
      </w:pPr>
      <w:r>
        <w:t xml:space="preserve">A Word Recovered from the Road</w:t>
      </w:r>
    </w:p>
    <w:p>
      <w:pPr>
        <w:spacing w:after="120"/>
      </w:pPr>
      <w:r>
        <w:t xml:space="preserve">Synodality comes from the Greek </w:t>
      </w:r>
      <w:r>
        <w:rPr>
          <w:i/>
          <w:iCs/>
        </w:rPr>
        <w:t xml:space="preserve">synodos</w:t>
      </w:r>
      <w:r>
        <w:t xml:space="preserve">, formed of </w:t>
      </w:r>
      <w:r>
        <w:rPr>
          <w:i/>
          <w:iCs/>
        </w:rPr>
        <w:t xml:space="preserve">syn</w:t>
      </w:r>
      <w:r>
        <w:t xml:space="preserve">, together, and </w:t>
      </w:r>
      <w:r>
        <w:rPr>
          <w:i/>
          <w:iCs/>
        </w:rPr>
        <w:t xml:space="preserve">hodos</w:t>
      </w:r>
      <w:r>
        <w:t xml:space="preserve">, road or way. A </w:t>
      </w:r>
      <w:r>
        <w:rPr>
          <w:i/>
          <w:iCs/>
        </w:rPr>
        <w:t xml:space="preserve">synodos</w:t>
      </w:r>
      <w:r>
        <w:t xml:space="preserve"> is a company on one road: fellow travellers, people who share a direction and not merely a location. The word entered Christian speech very early. Saint John Chrysostom could write in the fourth century that Church and synod are synonymous, because the assembly called by God is precisely a walking together.</w:t>
      </w:r>
      <w:r>
        <w:rPr>
          <w:rStyle w:val="FootnoteReference"/>
        </w:rPr>
        <w:footnoteReference w:id="1"/>
      </w:r>
      <w:r>
        <w:t xml:space="preserve"> The observation cuts deep. Before the community of Jesus had buildings, budgets, or even the name Christian, outsiders called it the Way, and its members were those who belonged to the Way (Acts 9:2). The Church had a road before she had an address.</w:t>
      </w:r>
    </w:p>
    <w:p>
      <w:pPr>
        <w:spacing w:after="120"/>
      </w:pPr>
      <w:r>
        <w:t xml:space="preserve">The Scriptures of Israel confirm the choice of image. The Hebrew verb </w:t>
      </w:r>
      <w:r>
        <w:rPr>
          <w:i/>
          <w:iCs/>
        </w:rPr>
        <w:t xml:space="preserve">halak</w:t>
      </w:r>
      <w:r>
        <w:t xml:space="preserve">, to walk, gives the rabbis their name for the whole practice of the covenant, </w:t>
      </w:r>
      <w:r>
        <w:rPr>
          <w:i/>
          <w:iCs/>
        </w:rPr>
        <w:t xml:space="preserve">halakhah</w:t>
      </w:r>
      <w:r>
        <w:t xml:space="preserve">, the walking; and Jesus gathers the entire vocabulary into his own person when he says, “I am the way” (Jn 14:6). To be a believer, in both dispensations, is less to hold a position than to keep a road.</w:t>
      </w:r>
    </w:p>
    <w:p>
      <w:pPr>
        <w:spacing w:after="120"/>
      </w:pPr>
      <w:r>
        <w:t xml:space="preserve">When theology speaks of synodality, then, it does not first mean a meeting, a document, or a voting procedure. It means the form of life proper to a people who travel one road together behind one Lord. The International Theological Commission gathers this into a compact formula: synodality is the specific </w:t>
      </w:r>
      <w:r>
        <w:rPr>
          <w:i/>
          <w:iCs/>
        </w:rPr>
        <w:t xml:space="preserve">modus vivendi et operandi</w:t>
      </w:r>
      <w:r>
        <w:t xml:space="preserve"> of the Church, the People of God.</w:t>
      </w:r>
      <w:r>
        <w:rPr>
          <w:rStyle w:val="FootnoteReference"/>
        </w:rPr>
        <w:footnoteReference w:id="2"/>
      </w:r>
      <w:r>
        <w:t xml:space="preserve"> A style of living and working: that is the primary sense, and every structure the course will examine later exists to serve it.</w:t>
      </w:r>
    </w:p>
    <w:p>
      <w:pPr>
        <w:pBdr>
          <w:left w:val="single" w:color="1565C0" w:sz="24"/>
        </w:pBdr>
        <w:shd w:fill="E3F2FD" w:val="clear"/>
        <w:spacing w:after="160" w:before="160"/>
        <w:ind w:left="240"/>
      </w:pPr>
      <w:r>
        <w:rPr>
          <w:b/>
          <w:bCs/>
          <w:color w:val="1565C0"/>
        </w:rPr>
        <w:t xml:space="preserve">EXAMPLE: </w:t>
      </w:r>
      <w:r>
        <w:t xml:space="preserve">Every January lakhs of pilgrims cross our own district on the road to the Gangasagar Mela at Sagar Island. Watch them at Sealdah or on the Kakdwip road: strangers from a dozen states, yet unmistakably one body, because they share one direction and one hope. A crowd becomes a company the moment it agrees on a destination. That is the picture hidden inside the word </w:t>
      </w:r>
      <w:r>
        <w:rPr>
          <w:i/>
          <w:iCs/>
        </w:rPr>
        <w:t xml:space="preserve">synodos</w:t>
      </w:r>
      <w:r>
        <w:t xml:space="preserve">.</w:t>
      </w:r>
    </w:p>
    <w:p>
      <w:pPr>
        <w:pStyle w:val="Heading2"/>
        <w:spacing w:after="120" w:before="220"/>
      </w:pPr>
      <w:r>
        <w:t xml:space="preserve">One Word, Three Levels</w:t>
      </w:r>
    </w:p>
    <w:p>
      <w:pPr>
        <w:spacing w:after="120"/>
      </w:pPr>
      <w:r>
        <w:t xml:space="preserve">Because the word now appears everywhere, it needs discipline. The International Theological Commission distinguishes three connected senses.</w:t>
      </w:r>
      <w:r>
        <w:rPr>
          <w:rStyle w:val="FootnoteReference"/>
        </w:rPr>
        <w:footnoteReference w:id="3"/>
      </w:r>
      <w:r>
        <w:t xml:space="preserve"> First, synodality names a style: the ordinary manner in which the whole Church lives and works, listening to all and deciding with all in mind. Secondly, it names structures and processes: the stable institutions through which that style becomes flesh, such as diocesan synods, pastoral councils, presbyteral councils, and episcopal conferences. Thirdly, it names events: particular assemblies convoked at a given hour, from a parish assembly to an ecumenical council. The three senses stand in strict order. Structures without the style become machinery; events without the style become theatre.</w:t>
      </w:r>
    </w:p>
    <w:p>
      <w:pPr>
        <w:spacing w:after="120"/>
      </w:pPr>
      <w:r>
        <w:t xml:space="preserve">A second distinction guards against a common confusion. Collegiality, taught with such force by the Second Vatican Council, concerns the body of bishops united with and under the Bishop of Rome, </w:t>
      </w:r>
      <w:r>
        <w:rPr>
          <w:i/>
          <w:iCs/>
        </w:rPr>
        <w:t xml:space="preserve">cum et sub Petro</w:t>
      </w:r>
      <w:r>
        <w:t xml:space="preserve">. Synodality is the wider reality: the common dignity and co-responsibility of all the baptised, within which episcopal collegiality is one specific and necessary expression.</w:t>
      </w:r>
      <w:r>
        <w:rPr>
          <w:rStyle w:val="FootnoteReference"/>
        </w:rPr>
        <w:footnoteReference w:id="4"/>
      </w:r>
      <w:r>
        <w:t xml:space="preserve"> Put simply for the classroom: every exercise of collegiality should breathe synodality, but synodality involves far more people than the college of bishops.</w:t>
      </w:r>
    </w:p>
    <w:p>
      <w:pPr>
        <w:pStyle w:val="Heading2"/>
        <w:spacing w:after="120" w:before="220"/>
      </w:pPr>
      <w:r>
        <w:t xml:space="preserve">Why the Church Speaks of It Now</w:t>
      </w:r>
    </w:p>
    <w:p>
      <w:pPr>
        <w:spacing w:after="120"/>
      </w:pPr>
      <w:r>
        <w:t xml:space="preserve">The vocabulary is old, but its return to the centre is recent, and the dates matter. The Second Vatican Council placed its chapter on the People of God before its chapter on the hierarchy in </w:t>
      </w:r>
      <w:r>
        <w:rPr>
          <w:i/>
          <w:iCs/>
        </w:rPr>
        <w:t xml:space="preserve">Lumen Gentium</w:t>
      </w:r>
      <w:r>
        <w:t xml:space="preserve">, and the order itself is doctrine: all the baptised together come first, and ordained ministry stands within the people, not above it as a separate caste.</w:t>
      </w:r>
      <w:r>
        <w:rPr>
          <w:rStyle w:val="FootnoteReference"/>
        </w:rPr>
        <w:footnoteReference w:id="5"/>
      </w:r>
      <w:r>
        <w:t xml:space="preserve"> In 1965, while the Council was still in session, Paul VI created a permanent Synod of Bishops through the motu proprio </w:t>
      </w:r>
      <w:r>
        <w:rPr>
          <w:i/>
          <w:iCs/>
        </w:rPr>
        <w:t xml:space="preserve">Apostolica Sollicitudo</w:t>
      </w:r>
      <w:r>
        <w:t xml:space="preserve">, a structure Class 12 will study closely.</w:t>
      </w:r>
      <w:r>
        <w:rPr>
          <w:rStyle w:val="FootnoteReference"/>
        </w:rPr>
        <w:footnoteReference w:id="6"/>
      </w:r>
      <w:r>
        <w:t xml:space="preserve"> Fifty years later, on 17 October 2015, Pope Francis delivered the address that set the present course of the Church, telling the assembly that the path of synodality is the very path God expects of the Church of the third millennium, and describing a synodal Church as, before all else, “a Church which listens”, in which the faithful people, the college of bishops, and the Bishop of Rome each listen to the others, and all listen to the Holy Spirit.</w:t>
      </w:r>
      <w:r>
        <w:rPr>
          <w:rStyle w:val="FootnoteReference"/>
        </w:rPr>
        <w:footnoteReference w:id="7"/>
      </w:r>
    </w:p>
    <w:p>
      <w:pPr>
        <w:spacing w:after="120"/>
      </w:pPr>
      <w:r>
        <w:t xml:space="preserve">From 2021 to 2024 the whole Church then walked through the widest consultation in her history under the title that gives this course its thread: For a Synodal Church: Communion, Participation, Mission. Its Final Document describes synodality, in plain terms, as a path of spiritual renewal and structural reform that enables the Church to become more participatory and more missionary.</w:t>
      </w:r>
      <w:r>
        <w:rPr>
          <w:rStyle w:val="FootnoteReference"/>
        </w:rPr>
        <w:footnoteReference w:id="8"/>
      </w:r>
      <w:r>
        <w:t xml:space="preserve"> Francis then took a step without recent parallel: he issued no separate exhortation, declared that the Final Document itself participates in his ordinary magisterium, and asked the local churches to receive and implement it.</w:t>
      </w:r>
      <w:r>
        <w:rPr>
          <w:rStyle w:val="FootnoteReference"/>
        </w:rPr>
        <w:footnoteReference w:id="9"/>
      </w:r>
      <w:r>
        <w:t xml:space="preserve"> In short, synodality is not a passing programme. It has been placed on the desk of every bishop, every parish, and every seminary, including ours.</w:t>
      </w:r>
    </w:p>
    <w:p>
      <w:pPr>
        <w:pStyle w:val="Heading2"/>
        <w:spacing w:after="120" w:before="220"/>
      </w:pPr>
      <w:r>
        <w:t xml:space="preserve">Communion, Participation, Mission</w:t>
      </w:r>
    </w:p>
    <w:p>
      <w:pPr>
        <w:spacing w:after="120"/>
      </w:pPr>
      <w:r>
        <w:t xml:space="preserve">The synodal title is not a slogan but a grammar, and the course will keep returning to it. Communion answers the question of what the Church is: a people gathered into the very life of the Father, the Son, and the Holy Spirit, so that the pattern of her common life should mirror the mutual self-giving of the Trinity. Participation answers the question of how she acts: through the gifts and the voice of all the baptised, since the anointing of Baptism, not ordination, is the first ground of dignity and co-responsibility in the Church. The Council teaches that the whole body of the faithful, anointed by the Holy One, cannot err in matters of belief, a supernatural instinct of faith the tradition calls the </w:t>
      </w:r>
      <w:r>
        <w:rPr>
          <w:i/>
          <w:iCs/>
        </w:rPr>
        <w:t xml:space="preserve">sensus fidei</w:t>
      </w:r>
      <w:r>
        <w:t xml:space="preserve">.</w:t>
      </w:r>
      <w:r>
        <w:rPr>
          <w:rStyle w:val="FootnoteReference"/>
        </w:rPr>
        <w:footnoteReference w:id="10"/>
      </w:r>
      <w:r>
        <w:t xml:space="preserve"> Pope Francis draws the practical conclusion: because the people as a whole possess this instinct, the Church does well to listen before she teaches, for God has furnished the totality of the faithful with an organ of discernment.</w:t>
      </w:r>
      <w:r>
        <w:rPr>
          <w:rStyle w:val="FootnoteReference"/>
        </w:rPr>
        <w:footnoteReference w:id="11"/>
      </w:r>
      <w:r>
        <w:t xml:space="preserve"> Mission answers the question of why she exists at all: communion and participation are not ecclesial housekeeping but the training of a people to be sent. A synod that ends in its own minutes has failed; a synod that ends at the door, facing the world, has understood itself.</w:t>
      </w:r>
    </w:p>
    <w:p>
      <w:pPr>
        <w:pBdr>
          <w:left w:val="single" w:color="2E7D32" w:sz="24"/>
        </w:pBdr>
        <w:shd w:fill="E8F5E9" w:val="clear"/>
        <w:spacing w:after="160" w:before="160"/>
        <w:ind w:left="240"/>
      </w:pPr>
      <w:r>
        <w:rPr>
          <w:b/>
          <w:bCs/>
          <w:color w:val="2E7D32"/>
        </w:rPr>
        <w:t xml:space="preserve">INDIAN CONTEXT: </w:t>
      </w:r>
      <w:r>
        <w:t xml:space="preserve">India possesses her own grammar of assembly. The Constitution, through the Seventy-third Amendment of 1992, made the gram sabha of every village a deliberative body of all adult residents, and the PESA Act of 1996 extended this to the Scheduled Areas precisely so that Adivasi communities could decide through their own assemblies.</w:t>
      </w:r>
      <w:r>
        <w:rPr>
          <w:rStyle w:val="FootnoteReference"/>
        </w:rPr>
        <w:footnoteReference w:id="12"/>
      </w:r>
      <w:r>
        <w:t xml:space="preserve"> Older still are the manjhi with his village council among the Santals and the parha assemblies of the Oraons, both living traditions in Bengal and Jharkhand. The Indian Church has her own experience too: small Christian communities and parish pastoral councils have practised neighbourhood listening for decades. Synodality therefore lands on prepared soil in India; the task is to let Baptism, and not caste, wealth, or gender, decide who speaks.</w:t>
      </w:r>
    </w:p>
    <w:p>
      <w:pPr>
        <w:pStyle w:val="Heading2"/>
        <w:spacing w:after="120" w:before="220"/>
      </w:pPr>
      <w:r>
        <w:t xml:space="preserve">What Synodality Is Not</w:t>
      </w:r>
    </w:p>
    <w:p>
      <w:pPr>
        <w:spacing w:after="120"/>
      </w:pPr>
      <w:r>
        <w:t xml:space="preserve">Precision also requires negation, and here the teacher must be firm, because misunderstandings arrive in class before definitions do. Synodality is not parliamentary democracy. Pope Francis himself warned the bishops in 2015 that a synod is neither a convention nor a parliament where deals are struck and majorities decide the truth.</w:t>
      </w:r>
      <w:r>
        <w:rPr>
          <w:rStyle w:val="FootnoteReference"/>
        </w:rPr>
        <w:footnoteReference w:id="13"/>
      </w:r>
      <w:r>
        <w:t xml:space="preserve"> Revelation is not up for a vote; discernment asks what the Spirit says, not what fifty-one per cent prefer. Nor is synodality a technique of endless meetings. India, in fact, has no shortage of committees; what it lacks, in Church and state alike, is the patient discipline of listening that changes the listener. Nor, finally, is synodality a soft word for the surrender of pastoral authority. Bishops and priests do not preside less in a synodal Church; they preside differently, as men whose first act is to hear. The rest of the course is the long demonstration that this is not the novelty of one pontificate but the recovered shape of the whole tradition, from Sinai to the upper room to Nicaea to our own parish councils.</w:t>
      </w:r>
    </w:p>
    <w:p>
      <w:pPr>
        <w:pBdr>
          <w:left w:val="single" w:color="B8860B" w:sz="24"/>
        </w:pBdr>
        <w:shd w:fill="FFF8E1" w:val="clear"/>
        <w:spacing w:after="160" w:before="160"/>
        <w:ind w:left="240"/>
      </w:pPr>
      <w:r>
        <w:rPr>
          <w:b/>
          <w:bCs/>
          <w:color w:val="B8860B"/>
        </w:rPr>
        <w:t xml:space="preserve">CLASSROOM CUE: </w:t>
      </w:r>
      <w:r>
        <w:t xml:space="preserve">Close by writing the triad on the board as three questions: What is the Church? How does she act? Why does she exist? Ask three students to answer from memory with the three words. Assign Exodus 19 and 24 and Joshua 24 to be read before Class 2.</w:t>
      </w:r>
    </w:p>
    <w:p>
      <w:pPr>
        <w:pStyle w:val="Heading2"/>
        <w:spacing w:after="120" w:before="220"/>
      </w:pPr>
      <w:r>
        <w:t xml:space="preserve">Questions for Discussion</w:t>
      </w:r>
    </w:p>
    <w:p>
      <w:pPr>
        <w:spacing w:after="120"/>
      </w:pPr>
      <w:r>
        <w:rPr>
          <w:b/>
          <w:bCs/>
        </w:rPr>
        <w:t xml:space="preserve">1.</w:t>
      </w:r>
      <w:r>
        <w:t xml:space="preserve"> The gram sabha gives every adult villager a voice in local decisions, and PESA extends this principle to Adivasi areas. Where has your home parish given the baptised a comparable voice, and where has it kept them silent?</w:t>
      </w:r>
    </w:p>
    <w:p>
      <w:pPr>
        <w:spacing w:after="120"/>
      </w:pPr>
      <w:r>
        <w:rPr>
          <w:b/>
          <w:bCs/>
        </w:rPr>
        <w:t xml:space="preserve">2.</w:t>
      </w:r>
      <w:r>
        <w:t xml:space="preserve"> Chrysostom says that Church and synod are synonymous. On an Indian street where temple, mosque, gurdwara, and church stand within sight of one another, what would a Church visibly defined by walking together say to neighbours of other faiths that a Church defined by buildings cannot?</w:t>
      </w:r>
    </w:p>
    <w:p>
      <w:pPr>
        <w:spacing w:after="120"/>
      </w:pPr>
      <w:r>
        <w:rPr>
          <w:b/>
          <w:bCs/>
        </w:rPr>
        <w:t xml:space="preserve">3.</w:t>
      </w:r>
      <w:r>
        <w:t xml:space="preserve"> Many in India are weary of committees, elections, and meetings that change nothing. What makes ecclesial discernment different from these, and how would you explain that difference to a tired parish council member in one minute?</w:t>
      </w:r>
    </w:p>
    <w:p>
      <w:r>
        <w:br w:type="page"/>
      </w:r>
    </w:p>
    <w:p>
      <w:pPr>
        <w:pStyle w:val="Heading1"/>
        <w:spacing w:after="160" w:before="280"/>
      </w:pPr>
      <w:r>
        <w:t xml:space="preserve">CLASS 2: THE PILGRIM PEOPLE OF GOD AND THE COVENANT ASSEMBLIES</w:t>
      </w:r>
    </w:p>
    <w:p>
      <w:pPr>
        <w:spacing w:after="120"/>
      </w:pPr>
      <w:r>
        <w:rPr>
          <w:i/>
          <w:iCs/>
        </w:rPr>
        <w:t xml:space="preserve">Module 2: Biblical Foundations I</w:t>
      </w:r>
    </w:p>
    <w:p>
      <w:pPr>
        <w:pStyle w:val="Heading2"/>
        <w:spacing w:after="120" w:before="220"/>
      </w:pPr>
      <w:r>
        <w:t xml:space="preserve">Aim of the Class</w:t>
      </w:r>
    </w:p>
    <w:p>
      <w:pPr>
        <w:spacing w:after="120"/>
      </w:pPr>
      <w:r>
        <w:t xml:space="preserve">Module 2 asks whether synodality is a modern graft or the native grain of the biblical wood. This class answers by watching Israel come into being: a people constituted on the road and consolidated in assemblies where God speaks and the whole people answer. Students should leave able to explain the word </w:t>
      </w:r>
      <w:r>
        <w:rPr>
          <w:i/>
          <w:iCs/>
        </w:rPr>
        <w:t xml:space="preserve">qahal</w:t>
      </w:r>
      <w:r>
        <w:t xml:space="preserve">, to narrate the assemblies of Sinai, Shechem, and the Water Gate, and to show how </w:t>
      </w:r>
      <w:r>
        <w:rPr>
          <w:i/>
          <w:iCs/>
        </w:rPr>
        <w:t xml:space="preserve">Lumen Gentium</w:t>
      </w:r>
      <w:r>
        <w:t xml:space="preserve"> 9 stands on this foundation.</w:t>
      </w:r>
    </w:p>
    <w:p>
      <w:pPr>
        <w:pBdr>
          <w:left w:val="single" w:color="B8860B" w:sz="24"/>
        </w:pBdr>
        <w:shd w:fill="FFF8E1" w:val="clear"/>
        <w:spacing w:after="160" w:before="160"/>
        <w:ind w:left="240"/>
      </w:pPr>
      <w:r>
        <w:rPr>
          <w:b/>
          <w:bCs/>
          <w:color w:val="B8860B"/>
        </w:rPr>
        <w:t xml:space="preserve">CLASSROOM CUE: </w:t>
      </w:r>
      <w:r>
        <w:t xml:space="preserve">Begin by collecting the assigned reading: ask one student to retell Exodus 24 in ninety seconds as if reporting a village meeting for a local newspaper. Board plan for today, written as three arrows: qahal, then ekklesia, then Church. Keep the middle twelve minutes for Sinai; it is the heart of the class.</w:t>
      </w:r>
    </w:p>
    <w:p>
      <w:pPr>
        <w:pStyle w:val="Heading2"/>
        <w:spacing w:after="120" w:before="220"/>
      </w:pPr>
      <w:r>
        <w:t xml:space="preserve">A People Made While Walking</w:t>
      </w:r>
    </w:p>
    <w:p>
      <w:pPr>
        <w:spacing w:after="120"/>
      </w:pPr>
      <w:r>
        <w:t xml:space="preserve">Israel does not begin as a settled institution; she begins as a summons to move. Abram hears “Go from your country” (Gen 12:1) before he hears anything else, and the covenant is later sealed with the command, “walk before me, and be blameless” (Gen 17:1). Centuries after, when an Israelite farmer brings his first fruits to the sanctuary, the creed placed on his lips opens not with a doctrine but with a road: “A wandering Aramean was my father” (Deut 26:5). The Exodus deepens the pattern: the defining act of God is to bring a crowd of slaves out of Egypt and to make them, across forty years of wilderness, into a people who know how to walk together, quarrel together, repent together, and camp around one tent of meeting. The wilderness is the school of the assembly. Identity, in the Bible, is remembered movement; a people that forgets it was once on the road soon forgets whose people it is.</w:t>
      </w:r>
    </w:p>
    <w:p>
      <w:pPr>
        <w:pStyle w:val="Heading2"/>
        <w:spacing w:after="120" w:before="220"/>
      </w:pPr>
      <w:r>
        <w:t xml:space="preserve">Qahal, the Called Assembly</w:t>
      </w:r>
    </w:p>
    <w:p>
      <w:pPr>
        <w:spacing w:after="120"/>
      </w:pPr>
      <w:r>
        <w:t xml:space="preserve">The decisive term of this class is the Hebrew </w:t>
      </w:r>
      <w:r>
        <w:rPr>
          <w:i/>
          <w:iCs/>
        </w:rPr>
        <w:t xml:space="preserve">qahal</w:t>
      </w:r>
      <w:r>
        <w:t xml:space="preserve">, from a root meaning to call together. A </w:t>
      </w:r>
      <w:r>
        <w:rPr>
          <w:i/>
          <w:iCs/>
        </w:rPr>
        <w:t xml:space="preserve">qahal</w:t>
      </w:r>
      <w:r>
        <w:t xml:space="preserve"> is not a crowd that happens; it is an assembly that is convoked, and in Israel the convoker is finally God himself. Deuteronomy remembers Sinai simply as “the day of the assembly”, </w:t>
      </w:r>
      <w:r>
        <w:rPr>
          <w:i/>
          <w:iCs/>
        </w:rPr>
        <w:t xml:space="preserve">yom ha-qahal</w:t>
      </w:r>
      <w:r>
        <w:t xml:space="preserve"> (Deut 9:10; 10:4; 18:16). When Jewish scholars rendered the Scriptures into Greek, they translated </w:t>
      </w:r>
      <w:r>
        <w:rPr>
          <w:i/>
          <w:iCs/>
        </w:rPr>
        <w:t xml:space="preserve">qahal</w:t>
      </w:r>
      <w:r>
        <w:t xml:space="preserve"> by </w:t>
      </w:r>
      <w:r>
        <w:rPr>
          <w:i/>
          <w:iCs/>
        </w:rPr>
        <w:t xml:space="preserve">ekklesia</w:t>
      </w:r>
      <w:r>
        <w:t xml:space="preserve">, the word Greek cities used for the citizen body called out by a herald.</w:t>
      </w:r>
      <w:r>
        <w:rPr>
          <w:rStyle w:val="FootnoteReference"/>
        </w:rPr>
        <w:footnoteReference w:id="14"/>
      </w:r>
      <w:r>
        <w:t xml:space="preserve"> The consequence for us is enormous: when the writers of the apostolic age chose </w:t>
      </w:r>
      <w:r>
        <w:rPr>
          <w:i/>
          <w:iCs/>
        </w:rPr>
        <w:t xml:space="preserve">ekklesia</w:t>
      </w:r>
      <w:r>
        <w:t xml:space="preserve"> as the name of the community of Jesus, they were not borrowing civic vocabulary at random. They were claiming that the assembly at the foot of Sinai had been reconvened in Christ. Every time we say Church, Scripture hears assembly; and behind assembly stands a mountain, a summons, and a people answering with one voice.</w:t>
      </w:r>
    </w:p>
    <w:p>
      <w:pPr>
        <w:pStyle w:val="Heading2"/>
        <w:spacing w:after="120" w:before="220"/>
      </w:pPr>
      <w:r>
        <w:t xml:space="preserve">Sinai, Where the People Answer Together</w:t>
      </w:r>
    </w:p>
    <w:p>
      <w:pPr>
        <w:spacing w:after="120"/>
      </w:pPr>
      <w:r>
        <w:t xml:space="preserve">Read Exodus 19:3-8 slowly in class. God proposes: if the people keep the covenant, they shall be his own possession among all peoples, “a kingdom of priests and a holy nation” (Ex 19:6). Moses does not sign on their behalf. He set before them all these words, and “all the people answered together” (Ex 19:7-8). Watch the grammar of the scene: proposal, mediation, common response. The ratification in Exodus 24 repeats and strengthens it. Moses tells the people all the words of the LORD; the people answer with one voice; the covenant is written and then read aloud in the hearing of the assembly; and the people commit themselves: “All that the LORD has spoken we will do, and we will be obedient” (Ex 24:3-7). Blood is thrown on altar and people alike, binding both parties of the covenant in one rite (Ex 24:8).</w:t>
      </w:r>
    </w:p>
    <w:p>
      <w:pPr>
        <w:spacing w:after="120"/>
      </w:pPr>
      <w:r>
        <w:t xml:space="preserve">Three features deserve the board. First, initiative belongs wholly to God: this assembly is convoked, not self-assembled, and that priority of grace will separate every ecclesial assembly from every merely political one. Secondly, the word is published before it binds: the book is read aloud in the hearing of the people, an ancient rule against every government by whisper. Thirdly, consent is corporate and vocal: the people answer together, with one voice, and their answer belongs to the covenant itself. Participation, in other words, is not a concession the Bible makes to modern taste; it is written into the founding rite of the People of God.</w:t>
      </w:r>
    </w:p>
    <w:p>
      <w:pPr>
        <w:pBdr>
          <w:left w:val="single" w:color="6A1B9A" w:sz="24"/>
        </w:pBdr>
        <w:shd w:fill="F3E5F5" w:val="clear"/>
        <w:spacing w:after="160" w:before="160"/>
        <w:ind w:left="240"/>
      </w:pPr>
      <w:r>
        <w:rPr>
          <w:b/>
          <w:bCs/>
          <w:color w:val="6A1B9A"/>
        </w:rPr>
        <w:t xml:space="preserve">A NOTE FOR THE CLASSROOM: </w:t>
      </w:r>
      <w:r>
        <w:t xml:space="preserve">Older manuals presented the Sinai chapters as a single eyewitness transcript. Contemporary scholarship reads Exodus 19 to 24 as a weave of traditions edited across centuries, which explains its repetitions and shifts of voice. Nothing in this class depends on deciding between source theories. The canonical text as Israel received it presents covenant making as an act of the assembled people, and it is the canonical text that formed Jesus, the apostles, and the liturgy. Teach the composition history honestly if asked, then teach the theology of the finished text with full confidence.</w:t>
      </w:r>
    </w:p>
    <w:p>
      <w:pPr>
        <w:pStyle w:val="Heading2"/>
        <w:spacing w:after="120" w:before="220"/>
      </w:pPr>
      <w:r>
        <w:t xml:space="preserve">Shechem and the Water Gate: Assemblies of Choice and Understanding</w:t>
      </w:r>
    </w:p>
    <w:p>
      <w:pPr>
        <w:spacing w:after="120"/>
      </w:pPr>
      <w:r>
        <w:t xml:space="preserve">The covenant assembly is not a single event but a renewable institution. At Shechem, Joshua gathers all the tribes, rehearses the deeds of God, and then does something no dictator does: he sets the people free to refuse. “Choose this day whom you will serve”, he tells them, “but as for me and my house, we will serve the LORD” (Josh 24:15). The people choose, are warned of the cost, choose again, and become witnesses against themselves (Josh 24:16-24). A great stone is set up as a listening witness, for it has heard all the words of the LORD (Josh 24:26-27). Covenant fidelity, this scene teaches, must be re-chosen by every generation in assembly; inherited faith that is never personally answered dies in the second generation.</w:t>
      </w:r>
    </w:p>
    <w:p>
      <w:pPr>
        <w:spacing w:after="120"/>
      </w:pPr>
      <w:r>
        <w:t xml:space="preserve">Centuries later, after the exile, Ezra reads the book of the law at the Water Gate square in Jerusalem “before the assembly, both men and women and all who could hear with understanding” (Neh 8:2). The detail is revolutionary twice over. Women stand inside the listening assembly as full hearers. And thirteen named Levites move through the crowd giving the sense, “so that the people understood the reading” (Neh 8:7-8). Israel here invents something the Church must never lose: the ministry of explanation. An assembly where decisions are announced but never explained, where the word is proclaimed but never interpreted into the language of the hearers, has fallen below the standard of the Water Gate.</w:t>
      </w:r>
    </w:p>
    <w:p>
      <w:pPr>
        <w:pBdr>
          <w:left w:val="single" w:color="1565C0" w:sz="24"/>
        </w:pBdr>
        <w:shd w:fill="E3F2FD" w:val="clear"/>
        <w:spacing w:after="160" w:before="160"/>
        <w:ind w:left="240"/>
      </w:pPr>
      <w:r>
        <w:rPr>
          <w:b/>
          <w:bCs/>
          <w:color w:val="1565C0"/>
        </w:rPr>
        <w:t xml:space="preserve">EXAMPLE: </w:t>
      </w:r>
      <w:r>
        <w:t xml:space="preserve">Set three gatherings side by side for the class. The evening crowd on a platform at Sealdah shares a place but no bond; each person would board a different train without a backward glance. A wedding procession shares a bond of occasion; it walks together tonight and disperses tomorrow. The assembly at Sinai shares a bond of promise made before God and answered aloud; it remains a people even in the wilderness, even in exile. Crowd, function, covenant: ask the students which of the three their own parish most resembles on an ordinary Sunday.</w:t>
      </w:r>
    </w:p>
    <w:p>
      <w:pPr>
        <w:pStyle w:val="Heading2"/>
        <w:spacing w:after="120" w:before="220"/>
      </w:pPr>
      <w:r>
        <w:t xml:space="preserve">The Council Reads the Pattern</w:t>
      </w:r>
    </w:p>
    <w:p>
      <w:pPr>
        <w:spacing w:after="120"/>
      </w:pPr>
      <w:r>
        <w:rPr>
          <w:i/>
          <w:iCs/>
        </w:rPr>
        <w:t xml:space="preserve">Lumen Gentium</w:t>
      </w:r>
      <w:r>
        <w:t xml:space="preserve"> 9 gathers this whole trajectory into a single sentence of doctrine: it has pleased God to sanctify and save human beings not merely as individuals, without any bond between them, but by making them into a people that acknowledges him in truth and serves him in holiness.</w:t>
      </w:r>
      <w:r>
        <w:rPr>
          <w:rStyle w:val="FootnoteReference"/>
        </w:rPr>
        <w:footnoteReference w:id="15"/>
      </w:r>
      <w:r>
        <w:t xml:space="preserve"> The Council then names Israel expressly as the first form of that people and the Church as its fulfilment: a messianic people whose head is Christ, whose condition is the dignity and freedom of the children of God, whose law is the new commandment of love, and whose end is the Kingdom.</w:t>
      </w:r>
      <w:r>
        <w:rPr>
          <w:rStyle w:val="FootnoteReference"/>
        </w:rPr>
        <w:footnoteReference w:id="16"/>
      </w:r>
      <w:r>
        <w:t xml:space="preserve"> Everything Class 1 asserted in general is here given its biblical charter. Communion is covenant bond; participation is the answering voice of the assembly; and mission is already present at Sinai, since the kingdom of priests exists “among all peoples; for all the earth is mine” (Ex 19:5). A priestly people is never for itself.</w:t>
      </w:r>
    </w:p>
    <w:p>
      <w:pPr>
        <w:pBdr>
          <w:left w:val="single" w:color="2E7D32" w:sz="24"/>
        </w:pBdr>
        <w:shd w:fill="E8F5E9" w:val="clear"/>
        <w:spacing w:after="160" w:before="160"/>
        <w:ind w:left="240"/>
      </w:pPr>
      <w:r>
        <w:rPr>
          <w:b/>
          <w:bCs/>
          <w:color w:val="2E7D32"/>
        </w:rPr>
        <w:t xml:space="preserve">INDIAN CONTEXT: </w:t>
      </w:r>
      <w:r>
        <w:t xml:space="preserve">India also constituted herself through an assembly. Between December 1946 and November 1949 the Constituent Assembly deliberated clause by clause, with B. R. Ambedkar chairing the Drafting Committee, and gave the nation a founding text adopted in the name of We, the People. The analogy is genuinely instructive: publication, debate, explanation, corporate adoption. The difference is equally instructive: at Sinai the initiative is divine, and the assembly answers a grace it did not summon, whereas a constitution rests on popular sovereignty. The Church in India lives between these two grammars and must keep both truths. She owes the republic her full civic participation, and she owes God an obedience no majority can amend.</w:t>
      </w:r>
    </w:p>
    <w:p>
      <w:pPr>
        <w:pBdr>
          <w:left w:val="single" w:color="B8860B" w:sz="24"/>
        </w:pBdr>
        <w:shd w:fill="FFF8E1" w:val="clear"/>
        <w:spacing w:after="160" w:before="160"/>
        <w:ind w:left="240"/>
      </w:pPr>
      <w:r>
        <w:rPr>
          <w:b/>
          <w:bCs/>
          <w:color w:val="B8860B"/>
        </w:rPr>
        <w:t xml:space="preserve">CLASSROOM CUE: </w:t>
      </w:r>
      <w:r>
        <w:t xml:space="preserve">Before the discussion, dictate this sentence for their notebooks: In Scripture the People of God is constituted by a call heard together and a promise answered together. Assign Numbers 11, 1 Samuel 3, and 1 Kings 19 to be read before Class 3.</w:t>
      </w:r>
    </w:p>
    <w:p>
      <w:pPr>
        <w:pStyle w:val="Heading2"/>
        <w:spacing w:after="120" w:before="220"/>
      </w:pPr>
      <w:r>
        <w:t xml:space="preserve">Questions for Discussion</w:t>
      </w:r>
    </w:p>
    <w:p>
      <w:pPr>
        <w:spacing w:after="120"/>
      </w:pPr>
      <w:r>
        <w:rPr>
          <w:b/>
          <w:bCs/>
        </w:rPr>
        <w:t xml:space="preserve">1.</w:t>
      </w:r>
      <w:r>
        <w:t xml:space="preserve"> The Census of 2011 counted more than 450 million internal migrants within India, and Bengal knows both departure and arrival.</w:t>
      </w:r>
      <w:r>
        <w:rPr>
          <w:rStyle w:val="FootnoteReference"/>
        </w:rPr>
        <w:footnoteReference w:id="17"/>
      </w:r>
      <w:r>
        <w:t xml:space="preserve"> If Israel learned to be the People of God while on the move, what would a parish that took migrants as seriously as Scripture does look like in practice?</w:t>
      </w:r>
    </w:p>
    <w:p>
      <w:pPr>
        <w:spacing w:after="120"/>
      </w:pPr>
      <w:r>
        <w:rPr>
          <w:b/>
          <w:bCs/>
        </w:rPr>
        <w:t xml:space="preserve">2.</w:t>
      </w:r>
      <w:r>
        <w:t xml:space="preserve"> At the Water Gate the law was read to men and women alike, and Levites gave the sense until the people understood. Which groups in your home parish hear decisions announced but never explained, and what would a ministry of explanation look like there?</w:t>
      </w:r>
    </w:p>
    <w:p>
      <w:pPr>
        <w:spacing w:after="120"/>
      </w:pPr>
      <w:r>
        <w:rPr>
          <w:b/>
          <w:bCs/>
        </w:rPr>
        <w:t xml:space="preserve">3.</w:t>
      </w:r>
      <w:r>
        <w:t xml:space="preserve"> The Constituent Assembly gave India a founding covenant through public deliberation. What should the Church in India learn from that achievement, and at what point does covenant with God differ from constitution by consent?</w:t>
      </w:r>
    </w:p>
    <w:p>
      <w:r>
        <w:br w:type="page"/>
      </w:r>
    </w:p>
    <w:p>
      <w:pPr>
        <w:pStyle w:val="Heading1"/>
        <w:spacing w:after="160" w:before="280"/>
      </w:pPr>
      <w:r>
        <w:t xml:space="preserve">CLASS 3: COMMUNAL DISCERNMENT AND PROPHETIC LISTENING</w:t>
      </w:r>
    </w:p>
    <w:p>
      <w:pPr>
        <w:spacing w:after="120"/>
      </w:pPr>
      <w:r>
        <w:rPr>
          <w:i/>
          <w:iCs/>
        </w:rPr>
        <w:t xml:space="preserve">Module 2: Biblical Foundations I</w:t>
      </w:r>
    </w:p>
    <w:p>
      <w:pPr>
        <w:pStyle w:val="Heading2"/>
        <w:spacing w:after="120" w:before="220"/>
      </w:pPr>
      <w:r>
        <w:t xml:space="preserve">Aim of the Class</w:t>
      </w:r>
    </w:p>
    <w:p>
      <w:pPr>
        <w:spacing w:after="120"/>
      </w:pPr>
      <w:r>
        <w:t xml:space="preserve">Sinai showed a people that answers together; this class shows a people that must first hear together. It recovers the Hebrew verb </w:t>
      </w:r>
      <w:r>
        <w:rPr>
          <w:i/>
          <w:iCs/>
        </w:rPr>
        <w:t xml:space="preserve">shama</w:t>
      </w:r>
      <w:r>
        <w:t xml:space="preserve">, follows Israel as she learns discernment through elders, outsiders, children, and silence, and then meets the prophets, the men God raises when his people stop listening. By the end the students should be able to explain why, in biblical grammar, obedience is a form of listening, and why a synodal Church must give first hearing to those whom India refuses to hear.</w:t>
      </w:r>
    </w:p>
    <w:p>
      <w:pPr>
        <w:pBdr>
          <w:left w:val="single" w:color="B8860B" w:sz="24"/>
        </w:pBdr>
        <w:shd w:fill="FFF8E1" w:val="clear"/>
        <w:spacing w:after="160" w:before="160"/>
        <w:ind w:left="240"/>
      </w:pPr>
      <w:r>
        <w:rPr>
          <w:b/>
          <w:bCs/>
          <w:color w:val="B8860B"/>
        </w:rPr>
        <w:t xml:space="preserve">CLASSROOM CUE: </w:t>
      </w:r>
      <w:r>
        <w:t xml:space="preserve">Open with sixty seconds of complete silence, phones face down, and then ask what they heard: fans, crows, traffic, their own breathing. Use the exercise to introduce shama: an assembly must be able to be quiet before it can claim to discern. Board words for today: shama, ob-audire, nabi.</w:t>
      </w:r>
    </w:p>
    <w:p>
      <w:pPr>
        <w:pStyle w:val="Heading2"/>
        <w:spacing w:after="120" w:before="220"/>
      </w:pPr>
      <w:r>
        <w:t xml:space="preserve">One Verb for Hearing and Obeying</w:t>
      </w:r>
    </w:p>
    <w:p>
      <w:pPr>
        <w:spacing w:after="120"/>
      </w:pPr>
      <w:r>
        <w:t xml:space="preserve">The daily creed of Israel begins with an imperative of the ear: “Hear, O Israel: The LORD our God is one LORD” (Deut 6:4). The verb is </w:t>
      </w:r>
      <w:r>
        <w:rPr>
          <w:i/>
          <w:iCs/>
        </w:rPr>
        <w:t xml:space="preserve">shama</w:t>
      </w:r>
      <w:r>
        <w:t xml:space="preserve">, and it refuses to be split the way our languages split it. </w:t>
      </w:r>
      <w:r>
        <w:rPr>
          <w:i/>
          <w:iCs/>
        </w:rPr>
        <w:t xml:space="preserve">Shama</w:t>
      </w:r>
      <w:r>
        <w:t xml:space="preserve"> means to hear, to listen, and to obey in one movement; biblical Hebrew possesses no separate everyday word for obey, because for Israel a hearing that does not move the feet has not yet happened. Latin preserved the same insight: </w:t>
      </w:r>
      <w:r>
        <w:rPr>
          <w:i/>
          <w:iCs/>
        </w:rPr>
        <w:t xml:space="preserve">oboedire</w:t>
      </w:r>
      <w:r>
        <w:t xml:space="preserve">, the root of obedience, is </w:t>
      </w:r>
      <w:r>
        <w:rPr>
          <w:i/>
          <w:iCs/>
        </w:rPr>
        <w:t xml:space="preserve">ob-audire</w:t>
      </w:r>
      <w:r>
        <w:t xml:space="preserve">, to listen towards someone. In both sacred tongues, then, obedience is not the crushing of the will but the completion of listening. This single philological fact reorders authority in the People of God. Even the king, Deuteronomy insists, must write out a copy of the law with his own hand and read it all the days of his life, so that his heart may not be lifted up above his brethren (Deut 17:18-20). Israel is to be a listening people under a listening king; rule that has stopped hearing has already lost its legitimacy.</w:t>
      </w:r>
    </w:p>
    <w:p>
      <w:pPr>
        <w:pStyle w:val="Heading2"/>
        <w:spacing w:after="120" w:before="220"/>
      </w:pPr>
      <w:r>
        <w:t xml:space="preserve">How Israel Learned to Discern Together</w:t>
      </w:r>
    </w:p>
    <w:p>
      <w:pPr>
        <w:spacing w:after="120"/>
      </w:pPr>
      <w:r>
        <w:t xml:space="preserve">Discernment in Israel is communal from the start, and the narratives are wonderfully concrete. In Exodus 18 the structure of shared judgement comes from outside the covenant itself: Jethro, a priest of Midian, watches Moses judging alone from morning till evening, tells him plainly that the thing is not good, and designs with him the tiers of elders that save both leader and people (Ex 18:13-27). Israel receives her first administrative reform from a religious outsider, a standing lesson in listening past our own borders. In Numbers 11 the LORD takes some of the spirit that is upon Moses and puts it on seventy elders; and when the spirit falls also on Eldad and Medad, two men outside the tent, Joshua begs Moses to stop them. The answer of Moses is the charter of everything this course will mean by the </w:t>
      </w:r>
      <w:r>
        <w:rPr>
          <w:i/>
          <w:iCs/>
        </w:rPr>
        <w:t xml:space="preserve">sensus fidei</w:t>
      </w:r>
      <w:r>
        <w:t xml:space="preserve">: would that all the people of the LORD were prophets, and that the LORD would put his spirit upon them all (Num 11:29). The spirit of discernment is not the private property of office.</w:t>
      </w:r>
    </w:p>
    <w:p>
      <w:pPr>
        <w:spacing w:after="120"/>
      </w:pPr>
      <w:r>
        <w:t xml:space="preserve">Two further scenes complete the school. The boy Samuel hears a voice in the night and runs, three times, to the wrong door; it is old Eli, whose own sons no longer listen, who finally teaches the child the posture of Israel: “Speak, LORD, for your servant hears” (1 Sam 3:9). The old need the young in order to hear at all; the young need the old in order to know who is speaking. And Elijah at Horeb learns that the LORD is not in the wind, nor the earthquake, nor the fire, but in “a still small voice” (1 Kings 19:12). Communal discernment therefore requires an ecology of silence. An assembly that cannot be quiet together will mistake its own noise for the Spirit.</w:t>
      </w:r>
    </w:p>
    <w:p>
      <w:pPr>
        <w:pBdr>
          <w:left w:val="single" w:color="1565C0" w:sz="24"/>
        </w:pBdr>
        <w:shd w:fill="E3F2FD" w:val="clear"/>
        <w:spacing w:after="160" w:before="160"/>
        <w:ind w:left="240"/>
      </w:pPr>
      <w:r>
        <w:rPr>
          <w:b/>
          <w:bCs/>
          <w:color w:val="1565C0"/>
        </w:rPr>
        <w:t xml:space="preserve">EXAMPLE: </w:t>
      </w:r>
      <w:r>
        <w:t xml:space="preserve">Ask the class how many notifications their phones have received since the class began. We hear hundreds of sounds a day and listen to almost none of them; hearing has become cheap and listening rare. Then ask what happens inside a person when, in a crowded train compartment, someone suddenly speaks his name. Sound becomes address. Shama names exactly that difference: Israel is the people for whom the noise of the world has become the address of God.</w:t>
      </w:r>
    </w:p>
    <w:p>
      <w:pPr>
        <w:pStyle w:val="Heading2"/>
        <w:spacing w:after="120" w:before="220"/>
      </w:pPr>
      <w:r>
        <w:t xml:space="preserve">The Prophets: Ears and Voice of the Covenant</w:t>
      </w:r>
    </w:p>
    <w:p>
      <w:pPr>
        <w:spacing w:after="120"/>
      </w:pPr>
      <w:r>
        <w:t xml:space="preserve">What happens when the people will not hear? God does not cancel the covenant; he raises hearers by vocation. The </w:t>
      </w:r>
      <w:r>
        <w:rPr>
          <w:i/>
          <w:iCs/>
        </w:rPr>
        <w:t xml:space="preserve">nabi</w:t>
      </w:r>
      <w:r>
        <w:t xml:space="preserve">, the prophet, is first of all a listener seconded to a deaf nation. Abraham Heschel taught that the prophet is one who feels the pathos of God, who carries in his own nerves the divine grief over injustice, so that concern for justice in a human being is not sentiment but likeness to God.</w:t>
      </w:r>
      <w:r>
        <w:rPr>
          <w:rStyle w:val="FootnoteReference"/>
        </w:rPr>
        <w:footnoteReference w:id="18"/>
      </w:r>
      <w:r>
        <w:t xml:space="preserve"> Walter Brueggemann adds the double task: prophetic speech dismantles the settled royal order that calls its own comfort peace, and energises the community with a newness it had stopped imagining.</w:t>
      </w:r>
      <w:r>
        <w:rPr>
          <w:rStyle w:val="FootnoteReference"/>
        </w:rPr>
        <w:footnoteReference w:id="19"/>
      </w:r>
      <w:r>
        <w:t xml:space="preserve"> The pattern begins at the burning bush, where the vocation of Moses rests on the hearing of God himself: “I have seen the affliction of my people who are in Egypt, and have heard their cry” (Ex 3:7). Whatever God hears first, the prophet must hear first.</w:t>
      </w:r>
    </w:p>
    <w:p>
      <w:pPr>
        <w:spacing w:after="120"/>
      </w:pPr>
      <w:r>
        <w:t xml:space="preserve">That is why the prophets collide again and again with power on behalf of the unheard. Nathan traps David inside a parable until the king pronounces sentence on himself (2 Sam 12:1-7). Elijah confronts Ahab over the judicial murder of Naboth for a vineyard, the oldest story on record of land seized from a small man by the state (1 Kings 21). Amos stands in the royal sanctuary and announces that God despises the feasts and solemn assemblies of a people whose courts crush the poor: “let justice roll down like waters, and righteousness like an ever-flowing stream” (Amos 5:24). Watch the target carefully: it is the </w:t>
      </w:r>
      <w:r>
        <w:rPr>
          <w:i/>
          <w:iCs/>
        </w:rPr>
        <w:t xml:space="preserve">qahal</w:t>
      </w:r>
      <w:r>
        <w:t xml:space="preserve"> itself, the worshipping assembly, that stands condemned when it sings well and hears nothing. Micah compresses the whole prophetic canon into one requirement: to do justice, to love kindness, and to walk humbly with your God (Mic 6:8); and the last verb, walk, returns us to the vocabulary of Class 1.</w:t>
      </w:r>
    </w:p>
    <w:p>
      <w:pPr>
        <w:spacing w:after="120"/>
      </w:pPr>
      <w:r>
        <w:t xml:space="preserve">The tradition is honest about its counterfeit. Hananiah preached exactly what a frightened nation wished to hear, and was dead within the year (Jer 28). Israel therefore developed tests for true prophecy that every synodal assembly still needs. The true word stands with the covenant and its poor rather than with the appetite of the crowd; it usually costs the speaker something; and it proves itself in fruit. Discernment of spirits, long before Ignatius, is in fact a biblical discipline of the listening assembly.</w:t>
      </w:r>
    </w:p>
    <w:p>
      <w:pPr>
        <w:pBdr>
          <w:left w:val="single" w:color="6A1B9A" w:sz="24"/>
        </w:pBdr>
        <w:shd w:fill="F3E5F5" w:val="clear"/>
        <w:spacing w:after="160" w:before="160"/>
        <w:ind w:left="240"/>
      </w:pPr>
      <w:r>
        <w:rPr>
          <w:b/>
          <w:bCs/>
          <w:color w:val="6A1B9A"/>
        </w:rPr>
        <w:t xml:space="preserve">A NOTE FOR THE CLASSROOM: </w:t>
      </w:r>
      <w:r>
        <w:t xml:space="preserve">Older textbooks presented the prophets chiefly as foretellers of Christ and mined them for predictions. Current scholarship reads them first as covenant witnesses addressing their own generation about idolatry and injustice; the christological sense builds on that first sense rather than replacing it. Teach both levels in order: what Amos meant in Samaria, then what Amos means in Christ. Students who skip the first level turn the prophets into a puzzle book and lose their fire.</w:t>
      </w:r>
    </w:p>
    <w:p>
      <w:pPr>
        <w:pStyle w:val="Heading2"/>
        <w:spacing w:after="120" w:before="220"/>
      </w:pPr>
      <w:r>
        <w:t xml:space="preserve">From Shama to Synod</w:t>
      </w:r>
    </w:p>
    <w:p>
      <w:pPr>
        <w:spacing w:after="120"/>
      </w:pPr>
      <w:r>
        <w:t xml:space="preserve">Gather the threads. The Second Vatican Council opened its constitution on revelation by describing itself, before it teaches anything, as an assembly “hearing the word of God with reverence and proclaiming it with faith”.</w:t>
      </w:r>
      <w:r>
        <w:rPr>
          <w:rStyle w:val="FootnoteReference"/>
        </w:rPr>
        <w:footnoteReference w:id="20"/>
      </w:r>
      <w:r>
        <w:t xml:space="preserve"> Pope Francis stood in the same grammar when he described the synodal Church as a listening Church in which everyone has something to learn: the faithful people, the college of bishops, the Bishop of Rome, each listening to the others, and all listening to the Spirit.</w:t>
      </w:r>
      <w:r>
        <w:rPr>
          <w:rStyle w:val="FootnoteReference"/>
        </w:rPr>
        <w:footnoteReference w:id="21"/>
      </w:r>
      <w:r>
        <w:t xml:space="preserve"> And George Soares-Prabhu, reading the Bible with Indian eyes, insisted that the poor are not merely objects of the mercy of the Church but privileged hearers and interpreters of the word, so that a reading of Scripture which bypasses them bypasses the place where God has chosen to speak.</w:t>
      </w:r>
      <w:r>
        <w:rPr>
          <w:rStyle w:val="FootnoteReference"/>
        </w:rPr>
        <w:footnoteReference w:id="22"/>
      </w:r>
      <w:r>
        <w:t xml:space="preserve"> When Class 14 examines the method the recent Synod called conversation in the Spirit, the students should recognise it at once: it is the discipline of </w:t>
      </w:r>
      <w:r>
        <w:rPr>
          <w:i/>
          <w:iCs/>
        </w:rPr>
        <w:t xml:space="preserve">shama</w:t>
      </w:r>
      <w:r>
        <w:t xml:space="preserve">, of Eli and Samuel, of Horeb silence and prophetic courage, finally given a procedure. The Bible does not merely permit a listening Church. It knows no other kind.</w:t>
      </w:r>
    </w:p>
    <w:p>
      <w:pPr>
        <w:pBdr>
          <w:left w:val="single" w:color="2E7D32" w:sz="24"/>
        </w:pBdr>
        <w:shd w:fill="E8F5E9" w:val="clear"/>
        <w:spacing w:after="160" w:before="160"/>
        <w:ind w:left="240"/>
      </w:pPr>
      <w:r>
        <w:rPr>
          <w:b/>
          <w:bCs/>
          <w:color w:val="2E7D32"/>
        </w:rPr>
        <w:t xml:space="preserve">INDIAN CONTEXT: </w:t>
      </w:r>
      <w:r>
        <w:t xml:space="preserve">A listening Church in India must begin with those the nation has trained itself not to hear. National Crime Records Bureau figures work out to one recorded crime against a Dalit roughly every eighteen minutes, and the true figure is higher, since fear keeps many victims silent.</w:t>
      </w:r>
      <w:r>
        <w:rPr>
          <w:rStyle w:val="FootnoteReference"/>
        </w:rPr>
        <w:footnoteReference w:id="23"/>
      </w:r>
      <w:r>
        <w:t xml:space="preserve"> More than ten thousand farmers lose their lives to suicide each year.</w:t>
      </w:r>
      <w:r>
        <w:rPr>
          <w:rStyle w:val="FootnoteReference"/>
        </w:rPr>
        <w:footnoteReference w:id="24"/>
      </w:r>
      <w:r>
        <w:t xml:space="preserve"> Workers still die cleaning septic tanks by hand. Dalit Christians carry a double silence: excluded from Scheduled Caste protections by the Presidential Order of 1950 because of their Baptism, and, in some places, still given separate seating or separate burial ground within the Church herself. Exodus 3:7 states the order of divine attention: God hears the cry of the enslaved first. A synodal Church in India that does not give its first hearing to these voices may hold every meeting and still hear nothing.</w:t>
      </w:r>
    </w:p>
    <w:p>
      <w:pPr>
        <w:pBdr>
          <w:left w:val="single" w:color="B8860B" w:sz="24"/>
        </w:pBdr>
        <w:shd w:fill="FFF8E1" w:val="clear"/>
        <w:spacing w:after="160" w:before="160"/>
        <w:ind w:left="240"/>
      </w:pPr>
      <w:r>
        <w:rPr>
          <w:b/>
          <w:bCs/>
          <w:color w:val="B8860B"/>
        </w:rPr>
        <w:t xml:space="preserve">CLASSROOM CUE: </w:t>
      </w:r>
      <w:r>
        <w:t xml:space="preserve">Close by assigning one written line for next week: each student names, in a single unsigned sentence, one voice his home parish never hears. Collect and keep these; they will open Class 4 on the community Jesus formed. Assign Acts 2 to 4 as the reading.</w:t>
      </w:r>
    </w:p>
    <w:p>
      <w:pPr>
        <w:pStyle w:val="Heading2"/>
        <w:spacing w:after="120" w:before="220"/>
      </w:pPr>
      <w:r>
        <w:t xml:space="preserve">Questions for Discussion</w:t>
      </w:r>
    </w:p>
    <w:p>
      <w:pPr>
        <w:spacing w:after="120"/>
      </w:pPr>
      <w:r>
        <w:rPr>
          <w:b/>
          <w:bCs/>
        </w:rPr>
        <w:t xml:space="preserve">1.</w:t>
      </w:r>
      <w:r>
        <w:t xml:space="preserve"> The record shows one crime against a Dalit about every eighteen minutes, and some Christian communities still keep separate seating or separate burial grounds. If </w:t>
      </w:r>
      <w:r>
        <w:rPr>
          <w:i/>
          <w:iCs/>
        </w:rPr>
        <w:t xml:space="preserve">shama</w:t>
      </w:r>
      <w:r>
        <w:t xml:space="preserve"> means that to hear is already to begin to obey, what has our long refusal to hear Dalit Christians already decided about us?</w:t>
      </w:r>
    </w:p>
    <w:p>
      <w:pPr>
        <w:spacing w:after="120"/>
      </w:pPr>
      <w:r>
        <w:rPr>
          <w:b/>
          <w:bCs/>
        </w:rPr>
        <w:t xml:space="preserve">2.</w:t>
      </w:r>
      <w:r>
        <w:t xml:space="preserve"> Moses wished that all the people of the LORD were prophets (Num 11:29). Name one lay man or woman, in your parish or village, whose word has functioned prophetically. What allowed that voice to be heard, or what silenced it?</w:t>
      </w:r>
    </w:p>
    <w:p>
      <w:pPr>
        <w:spacing w:after="120"/>
      </w:pPr>
      <w:r>
        <w:rPr>
          <w:b/>
          <w:bCs/>
        </w:rPr>
        <w:t xml:space="preserve">3.</w:t>
      </w:r>
      <w:r>
        <w:t xml:space="preserve"> Hananiah preached what the nation wanted; Jeremiah preached what the covenant demanded. Between WhatsApp forwards, television debates, and pulpits, how should a seminarian in India today test which voices are prophetic and which are merely loud?</w:t>
      </w:r>
    </w:p>
    <w:p>
      <w:r>
        <w:br w:type="page"/>
      </w:r>
    </w:p>
    <w:p>
      <w:pPr>
        <w:pStyle w:val="Heading1"/>
        <w:spacing w:after="160" w:before="280"/>
      </w:pPr>
      <w:r>
        <w:t xml:space="preserve">Bibliography for Part 1</w:t>
      </w:r>
    </w:p>
    <w:p>
      <w:pPr>
        <w:spacing w:after="140"/>
        <w:ind w:left="720" w:hanging="720"/>
      </w:pPr>
      <w:r>
        <w:t xml:space="preserve">Brueggemann, Walter. </w:t>
      </w:r>
      <w:r>
        <w:rPr>
          <w:i/>
          <w:iCs/>
        </w:rPr>
        <w:t xml:space="preserve">The Prophetic Imagination</w:t>
      </w:r>
      <w:r>
        <w:t xml:space="preserve">. 2nd ed. Minneapolis: Fortress Press, 2001.</w:t>
      </w:r>
    </w:p>
    <w:p>
      <w:pPr>
        <w:spacing w:after="140"/>
        <w:ind w:left="720" w:hanging="720"/>
      </w:pPr>
      <w:r>
        <w:t xml:space="preserve">Francis. Address at the Ceremony Commemorating the Fiftieth Anniversary of the Institution of the Synod of Bishops. 17 October 2015.</w:t>
      </w:r>
    </w:p>
    <w:p>
      <w:pPr>
        <w:spacing w:after="140"/>
        <w:ind w:left="720" w:hanging="720"/>
      </w:pPr>
      <w:r>
        <w:t xml:space="preserve">Francis. Apostolic Exhortation </w:t>
      </w:r>
      <w:r>
        <w:rPr>
          <w:i/>
          <w:iCs/>
        </w:rPr>
        <w:t xml:space="preserve">Evangelii Gaudium</w:t>
      </w:r>
      <w:r>
        <w:t xml:space="preserve">. 24 November 2013.</w:t>
      </w:r>
    </w:p>
    <w:p>
      <w:pPr>
        <w:spacing w:after="140"/>
        <w:ind w:left="720" w:hanging="720"/>
      </w:pPr>
      <w:r>
        <w:t xml:space="preserve">Francis. Greeting at the Opening of the XIV Ordinary General Assembly of the Synod of Bishops. 5 October 2015.</w:t>
      </w:r>
    </w:p>
    <w:p>
      <w:pPr>
        <w:spacing w:after="140"/>
        <w:ind w:left="720" w:hanging="720"/>
      </w:pPr>
      <w:r>
        <w:t xml:space="preserve">Francis. Note of Accompaniment to the Final Document of the XVI Ordinary General Assembly of the Synod of Bishops. 24 November 2024.</w:t>
      </w:r>
    </w:p>
    <w:p>
      <w:pPr>
        <w:spacing w:after="140"/>
        <w:ind w:left="720" w:hanging="720"/>
      </w:pPr>
      <w:r>
        <w:t xml:space="preserve">Heschel, Abraham Joshua. </w:t>
      </w:r>
      <w:r>
        <w:rPr>
          <w:i/>
          <w:iCs/>
        </w:rPr>
        <w:t xml:space="preserve">The Prophets</w:t>
      </w:r>
      <w:r>
        <w:t xml:space="preserve">. New York: Harper and Row, 1962.</w:t>
      </w:r>
    </w:p>
    <w:p>
      <w:pPr>
        <w:spacing w:after="140"/>
        <w:ind w:left="720" w:hanging="720"/>
      </w:pPr>
      <w:r>
        <w:t xml:space="preserve">India. The Constitution (Seventy-third Amendment) Act, 1992.</w:t>
      </w:r>
    </w:p>
    <w:p>
      <w:pPr>
        <w:spacing w:after="140"/>
        <w:ind w:left="720" w:hanging="720"/>
      </w:pPr>
      <w:r>
        <w:t xml:space="preserve">India. The Provisions of the Panchayats (Extension to the Scheduled Areas) Act, 1996.</w:t>
      </w:r>
    </w:p>
    <w:p>
      <w:pPr>
        <w:spacing w:after="140"/>
        <w:ind w:left="720" w:hanging="720"/>
      </w:pPr>
      <w:r>
        <w:t xml:space="preserve">International Theological Commission. </w:t>
      </w:r>
      <w:r>
        <w:rPr>
          <w:i/>
          <w:iCs/>
        </w:rPr>
        <w:t xml:space="preserve">Synodality in the Life and Mission of the Church</w:t>
      </w:r>
      <w:r>
        <w:t xml:space="preserve">. Vatican City: Libreria Editrice Vaticana, 2018.</w:t>
      </w:r>
    </w:p>
    <w:p>
      <w:pPr>
        <w:spacing w:after="140"/>
        <w:ind w:left="720" w:hanging="720"/>
      </w:pPr>
      <w:r>
        <w:t xml:space="preserve">John Chrysostom. </w:t>
      </w:r>
      <w:r>
        <w:rPr>
          <w:i/>
          <w:iCs/>
        </w:rPr>
        <w:t xml:space="preserve">Explicatio in Psalmum 149</w:t>
      </w:r>
      <w:r>
        <w:t xml:space="preserve">. In Patrologia Graeca 55.</w:t>
      </w:r>
    </w:p>
    <w:p>
      <w:pPr>
        <w:spacing w:after="140"/>
        <w:ind w:left="720" w:hanging="720"/>
      </w:pPr>
      <w:r>
        <w:t xml:space="preserve">National Crime Records Bureau. </w:t>
      </w:r>
      <w:r>
        <w:rPr>
          <w:i/>
          <w:iCs/>
        </w:rPr>
        <w:t xml:space="preserve">Accidental Deaths and Suicides in India</w:t>
      </w:r>
      <w:r>
        <w:t xml:space="preserve">. New Delhi: Ministry of Home Affairs, Government of India, annual reports.</w:t>
      </w:r>
    </w:p>
    <w:p>
      <w:pPr>
        <w:spacing w:after="140"/>
        <w:ind w:left="720" w:hanging="720"/>
      </w:pPr>
      <w:r>
        <w:t xml:space="preserve">National Crime Records Bureau. </w:t>
      </w:r>
      <w:r>
        <w:rPr>
          <w:i/>
          <w:iCs/>
        </w:rPr>
        <w:t xml:space="preserve">Crime in India</w:t>
      </w:r>
      <w:r>
        <w:t xml:space="preserve">. New Delhi: Ministry of Home Affairs, Government of India, annual reports.</w:t>
      </w:r>
    </w:p>
    <w:p>
      <w:pPr>
        <w:spacing w:after="140"/>
        <w:ind w:left="720" w:hanging="720"/>
      </w:pPr>
      <w:r>
        <w:t xml:space="preserve">Office of the Registrar General and Census Commissioner. </w:t>
      </w:r>
      <w:r>
        <w:rPr>
          <w:i/>
          <w:iCs/>
        </w:rPr>
        <w:t xml:space="preserve">Census of India 2011</w:t>
      </w:r>
      <w:r>
        <w:t xml:space="preserve">. New Delhi: Government of India, 2011.</w:t>
      </w:r>
    </w:p>
    <w:p>
      <w:pPr>
        <w:spacing w:after="140"/>
        <w:ind w:left="720" w:hanging="720"/>
      </w:pPr>
      <w:r>
        <w:t xml:space="preserve">Paul VI. Apostolic Letter issued Motu Proprio </w:t>
      </w:r>
      <w:r>
        <w:rPr>
          <w:i/>
          <w:iCs/>
        </w:rPr>
        <w:t xml:space="preserve">Apostolica Sollicitudo</w:t>
      </w:r>
      <w:r>
        <w:t xml:space="preserve">. 15 September 1965.</w:t>
      </w:r>
    </w:p>
    <w:p>
      <w:pPr>
        <w:spacing w:after="140"/>
        <w:ind w:left="720" w:hanging="720"/>
      </w:pPr>
      <w:r>
        <w:t xml:space="preserve">Schmidt, Karl Ludwig. “ekklesia”. In </w:t>
      </w:r>
      <w:r>
        <w:rPr>
          <w:i/>
          <w:iCs/>
        </w:rPr>
        <w:t xml:space="preserve">Theological Dictionary of the New Testament</w:t>
      </w:r>
      <w:r>
        <w:t xml:space="preserve">, edited by Gerhard Kittel, translated by Geoffrey W. Bromiley, vol. 3, 501-536. Grand Rapids: Eerdmans, 1965.</w:t>
      </w:r>
    </w:p>
    <w:p>
      <w:pPr>
        <w:spacing w:after="140"/>
        <w:ind w:left="720" w:hanging="720"/>
      </w:pPr>
      <w:r>
        <w:t xml:space="preserve">Second Vatican Council. Dogmatic Constitution on Divine Revelation </w:t>
      </w:r>
      <w:r>
        <w:rPr>
          <w:i/>
          <w:iCs/>
        </w:rPr>
        <w:t xml:space="preserve">Dei Verbum</w:t>
      </w:r>
      <w:r>
        <w:t xml:space="preserve">. 18 November 1965.</w:t>
      </w:r>
    </w:p>
    <w:p>
      <w:pPr>
        <w:spacing w:after="140"/>
        <w:ind w:left="720" w:hanging="720"/>
      </w:pPr>
      <w:r>
        <w:t xml:space="preserve">Second Vatican Council. Dogmatic Constitution on the Church </w:t>
      </w:r>
      <w:r>
        <w:rPr>
          <w:i/>
          <w:iCs/>
        </w:rPr>
        <w:t xml:space="preserve">Lumen Gentium</w:t>
      </w:r>
      <w:r>
        <w:t xml:space="preserve">. 21 November 1964.</w:t>
      </w:r>
    </w:p>
    <w:p>
      <w:pPr>
        <w:spacing w:after="140"/>
        <w:ind w:left="720" w:hanging="720"/>
      </w:pPr>
      <w:r>
        <w:t xml:space="preserve">Soares-Prabhu, George M. </w:t>
      </w:r>
      <w:r>
        <w:rPr>
          <w:i/>
          <w:iCs/>
        </w:rPr>
        <w:t xml:space="preserve">Biblical Themes for a Contextual Theology Today</w:t>
      </w:r>
      <w:r>
        <w:t xml:space="preserve">. Edited by Isaac Padinjarekuttu. Collected Writings of George M. Soares-Prabhu, vol. 1. Pune: Jnana-Deepa Vidyapeeth, 1999.</w:t>
      </w:r>
    </w:p>
    <w:p>
      <w:pPr>
        <w:spacing w:after="140"/>
        <w:ind w:left="720" w:hanging="720"/>
      </w:pPr>
      <w:r>
        <w:t xml:space="preserve">XVI Ordinary General Assembly of the Synod of Bishops. </w:t>
      </w:r>
      <w:r>
        <w:rPr>
          <w:i/>
          <w:iCs/>
        </w:rPr>
        <w:t xml:space="preserve">Final Document. For a Synodal Church: Communion, Participation, Mission</w:t>
      </w:r>
      <w:r>
        <w:t xml:space="preserve">. 26 October 2024.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John Chrysostom, Explicatio in Psalmum 149 (PG 55, 493), quoted in International Theological Commission, Synodality in the Life and Mission of the Church (Vatican City: Libreria Editrice Vaticana, 2018), no. 3.</w:t>
      </w:r>
    </w:p>
  </w:footnote>
  <w:footnote w:id="2">
    <w:p>
      <w:r>
        <w:rPr>
          <w:rStyle w:val="FootnoteReference"/>
        </w:rPr>
        <w:footnoteRef/>
      </w:r>
      <w:r>
        <w:rPr>
          <w:sz w:val="20"/>
          <w:szCs w:val="20"/>
        </w:rPr>
        <w:t xml:space="preserve">International Theological Commission, Synodality in the Life and Mission of the Church, no. 6.</w:t>
      </w:r>
    </w:p>
  </w:footnote>
  <w:footnote w:id="3">
    <w:p>
      <w:r>
        <w:rPr>
          <w:rStyle w:val="FootnoteReference"/>
        </w:rPr>
        <w:footnoteRef/>
      </w:r>
      <w:r>
        <w:rPr>
          <w:sz w:val="20"/>
          <w:szCs w:val="20"/>
        </w:rPr>
        <w:t xml:space="preserve">International Theological Commission, Synodality in the Life and Mission of the Church, no. 70.</w:t>
      </w:r>
    </w:p>
  </w:footnote>
  <w:footnote w:id="4">
    <w:p>
      <w:r>
        <w:rPr>
          <w:rStyle w:val="FootnoteReference"/>
        </w:rPr>
        <w:footnoteRef/>
      </w:r>
      <w:r>
        <w:rPr>
          <w:sz w:val="20"/>
          <w:szCs w:val="20"/>
        </w:rPr>
        <w:t xml:space="preserve">International Theological Commission, Synodality in the Life and Mission of the Church, no. 7.</w:t>
      </w:r>
    </w:p>
  </w:footnote>
  <w:footnote w:id="5">
    <w:p>
      <w:r>
        <w:rPr>
          <w:rStyle w:val="FootnoteReference"/>
        </w:rPr>
        <w:footnoteRef/>
      </w:r>
      <w:r>
        <w:rPr>
          <w:sz w:val="20"/>
          <w:szCs w:val="20"/>
        </w:rPr>
        <w:t xml:space="preserve">Second Vatican Council, Dogmatic Constitution on the Church Lumen Gentium (21 November 1964), chapters II and III.</w:t>
      </w:r>
    </w:p>
  </w:footnote>
  <w:footnote w:id="6">
    <w:p>
      <w:r>
        <w:rPr>
          <w:rStyle w:val="FootnoteReference"/>
        </w:rPr>
        <w:footnoteRef/>
      </w:r>
      <w:r>
        <w:rPr>
          <w:sz w:val="20"/>
          <w:szCs w:val="20"/>
        </w:rPr>
        <w:t xml:space="preserve">Paul VI, Apostolic Letter issued Motu Proprio Apostolica Sollicitudo (15 September 1965).</w:t>
      </w:r>
    </w:p>
  </w:footnote>
  <w:footnote w:id="7">
    <w:p>
      <w:r>
        <w:rPr>
          <w:rStyle w:val="FootnoteReference"/>
        </w:rPr>
        <w:footnoteRef/>
      </w:r>
      <w:r>
        <w:rPr>
          <w:sz w:val="20"/>
          <w:szCs w:val="20"/>
        </w:rPr>
        <w:t xml:space="preserve">Francis, Address at the Ceremony Commemorating the Fiftieth Anniversary of the Institution of the Synod of Bishops (17 October 2015).</w:t>
      </w:r>
    </w:p>
  </w:footnote>
  <w:footnote w:id="8">
    <w:p>
      <w:r>
        <w:rPr>
          <w:rStyle w:val="FootnoteReference"/>
        </w:rPr>
        <w:footnoteRef/>
      </w:r>
      <w:r>
        <w:rPr>
          <w:sz w:val="20"/>
          <w:szCs w:val="20"/>
        </w:rPr>
        <w:t xml:space="preserve">XVI Ordinary General Assembly of the Synod of Bishops, Final Document, For a Synodal Church: Communion, Participation, Mission (26 October 2024), no. 28.</w:t>
      </w:r>
    </w:p>
  </w:footnote>
  <w:footnote w:id="9">
    <w:p>
      <w:r>
        <w:rPr>
          <w:rStyle w:val="FootnoteReference"/>
        </w:rPr>
        <w:footnoteRef/>
      </w:r>
      <w:r>
        <w:rPr>
          <w:sz w:val="20"/>
          <w:szCs w:val="20"/>
        </w:rPr>
        <w:t xml:space="preserve">Francis, Note of Accompaniment to the Final Document of the XVI Ordinary General Assembly of the Synod of Bishops (24 November 2024).</w:t>
      </w:r>
    </w:p>
  </w:footnote>
  <w:footnote w:id="10">
    <w:p>
      <w:r>
        <w:rPr>
          <w:rStyle w:val="FootnoteReference"/>
        </w:rPr>
        <w:footnoteRef/>
      </w:r>
      <w:r>
        <w:rPr>
          <w:sz w:val="20"/>
          <w:szCs w:val="20"/>
        </w:rPr>
        <w:t xml:space="preserve">Lumen Gentium, no. 12.</w:t>
      </w:r>
    </w:p>
  </w:footnote>
  <w:footnote w:id="11">
    <w:p>
      <w:r>
        <w:rPr>
          <w:rStyle w:val="FootnoteReference"/>
        </w:rPr>
        <w:footnoteRef/>
      </w:r>
      <w:r>
        <w:rPr>
          <w:sz w:val="20"/>
          <w:szCs w:val="20"/>
        </w:rPr>
        <w:t xml:space="preserve">Francis, Apostolic Exhortation Evangelii Gaudium (24 November 2013), no. 119.</w:t>
      </w:r>
    </w:p>
  </w:footnote>
  <w:footnote w:id="12">
    <w:p>
      <w:r>
        <w:rPr>
          <w:rStyle w:val="FootnoteReference"/>
        </w:rPr>
        <w:footnoteRef/>
      </w:r>
      <w:r>
        <w:rPr>
          <w:sz w:val="20"/>
          <w:szCs w:val="20"/>
        </w:rPr>
        <w:t xml:space="preserve">The Constitution (Seventy-third Amendment) Act, 1992; The Provisions of the Panchayats (Extension to the Scheduled Areas) Act, 1996.</w:t>
      </w:r>
    </w:p>
  </w:footnote>
  <w:footnote w:id="13">
    <w:p>
      <w:r>
        <w:rPr>
          <w:rStyle w:val="FootnoteReference"/>
        </w:rPr>
        <w:footnoteRef/>
      </w:r>
      <w:r>
        <w:rPr>
          <w:sz w:val="20"/>
          <w:szCs w:val="20"/>
        </w:rPr>
        <w:t xml:space="preserve">Francis, Greeting at the Opening of the XIV Ordinary General Assembly of the Synod of Bishops (5 October 2015).</w:t>
      </w:r>
    </w:p>
  </w:footnote>
  <w:footnote w:id="14">
    <w:p>
      <w:r>
        <w:rPr>
          <w:rStyle w:val="FootnoteReference"/>
        </w:rPr>
        <w:footnoteRef/>
      </w:r>
      <w:r>
        <w:rPr>
          <w:sz w:val="20"/>
          <w:szCs w:val="20"/>
        </w:rPr>
        <w:t xml:space="preserve">Karl Ludwig Schmidt, “ekklesia”, in Theological Dictionary of the New Testament, ed. Gerhard Kittel, trans. Geoffrey W. Bromiley, vol. 3 (Grand Rapids: Eerdmans, 1965), 501-536.</w:t>
      </w:r>
    </w:p>
  </w:footnote>
  <w:footnote w:id="15">
    <w:p>
      <w:r>
        <w:rPr>
          <w:rStyle w:val="FootnoteReference"/>
        </w:rPr>
        <w:footnoteRef/>
      </w:r>
      <w:r>
        <w:rPr>
          <w:sz w:val="20"/>
          <w:szCs w:val="20"/>
        </w:rPr>
        <w:t xml:space="preserve">Second Vatican Council, Dogmatic Constitution on the Church Lumen Gentium (21 November 1964), no. 9.</w:t>
      </w:r>
    </w:p>
  </w:footnote>
  <w:footnote w:id="16">
    <w:p>
      <w:r>
        <w:rPr>
          <w:rStyle w:val="FootnoteReference"/>
        </w:rPr>
        <w:footnoteRef/>
      </w:r>
      <w:r>
        <w:rPr>
          <w:sz w:val="20"/>
          <w:szCs w:val="20"/>
        </w:rPr>
        <w:t xml:space="preserve">Lumen Gentium, no. 9.</w:t>
      </w:r>
    </w:p>
  </w:footnote>
  <w:footnote w:id="17">
    <w:p>
      <w:r>
        <w:rPr>
          <w:rStyle w:val="FootnoteReference"/>
        </w:rPr>
        <w:footnoteRef/>
      </w:r>
      <w:r>
        <w:rPr>
          <w:sz w:val="20"/>
          <w:szCs w:val="20"/>
        </w:rPr>
        <w:t xml:space="preserve">Office of the Registrar General and Census Commissioner, Census of India 2011 (New Delhi: Government of India, 2011).</w:t>
      </w:r>
    </w:p>
  </w:footnote>
  <w:footnote w:id="18">
    <w:p>
      <w:r>
        <w:rPr>
          <w:rStyle w:val="FootnoteReference"/>
        </w:rPr>
        <w:footnoteRef/>
      </w:r>
      <w:r>
        <w:rPr>
          <w:sz w:val="20"/>
          <w:szCs w:val="20"/>
        </w:rPr>
        <w:t xml:space="preserve">Abraham Joshua Heschel, The Prophets (New York: Harper and Row, 1962).</w:t>
      </w:r>
    </w:p>
  </w:footnote>
  <w:footnote w:id="19">
    <w:p>
      <w:r>
        <w:rPr>
          <w:rStyle w:val="FootnoteReference"/>
        </w:rPr>
        <w:footnoteRef/>
      </w:r>
      <w:r>
        <w:rPr>
          <w:sz w:val="20"/>
          <w:szCs w:val="20"/>
        </w:rPr>
        <w:t xml:space="preserve">Walter Brueggemann, The Prophetic Imagination, 2nd ed. (Minneapolis: Fortress Press, 2001).</w:t>
      </w:r>
    </w:p>
  </w:footnote>
  <w:footnote w:id="20">
    <w:p>
      <w:r>
        <w:rPr>
          <w:rStyle w:val="FootnoteReference"/>
        </w:rPr>
        <w:footnoteRef/>
      </w:r>
      <w:r>
        <w:rPr>
          <w:sz w:val="20"/>
          <w:szCs w:val="20"/>
        </w:rPr>
        <w:t xml:space="preserve">Second Vatican Council, Dogmatic Constitution on Divine Revelation Dei Verbum (18 November 1965), no. 1.</w:t>
      </w:r>
    </w:p>
  </w:footnote>
  <w:footnote w:id="21">
    <w:p>
      <w:r>
        <w:rPr>
          <w:rStyle w:val="FootnoteReference"/>
        </w:rPr>
        <w:footnoteRef/>
      </w:r>
      <w:r>
        <w:rPr>
          <w:sz w:val="20"/>
          <w:szCs w:val="20"/>
        </w:rPr>
        <w:t xml:space="preserve">Francis, Address at the Ceremony Commemorating the Fiftieth Anniversary of the Institution of the Synod of Bishops (17 October 2015).</w:t>
      </w:r>
    </w:p>
  </w:footnote>
  <w:footnote w:id="22">
    <w:p>
      <w:r>
        <w:rPr>
          <w:rStyle w:val="FootnoteReference"/>
        </w:rPr>
        <w:footnoteRef/>
      </w:r>
      <w:r>
        <w:rPr>
          <w:sz w:val="20"/>
          <w:szCs w:val="20"/>
        </w:rPr>
        <w:t xml:space="preserve">George M. Soares-Prabhu, Biblical Themes for a Contextual Theology Today, ed. Isaac Padinjarekuttu, Collected Writings of George M. Soares-Prabhu, vol. 1 (Pune: Jnana-Deepa Vidyapeeth, 1999).</w:t>
      </w:r>
    </w:p>
  </w:footnote>
  <w:footnote w:id="23">
    <w:p>
      <w:r>
        <w:rPr>
          <w:rStyle w:val="FootnoteReference"/>
        </w:rPr>
        <w:footnoteRef/>
      </w:r>
      <w:r>
        <w:rPr>
          <w:sz w:val="20"/>
          <w:szCs w:val="20"/>
        </w:rPr>
        <w:t xml:space="preserve">Computed from National Crime Records Bureau, Crime in India (New Delhi: Ministry of Home Affairs, Government of India, annual reports).</w:t>
      </w:r>
    </w:p>
  </w:footnote>
  <w:footnote w:id="24">
    <w:p>
      <w:r>
        <w:rPr>
          <w:rStyle w:val="FootnoteReference"/>
        </w:rPr>
        <w:footnoteRef/>
      </w:r>
      <w:r>
        <w:rPr>
          <w:sz w:val="20"/>
          <w:szCs w:val="20"/>
        </w:rPr>
        <w:t xml:space="preserve">National Crime Records Bureau, Accidental Deaths and Suicides in India (New Delhi: Ministry of Home Affairs, Government of India, annual reports).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2026-07-06T14:15:28.448Z</dcterms:created>
  <dcterms:modified xsi:type="dcterms:W3CDTF">2026-07-06T14:15:28.462Z</dcterms:modified>
</cp:coreProperties>
</file>

<file path=docProps/custom.xml><?xml version="1.0" encoding="utf-8"?>
<Properties xmlns="http://schemas.openxmlformats.org/officeDocument/2006/custom-properties" xmlns:vt="http://schemas.openxmlformats.org/officeDocument/2006/docPropsVTypes"/>
</file>