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00"/>
        <w:jc w:val="center"/>
      </w:pPr>
      <w:r>
        <w:rPr>
          <w:b/>
          <w:bCs/>
          <w:sz w:val="40"/>
          <w:szCs w:val="40"/>
        </w:rPr>
        <w:t xml:space="preserve">THEOLOGY OF SYNODALITY</w:t>
      </w:r>
    </w:p>
    <w:p>
      <w:pPr>
        <w:spacing w:after="80" w:before="0"/>
        <w:jc w:val="center"/>
      </w:pPr>
      <w:r>
        <w:rPr>
          <w:b w:val="false"/>
          <w:bCs w:val="false"/>
          <w:sz w:val="26"/>
          <w:szCs w:val="26"/>
        </w:rPr>
        <w:t xml:space="preserve">Lecture Notes for the Bachelor of Theology</w:t>
      </w:r>
    </w:p>
    <w:p>
      <w:pPr>
        <w:spacing w:after="80" w:before="0"/>
        <w:jc w:val="center"/>
      </w:pPr>
      <w:r>
        <w:rPr>
          <w:b w:val="false"/>
          <w:bCs w:val="false"/>
          <w:sz w:val="26"/>
          <w:szCs w:val="26"/>
        </w:rPr>
        <w:t xml:space="preserve">Teacher Edition</w:t>
      </w:r>
    </w:p>
    <w:p>
      <w:pPr>
        <w:spacing w:after="400" w:before="0"/>
        <w:jc w:val="center"/>
      </w:pPr>
      <w:r>
        <w:rPr>
          <w:b/>
          <w:bCs/>
          <w:sz w:val="26"/>
          <w:szCs w:val="26"/>
        </w:rPr>
        <w:t xml:space="preserve">Part 3: Classes 7 to 9 of 15</w:t>
      </w:r>
    </w:p>
    <w:p>
      <w:pPr>
        <w:spacing w:after="80" w:before="0"/>
        <w:jc w:val="center"/>
      </w:pPr>
      <w:r>
        <w:rPr>
          <w:b w:val="false"/>
          <w:bCs w:val="false"/>
          <w:sz w:val="24"/>
          <w:szCs w:val="24"/>
        </w:rPr>
        <w:t xml:space="preserve">Morning Star Regional Seminary, Barrackpore</w:t>
      </w:r>
    </w:p>
    <w:p>
      <w:pPr>
        <w:spacing w:after="400" w:before="0"/>
        <w:jc w:val="center"/>
      </w:pPr>
      <w:r>
        <w:rPr>
          <w:b w:val="false"/>
          <w:bCs w:val="false"/>
          <w:sz w:val="24"/>
          <w:szCs w:val="24"/>
        </w:rPr>
        <w:t xml:space="preserve">Rev. Prof. William Anthony, MSFS</w:t>
      </w:r>
    </w:p>
    <w:p>
      <w:pPr>
        <w:spacing w:after="200" w:before="0"/>
        <w:jc w:val="center"/>
      </w:pPr>
      <w:r>
        <w:rPr>
          <w:b w:val="false"/>
          <w:bCs w:val="false"/>
          <w:sz w:val="24"/>
          <w:szCs w:val="24"/>
        </w:rPr>
        <w:t xml:space="preserve">Course thread: Communion, Participation, Mission</w:t>
      </w:r>
    </w:p>
    <w:p>
      <w:pPr>
        <w:pStyle w:val="Heading2"/>
        <w:spacing w:after="120" w:before="220"/>
      </w:pPr>
      <w:r>
        <w:t xml:space="preserve">How to Use These Notes</w:t>
      </w:r>
    </w:p>
    <w:p>
      <w:pPr>
        <w:spacing w:after="120"/>
      </w:pPr>
      <w:r>
        <w:t xml:space="preserve">Part 3 carries Classes 7 to 9. Class 7 completes Module 4 by looking at ministry within the community and at the discernment practised in the monasteries. Classes 8 and 9 span Module 5, the long history in which synodal life first declined under centralising pressure and then began to recover in the century before the Second Vatican Council. The four coloured boxes keep their meaning: gold cues for the teacher alone, green boxes for the Indian setting, blue boxes for worked examples, purple boxes for places where current scholarship parts company with the older manuals. Scripture is quoted from the Revised Standard Version, Second Catholic Edition, and each class fills 45 minutes.</w:t>
      </w:r>
    </w:p>
    <w:p>
      <w:r>
        <w:br w:type="page"/>
      </w:r>
    </w:p>
    <w:p>
      <w:pPr>
        <w:pStyle w:val="Heading1"/>
        <w:spacing w:after="160" w:before="280"/>
      </w:pPr>
      <w:r>
        <w:t xml:space="preserve">CLASS 7: MINISTRY WITHIN THE COMMUNITY AND MONASTIC DISCERNMENT</w:t>
      </w:r>
    </w:p>
    <w:p>
      <w:pPr>
        <w:spacing w:after="120"/>
      </w:pPr>
      <w:r>
        <w:rPr>
          <w:i/>
          <w:iCs/>
        </w:rPr>
        <w:t xml:space="preserve">Module 4: The Early Church</w:t>
      </w:r>
    </w:p>
    <w:p>
      <w:pPr>
        <w:pStyle w:val="Heading2"/>
        <w:spacing w:after="120" w:before="220"/>
      </w:pPr>
      <w:r>
        <w:t xml:space="preserve">Aim of the Class</w:t>
      </w:r>
    </w:p>
    <w:p>
      <w:pPr>
        <w:spacing w:after="120"/>
      </w:pPr>
      <w:r>
        <w:t xml:space="preserve">Class 6 followed the synod outward, from the local church to the province to the council of the whole world. This class turns inward, to the shape of ministry within the single community and to the school of discernment that the monasteries became. Students should leave able to show that ordained ministry in the ancient church stood inside the people rather than above it, that bishops and deacons were often chosen with the participation of the community, and that the Rule of Benedict placed a settled duty on the abbot to consult the whole community, including its youngest members, before deciding grave matters.</w:t>
      </w:r>
    </w:p>
    <w:p>
      <w:pPr>
        <w:pBdr>
          <w:left w:val="single" w:color="B8860B" w:sz="24"/>
        </w:pBdr>
        <w:shd w:fill="FFF8E1" w:val="clear"/>
        <w:spacing w:after="160" w:before="160"/>
        <w:ind w:left="240"/>
      </w:pPr>
      <w:r>
        <w:rPr>
          <w:b/>
          <w:bCs/>
          <w:color w:val="B8860B"/>
        </w:rPr>
        <w:t xml:space="preserve">CLASSROOM CUE: </w:t>
      </w:r>
      <w:r>
        <w:t xml:space="preserve">Recall from Class 6 the Cyprian sentence: nothing without counsel, nothing without consent. Ask the class where a parish priest today takes counsel and from whom. Board plan for today: how ministers were chosen, then the deacon as the ear of the community, then Basil and Benedict on communal discernment. Keep ten minutes for chapter three of the Rule of Benedict, which is the heart of the class.</w:t>
      </w:r>
    </w:p>
    <w:p>
      <w:pPr>
        <w:pStyle w:val="Heading2"/>
        <w:spacing w:after="120" w:before="220"/>
      </w:pPr>
      <w:r>
        <w:t xml:space="preserve">Ministers Chosen With the People</w:t>
      </w:r>
    </w:p>
    <w:p>
      <w:pPr>
        <w:spacing w:after="120"/>
      </w:pPr>
      <w:r>
        <w:t xml:space="preserve">The ancient church did not experience ordained ministry as a caste dropped upon the community from outside. Ministers rose from within the people and were frequently chosen with the participation of the people. The African councils over which Cyprian presided held that the choice of a bishop should be made in the presence of the people, who knew the life of each candidate, so that an unworthy man might be exposed and a worthy one confirmed by the testimony of those among whom he had lived.</w:t>
      </w:r>
      <w:r>
        <w:rPr>
          <w:rStyle w:val="FootnoteReference"/>
        </w:rPr>
        <w:footnoteReference w:id="1"/>
      </w:r>
      <w:r>
        <w:t xml:space="preserve"> The famous rule attributed to Pope Celestine, that no bishop should be given to those unwilling to receive him, and the acclamation by which congregations sometimes elected their pastors, of which the sudden election of Ambrose at Milan is the best-known instance, both witness to the same conviction: the one who presides must be received by the community he serves. Election, examination, and consent belonged together, and the modern rediscovery of the participation of the faithful in the life of the church is in part a return to this ancient practice.</w:t>
      </w:r>
    </w:p>
    <w:p>
      <w:pPr>
        <w:spacing w:after="120"/>
      </w:pPr>
      <w:r>
        <w:t xml:space="preserve">The deacon deserves particular attention, for the diaconate is the ministry of the ear and the hand within the community. From the appointment of the seven in Acts 6, chosen by the whole assembly to serve the neglected widows so that no group would be overlooked, the deacon was the minister who kept the community attentive to its poorest members. In the ancient church the deacon knew the households, carried the Eucharist to the absent, managed the relief of the needy, and brought the condition of the people to the bishop. Where the bishop presided, the deacon listened at the edges, and the two ministries together kept the church both ordered and attentive. A community that hears its poor is a community with living deacons, whatever their number.</w:t>
      </w:r>
    </w:p>
    <w:p>
      <w:pPr>
        <w:pStyle w:val="Heading2"/>
        <w:spacing w:after="120" w:before="220"/>
      </w:pPr>
      <w:r>
        <w:t xml:space="preserve">The Monastery as a School of Discernment</w:t>
      </w:r>
    </w:p>
    <w:p>
      <w:pPr>
        <w:spacing w:after="120"/>
      </w:pPr>
      <w:r>
        <w:t xml:space="preserve">When the age of the martyrs ended and the church settled into the world, it was the monasteries that became the laboratories of communal life, and it is there that the practice of shared discernment was most carefully refined. Basil of Caesarea, writing his rules for community in the fourth century, insisted that the monk does not seek the will of God in isolation but within the brotherhood, where the counsel of many and the correction of the community protect the individual from the deceptions of his own heart.</w:t>
      </w:r>
      <w:r>
        <w:rPr>
          <w:rStyle w:val="FootnoteReference"/>
        </w:rPr>
        <w:footnoteReference w:id="2"/>
      </w:r>
      <w:r>
        <w:t xml:space="preserve"> For Basil the common life is not merely a convenience but a spiritual necessity, since charity cannot be practised alone and the gifts of one are given for the building of all. The monastery was, in this sense, a small synodal church, a place where the discernment of the will of God was a shared labour.</w:t>
      </w:r>
    </w:p>
    <w:p>
      <w:pPr>
        <w:spacing w:after="120"/>
      </w:pPr>
      <w:r>
        <w:t xml:space="preserve">The Rule of Benedict, written in the sixth century and destined to shape the whole of Western monastic and, through it, ecclesial life, gave this discernment a durable form in its third chapter, on calling the brethren to counsel.</w:t>
      </w:r>
      <w:r>
        <w:rPr>
          <w:rStyle w:val="FootnoteReference"/>
        </w:rPr>
        <w:footnoteReference w:id="3"/>
      </w:r>
      <w:r>
        <w:t xml:space="preserve"> The chapter deserves to be read aloud in class. Whenever any weighty matter is to be decided in the monastery, Benedict directs, the abbot shall call the whole community together and set the matter before them. He then adds the sentence that startles every reader: the reason the whole community is summoned is that the Lord often reveals to the younger what is better. The youngest and least senior monk may be the one through whom God speaks, and so all must be heard. The brothers give their counsel with humility and do not presume to defend their own views stubbornly; the decision rests finally with the abbot, who must weigh what he has heard and then determine what is best. Here is the ancient synodal balance held with perfect precision: universal consultation and personal responsibility, everyone heard and one deciding, the voice of the young protected and the office of the one who presides preserved.</w:t>
      </w:r>
    </w:p>
    <w:p>
      <w:pPr>
        <w:pBdr>
          <w:left w:val="single" w:color="1565C0" w:sz="24"/>
        </w:pBdr>
        <w:shd w:fill="E3F2FD" w:val="clear"/>
        <w:spacing w:after="160" w:before="160"/>
        <w:ind w:left="240"/>
      </w:pPr>
      <w:r>
        <w:rPr>
          <w:b/>
          <w:bCs/>
          <w:color w:val="1565C0"/>
        </w:rPr>
        <w:t xml:space="preserve">EXAMPLE: </w:t>
      </w:r>
      <w:r>
        <w:t xml:space="preserve">Picture a village headmaster deciding whether to change the timing of the school day during the monsoon. A foolish head announces the new timing on a notice at the gate. A wise head calls the teachers, the older students, the parents who walk their children along the flooded road, and even the youngest child who knows which lane fills first, and only then decides. He still decides, and the decision is his; but he decides having heard the one whose feet are actually in the water. That is precisely the instinct of chapter three of the Rule of Benedict: the Lord often reveals to the younger what is better.</w:t>
      </w:r>
    </w:p>
    <w:p>
      <w:pPr>
        <w:pBdr>
          <w:left w:val="single" w:color="6A1B9A" w:sz="24"/>
        </w:pBdr>
        <w:shd w:fill="F3E5F5" w:val="clear"/>
        <w:spacing w:after="160" w:before="160"/>
        <w:ind w:left="240"/>
      </w:pPr>
      <w:r>
        <w:rPr>
          <w:b/>
          <w:bCs/>
          <w:color w:val="6A1B9A"/>
        </w:rPr>
        <w:t xml:space="preserve">A NOTE FOR THE CLASSROOM: </w:t>
      </w:r>
      <w:r>
        <w:t xml:space="preserve">Avoid two opposite errors when teaching this material. The first romanticises the ancient church as a lost democracy; popular participation in choosing ministers was real but was always exercised together with the clergy and the neighbouring bishops, never as a bare popular vote, and it was often turbulent and open to manipulation. The second dismisses the consultative chapters of the monastic rules as mere courtesy, leaving all real power with the abbot; but Benedict binds the abbot to summon the community and to listen, and the tradition treated this as a genuine obligation, not an optional gesture. The truth to hand the students is that the ancient and monastic church knew a disciplined synodality, real listening within real authority, and that this is the living root the present reform seeks to recover.</w:t>
      </w:r>
    </w:p>
    <w:p>
      <w:pPr>
        <w:pBdr>
          <w:left w:val="single" w:color="2E7D32" w:sz="24"/>
        </w:pBdr>
        <w:shd w:fill="E8F5E9" w:val="clear"/>
        <w:spacing w:after="160" w:before="160"/>
        <w:ind w:left="240"/>
      </w:pPr>
      <w:r>
        <w:rPr>
          <w:b/>
          <w:bCs/>
          <w:color w:val="2E7D32"/>
        </w:rPr>
        <w:t xml:space="preserve">INDIAN CONTEXT: </w:t>
      </w:r>
      <w:r>
        <w:t xml:space="preserve">The Indian religious inheritance holds its own schools of communal discernment, and the seminarian formed in a religious congregation already knows several of them. The chapter of a religious house, in which the community gathers to decide its common affairs and to elect its superiors, is a direct descendant of chapter three of the Rule of Benedict, and it remains one of the most genuinely synodal structures the Indian Church possesses. The ashram tradition, taken up by Christian pioneers such as those at Shantivanam and Kurisumala, sought a common life of shared prayer and shared decision in an Indian idiom. Even the older tribal institutions carry the same instinct, for the parha of the Oraons and the manjhi-than of the Santals reach decisions by talking a matter through the whole gathering rather than by the will of one man. The task before the Indian Church is to let these living schools of discernment shape the parish and the diocese, so that the synodal habit practised in the novitiate and the tribal village is not left behind at the door of the presbytery.</w:t>
      </w:r>
    </w:p>
    <w:p>
      <w:pPr>
        <w:pBdr>
          <w:left w:val="single" w:color="B8860B" w:sz="24"/>
        </w:pBdr>
        <w:shd w:fill="FFF8E1" w:val="clear"/>
        <w:spacing w:after="160" w:before="160"/>
        <w:ind w:left="240"/>
      </w:pPr>
      <w:r>
        <w:rPr>
          <w:b/>
          <w:bCs/>
          <w:color w:val="B8860B"/>
        </w:rPr>
        <w:t xml:space="preserve">CLASSROOM CUE: </w:t>
      </w:r>
      <w:r>
        <w:t xml:space="preserve">Close by writing on the board the two halves that must always be held together: all are consulted, one decides. Tell the class that Part 3 now turns to the long centuries in which the first half was allowed to wither while the second grew without limit, so that they may measure the loss precisely. Assign a short reading on the Councils of Constance and Trent before the next class.</w:t>
      </w:r>
    </w:p>
    <w:p>
      <w:pPr>
        <w:pStyle w:val="Heading2"/>
        <w:spacing w:after="120" w:before="220"/>
      </w:pPr>
      <w:r>
        <w:t xml:space="preserve">Questions for Discussion</w:t>
      </w:r>
    </w:p>
    <w:p>
      <w:pPr>
        <w:spacing w:after="120"/>
      </w:pPr>
      <w:r>
        <w:rPr>
          <w:b/>
          <w:bCs/>
        </w:rPr>
        <w:t xml:space="preserve">1.</w:t>
      </w:r>
      <w:r>
        <w:t xml:space="preserve"> In the ancient church the community that knew a candidate testified to his fitness before he was ordained. What would it change in the formation and appointment of priests in India today if the people who had lived alongside a candidate were genuinely heard?</w:t>
      </w:r>
    </w:p>
    <w:p>
      <w:pPr>
        <w:spacing w:after="120"/>
      </w:pPr>
      <w:r>
        <w:rPr>
          <w:b/>
          <w:bCs/>
        </w:rPr>
        <w:t xml:space="preserve">2.</w:t>
      </w:r>
      <w:r>
        <w:t xml:space="preserve"> Benedict summoned the whole community because the Lord often reveals to the younger what is better. In your diocese or congregation, where is the voice of the youngest genuinely sought, and where is seniority allowed to silence it?</w:t>
      </w:r>
    </w:p>
    <w:p>
      <w:pPr>
        <w:spacing w:after="120"/>
      </w:pPr>
      <w:r>
        <w:rPr>
          <w:b/>
          <w:bCs/>
        </w:rPr>
        <w:t xml:space="preserve">3.</w:t>
      </w:r>
      <w:r>
        <w:t xml:space="preserve"> The chapter of a religious house and the tribal parha both decide by talking a matter through the whole gathering. What would a parish pastoral council in West Bengal look like if it truly worked in that manner rather than merely ratifying decisions already taken?</w:t>
      </w:r>
    </w:p>
    <w:p>
      <w:r>
        <w:br w:type="page"/>
      </w:r>
    </w:p>
    <w:p>
      <w:pPr>
        <w:pStyle w:val="Heading1"/>
        <w:spacing w:after="160" w:before="280"/>
      </w:pPr>
      <w:r>
        <w:t xml:space="preserve">CLASS 8: MEDIEVAL DEVELOPMENT AND DECLINE</w:t>
      </w:r>
    </w:p>
    <w:p>
      <w:pPr>
        <w:spacing w:after="120"/>
      </w:pPr>
      <w:r>
        <w:rPr>
          <w:i/>
          <w:iCs/>
        </w:rPr>
        <w:t xml:space="preserve">Module 5: From the Middle Ages to the Modern Period</w:t>
      </w:r>
    </w:p>
    <w:p>
      <w:pPr>
        <w:pStyle w:val="Heading2"/>
        <w:spacing w:after="120" w:before="220"/>
      </w:pPr>
      <w:r>
        <w:t xml:space="preserve">Aim of the Class</w:t>
      </w:r>
    </w:p>
    <w:p>
      <w:pPr>
        <w:spacing w:after="120"/>
      </w:pPr>
      <w:r>
        <w:t xml:space="preserve">This class narrates the hardest stretch of the whole history, the long centuries in which the synodal instinct of the ancient church weakened while authority gathered increasingly at the centre. Students should leave able to explain why councils continued yet changed in character, what the conciliarist crisis of the fifteenth century was and why the church rejected its extreme form, how the Council of Trent both reformed the church and, in its aftermath, tightened central control, and how this centralising current reached its high point at the First Vatican Council. The class is not an accusation but a diagnosis, so that the students may understand what the twentieth century set out to recover.</w:t>
      </w:r>
    </w:p>
    <w:p>
      <w:pPr>
        <w:pBdr>
          <w:left w:val="single" w:color="B8860B" w:sz="24"/>
        </w:pBdr>
        <w:shd w:fill="FFF8E1" w:val="clear"/>
        <w:spacing w:after="160" w:before="160"/>
        <w:ind w:left="240"/>
      </w:pPr>
      <w:r>
        <w:rPr>
          <w:b/>
          <w:bCs/>
          <w:color w:val="B8860B"/>
        </w:rPr>
        <w:t xml:space="preserve">CLASSROOM CUE: </w:t>
      </w:r>
      <w:r>
        <w:t xml:space="preserve">Begin by recalling the two halves from Class 7, all are consulted and one decides, and say plainly that this class is the story of what happens to a body when the first half is neglected. Board plan as a descending line: living councils, then the conciliarist crisis, then Trent and its aftermath, then the centralised high point. Warn the class at the outset that this is diagnosis, not grievance.</w:t>
      </w:r>
    </w:p>
    <w:p>
      <w:pPr>
        <w:pStyle w:val="Heading2"/>
        <w:spacing w:after="120" w:before="220"/>
      </w:pPr>
      <w:r>
        <w:t xml:space="preserve">Councils That Continued but Changed</w:t>
      </w:r>
    </w:p>
    <w:p>
      <w:pPr>
        <w:spacing w:after="120"/>
      </w:pPr>
      <w:r>
        <w:t xml:space="preserve">The medieval church never stopped holding councils, and the great councils of the West, from the Lateran gatherings to Lyons and Vienne, legislated for the whole church with real authority. Yet their character shifted in ways the students should notice. The ancient council had been chiefly an assembly of bishops discerning the faith in communion with one another and with their churches. The medieval general council increasingly became an instrument of the papacy, convoked by the pope, presided over in his name, and understood as deriving its authority from him. The participation of the wider church thinned. The sensus fidei of the whole body of the faithful, so alive in the ancient centuries, was less and less invoked as a source of the discernment of the church. Authority did not disappear from the church; it concentrated. The living circulation between the head and the members, which the ancient synod had kept in motion, began to slow.</w:t>
      </w:r>
    </w:p>
    <w:p>
      <w:pPr>
        <w:pStyle w:val="Heading2"/>
        <w:spacing w:after="120" w:before="220"/>
      </w:pPr>
      <w:r>
        <w:t xml:space="preserve">The Conciliarist Crisis</w:t>
      </w:r>
    </w:p>
    <w:p>
      <w:pPr>
        <w:spacing w:after="120"/>
      </w:pPr>
      <w:r>
        <w:t xml:space="preserve">The concentration provoked a reaction, and the reaction overreached. In 1378 the Western church fell into the scandal of two, and then three, rival claimants to the papacy, and no one on earth held clear authority to judge among them. Into this vacuum stepped the conciliarist theologians, who argued that a general council, representing the whole church, stood above the pope and could judge and depose him. The Council of Constance, which finally ended the schism in 1417 by securing the resignation or deposition of the rival claimants and electing a single pope, issued in its decree Haec Sancta the strong claim that the council held its power immediately from Christ and that everyone, including the pope, was bound to obey it in matters of faith and the reform of the church.</w:t>
      </w:r>
      <w:r>
        <w:rPr>
          <w:rStyle w:val="FootnoteReference"/>
        </w:rPr>
        <w:footnoteReference w:id="4"/>
      </w:r>
      <w:r>
        <w:t xml:space="preserve"> Constance ended the schism, a genuine service to the church, but the principle it invoked contained a grave danger, for a council permanently superior to the pope would have dissolved the office of unity that holds the whole church in communion.</w:t>
      </w:r>
    </w:p>
    <w:p>
      <w:pPr>
        <w:spacing w:after="120"/>
      </w:pPr>
      <w:r>
        <w:t xml:space="preserve">The church, in the end, did not receive the extreme conciliarist thesis. The claim that a council stands habitually above the pope was rejected, and the papacy recovered its central place. Yet the manner of the rejection carried a cost that the honest teacher must name. In recoiling from conciliarism the church grew suspicious of the general council itself, so that the very instrument of synodal discernment came to be regarded with wariness, as a potential threat to unity rather than as a normal organ of the life of the church. For long stretches after Constance, councils were feared more than they were desired. The synodal principle, wounded in the reaction against its own distortion, was slow to heal.</w:t>
      </w:r>
    </w:p>
    <w:p>
      <w:pPr>
        <w:pBdr>
          <w:left w:val="single" w:color="6A1B9A" w:sz="24"/>
        </w:pBdr>
        <w:shd w:fill="F3E5F5" w:val="clear"/>
        <w:spacing w:after="160" w:before="160"/>
        <w:ind w:left="240"/>
      </w:pPr>
      <w:r>
        <w:rPr>
          <w:b/>
          <w:bCs/>
          <w:color w:val="6A1B9A"/>
        </w:rPr>
        <w:t xml:space="preserve">A NOTE FOR THE CLASSROOM: </w:t>
      </w:r>
      <w:r>
        <w:t xml:space="preserve">This is contested territory, and the teacher should present it with care rather than with a thesis to prove. The status of the decree Haec Sancta has been debated for centuries: whether it was a dogmatic definition or an emergency measure for a unique crisis, whether it was validly promulgated, and how it relates to the later definition of papal primacy. Catholics hold that the extreme conciliarist position, a council permanently above the pope, is incompatible with the constitution of the church, and the First Vatican Council later defined the primacy against it. But it is equally a mistake to read the whole conciliar tradition as tainted by conciliarism; the ancient councils and the normal synodal life of the church are not conciliarist in the condemned sense. Teach the distinction cleanly: the church rejected the thesis that the council is habitually superior to the pope, while retaining the council and the synod as genuine and necessary organs of her life. Students who blur this distinction will misread both Vatican I and the present reform.</w:t>
      </w:r>
    </w:p>
    <w:p>
      <w:pPr>
        <w:pStyle w:val="Heading2"/>
        <w:spacing w:after="120" w:before="220"/>
      </w:pPr>
      <w:r>
        <w:t xml:space="preserve">Trent: Reform and the Tightening That Followed</w:t>
      </w:r>
    </w:p>
    <w:p>
      <w:pPr>
        <w:spacing w:after="120"/>
      </w:pPr>
      <w:r>
        <w:t xml:space="preserve">The Council of Trent, meeting across the middle of the sixteenth century in answer to the Protestant Reformation, was a true and necessary reforming council, and it must not be caricatured. It clarified the faith on Scripture and tradition, justification, and the sacraments, and it reformed the life of the church in lasting ways, above all by requiring every diocese to establish a seminary for the training of its priests, the very institution in which these notes are read.</w:t>
      </w:r>
      <w:r>
        <w:rPr>
          <w:rStyle w:val="FootnoteReference"/>
        </w:rPr>
        <w:footnoteReference w:id="5"/>
      </w:r>
      <w:r>
        <w:t xml:space="preserve"> Trent also legislated for regular provincial and diocesan synods, intending that the synodal machinery of the ancient church should run again. Yet history took a different turn from the intention. In the centuries after Trent the implementation of its reforms was increasingly directed from Rome through the new permanent congregations of the Roman Curia, which interpreted the council, resolved disputed questions, and supervised the local churches. The provincial synods that Trent had mandated gradually fell into disuse. The result was a church more disciplined, better instructed, and more uniform than before, and at the same time more centralised, in which the initiative of the local church and the participation of its faithful were quietly reduced. The reform succeeded; the synodal life it had meant to revive did not.</w:t>
      </w:r>
    </w:p>
    <w:p>
      <w:pPr>
        <w:pBdr>
          <w:left w:val="single" w:color="1565C0" w:sz="24"/>
        </w:pBdr>
        <w:shd w:fill="E3F2FD" w:val="clear"/>
        <w:spacing w:after="160" w:before="160"/>
        <w:ind w:left="240"/>
      </w:pPr>
      <w:r>
        <w:rPr>
          <w:b/>
          <w:bCs/>
          <w:color w:val="1565C0"/>
        </w:rPr>
        <w:t xml:space="preserve">EXAMPLE: </w:t>
      </w:r>
      <w:r>
        <w:t xml:space="preserve">Consider a large trust that runs many schools across several states. In a season of crisis the trustees rightly impose uniform standards from the head office to save the schools from collapse, and the schools are in fact saved and improved. But if, once the crisis passes, every decision continues to be referred to the head office, and the local school councils that once knew their own children stop meeting, then something living has been lost even though the schools are well run. Efficiency at the centre has been purchased at the price of participation in the parts. That is close to what befell the church in the centuries after Trent: real reform, real gain, and a quiet cost in synodal life.</w:t>
      </w:r>
    </w:p>
    <w:p>
      <w:pPr>
        <w:pStyle w:val="Heading2"/>
        <w:spacing w:after="120" w:before="220"/>
      </w:pPr>
      <w:r>
        <w:t xml:space="preserve">The Centralised High Point</w:t>
      </w:r>
    </w:p>
    <w:p>
      <w:pPr>
        <w:spacing w:after="120"/>
      </w:pPr>
      <w:r>
        <w:t xml:space="preserve">The centralising current reached its high point at the First Vatican Council in 1870, which defined the primacy of jurisdiction of the Bishop of Rome over the whole church and, under carefully guarded conditions, the infallibility of his solemn definitions of faith and morals.</w:t>
      </w:r>
      <w:r>
        <w:rPr>
          <w:rStyle w:val="FootnoteReference"/>
        </w:rPr>
        <w:footnoteReference w:id="6"/>
      </w:r>
      <w:r>
        <w:t xml:space="preserve"> These definitions belong to the faith of the church and are not in question here. What the students must understand is the historical shape of the moment. Pastor Aeternus was intended to be one half of a fuller teaching on the church, but the council was suspended when war broke out and never returned to complete the picture. The result was that the church entered the twentieth century with a solemn definition of the office of the one who presides and no corresponding conciliar teaching on the bishops gathered around him or on the whole People of God. The head had been defined without the body. It would be the work of the Second Vatican Council, ninety years later, to supply what had been left unspoken, setting the primacy within the collegiality of the bishops and the collegiality of the bishops within the People of God. Class 10 will take up that recovery. The students should leave this class understanding that Vatican II did not invent synodality but restored a balance that centuries of centralisation had let fall.</w:t>
      </w:r>
    </w:p>
    <w:p>
      <w:pPr>
        <w:pBdr>
          <w:left w:val="single" w:color="2E7D32" w:sz="24"/>
        </w:pBdr>
        <w:shd w:fill="E8F5E9" w:val="clear"/>
        <w:spacing w:after="160" w:before="160"/>
        <w:ind w:left="240"/>
      </w:pPr>
      <w:r>
        <w:rPr>
          <w:b/>
          <w:bCs/>
          <w:color w:val="2E7D32"/>
        </w:rPr>
        <w:t xml:space="preserve">INDIAN CONTEXT: </w:t>
      </w:r>
      <w:r>
        <w:t xml:space="preserve">The Indian Church knows the weight of centralisation from her own history, and from two directions at once. Within the church, the Latinisation imposed on the ancient Saint Thomas Christians after the Synod of Diamper in 1599 is the same story in miniature: an indigenous synodal tradition overridden by a centralising authority that trusted uniformity more than participation, a wound whose healing is still sought in the Eastern Catholic churches of India today. From the wider society, the long experience of centralised colonial administration, which concentrated every decision in a distant capital and reduced the local community to a recipient of orders, left a habit of mind that the Indian Church has not wholly escaped, so that many a diocese and parish still waits for instruction from above rather than discerning together below. The history in this class is therefore not the record of a foreign past but a mirror. The Church in India, having tasted both the wound of internal Latinisation and the habit of colonial centralism, has particular reason to welcome a reform that returns discernment to the whole body.</w:t>
      </w:r>
    </w:p>
    <w:p>
      <w:pPr>
        <w:pBdr>
          <w:left w:val="single" w:color="B8860B" w:sz="24"/>
        </w:pBdr>
        <w:shd w:fill="FFF8E1" w:val="clear"/>
        <w:spacing w:after="160" w:before="160"/>
        <w:ind w:left="240"/>
      </w:pPr>
      <w:r>
        <w:rPr>
          <w:b/>
          <w:bCs/>
          <w:color w:val="B8860B"/>
        </w:rPr>
        <w:t xml:space="preserve">CLASSROOM CUE: </w:t>
      </w:r>
      <w:r>
        <w:t xml:space="preserve">Close by drawing on the board a line that descends from Class 6 and levels off at 1870, then rises sharply at 1962. Tell the class that the next lesson recovers the story of the reformers who prepared that rise, the theologians and liturgists who kept the synodal memory alive through the centralised centuries. Assign short readings on Johann Adam Moehler and on the essay of John Henry Newman on consulting the faithful.</w:t>
      </w:r>
    </w:p>
    <w:p>
      <w:pPr>
        <w:pStyle w:val="Heading2"/>
        <w:spacing w:after="120" w:before="220"/>
      </w:pPr>
      <w:r>
        <w:t xml:space="preserve">Questions for Discussion</w:t>
      </w:r>
    </w:p>
    <w:p>
      <w:pPr>
        <w:spacing w:after="120"/>
      </w:pPr>
      <w:r>
        <w:rPr>
          <w:b/>
          <w:bCs/>
        </w:rPr>
        <w:t xml:space="preserve">1.</w:t>
      </w:r>
      <w:r>
        <w:t xml:space="preserve"> The reforms after Trent made the church more disciplined and more uniform while quietly reducing the participation of the local church. Where in the Church in India today do you see the same trade, real good order purchased at the price of genuine participation?</w:t>
      </w:r>
    </w:p>
    <w:p>
      <w:pPr>
        <w:spacing w:after="120"/>
      </w:pPr>
      <w:r>
        <w:rPr>
          <w:b/>
          <w:bCs/>
        </w:rPr>
        <w:t xml:space="preserve">2.</w:t>
      </w:r>
      <w:r>
        <w:t xml:space="preserve"> The Latinisation of the Saint Thomas Christians after Diamper overrode a living synodal tradition in the name of uniformity. What should the whole Indian Church, Latin and Eastern together, learn from that history as she takes up the present reform?</w:t>
      </w:r>
    </w:p>
    <w:p>
      <w:pPr>
        <w:spacing w:after="120"/>
      </w:pPr>
      <w:r>
        <w:rPr>
          <w:b/>
          <w:bCs/>
        </w:rPr>
        <w:t xml:space="preserve">3.</w:t>
      </w:r>
      <w:r>
        <w:t xml:space="preserve"> Vatican I defined the office of the one who presides but was suspended before it could teach on the bishops and the whole People of God around him. Why does a teaching on authority that is not balanced by a teaching on the whole body tend, over time, towards centralisation?</w:t>
      </w:r>
    </w:p>
    <w:p>
      <w:r>
        <w:br w:type="page"/>
      </w:r>
    </w:p>
    <w:p>
      <w:pPr>
        <w:pStyle w:val="Heading1"/>
        <w:spacing w:after="160" w:before="280"/>
      </w:pPr>
      <w:r>
        <w:t xml:space="preserve">CLASS 9: REFORM CURRENTS AND RECOVERY BEFORE VATICAN II</w:t>
      </w:r>
    </w:p>
    <w:p>
      <w:pPr>
        <w:spacing w:after="120"/>
      </w:pPr>
      <w:r>
        <w:rPr>
          <w:i/>
          <w:iCs/>
        </w:rPr>
        <w:t xml:space="preserve">Module 5: From the Middle Ages to the Modern Period</w:t>
      </w:r>
    </w:p>
    <w:p>
      <w:pPr>
        <w:pStyle w:val="Heading2"/>
        <w:spacing w:after="120" w:before="220"/>
      </w:pPr>
      <w:r>
        <w:t xml:space="preserve">Aim of the Class</w:t>
      </w:r>
    </w:p>
    <w:p>
      <w:pPr>
        <w:spacing w:after="120"/>
      </w:pPr>
      <w:r>
        <w:t xml:space="preserve">Class 8 ended at the centralised high point of 1870. This class tells the more hopeful half of the same century, the recovery that prepared the ground for the Second Vatican Council. Students should leave able to describe three currents that kept the synodal memory alive and gave it fresh theological force: the rediscovery of the church as a living communion animated by the Spirit in the work of Johann Adam Moehler, the argument of John Henry Newman that the faithful must be consulted in matters of doctrine, and the liturgical movement that restored to the whole people its active part in the worship of the church. Together these currents form the seedbed of the recovery that Module 6 will harvest.</w:t>
      </w:r>
    </w:p>
    <w:p>
      <w:pPr>
        <w:pBdr>
          <w:left w:val="single" w:color="B8860B" w:sz="24"/>
        </w:pBdr>
        <w:shd w:fill="FFF8E1" w:val="clear"/>
        <w:spacing w:after="160" w:before="160"/>
        <w:ind w:left="240"/>
      </w:pPr>
      <w:r>
        <w:rPr>
          <w:b/>
          <w:bCs/>
          <w:color w:val="B8860B"/>
        </w:rPr>
        <w:t xml:space="preserve">CLASSROOM CUE: </w:t>
      </w:r>
      <w:r>
        <w:t xml:space="preserve">Open by asking the class what conditions allow a buried tradition to revive: usually a return to the sources, a pastoral need, and a few courageous minds. Board plan as three streams flowing towards 1962: Moehler on communion, Newman on consulting the faithful, the liturgical movement on active participation. Keep the Newman essay for the centre, since its title alone reopens the whole question of the course.</w:t>
      </w:r>
    </w:p>
    <w:p>
      <w:pPr>
        <w:pStyle w:val="Heading2"/>
        <w:spacing w:after="120" w:before="220"/>
      </w:pPr>
      <w:r>
        <w:t xml:space="preserve">Moehler: The Church as a Living Communion</w:t>
      </w:r>
    </w:p>
    <w:p>
      <w:pPr>
        <w:spacing w:after="120"/>
      </w:pPr>
      <w:r>
        <w:t xml:space="preserve">The recovery began, as recoveries often do, with a return to the ancient sources. Johann Adam Moehler, teaching at Tuebingen in the eighteen-twenties, immersed himself in the writings of the Fathers and came away with a picture of the church very different from the juridical model then dominant. In his early work on the unity of the church, Moehler described the church not first as an institution governed from above but as a living communion, a fellowship brought into being and held together by the Holy Spirit poured into the hearts of the faithful.</w:t>
      </w:r>
      <w:r>
        <w:rPr>
          <w:rStyle w:val="FootnoteReference"/>
        </w:rPr>
        <w:footnoteReference w:id="7"/>
      </w:r>
      <w:r>
        <w:t xml:space="preserve"> Unity, for Moehler, wells up from within, from the one Spirit dwelling in all the members, before it is expressed in the outward bonds of office and structure. This was the ancient vision of communion recovered against the centuries of centralisation, and though Moehler matured and qualified his early enthusiasm, his central insight passed into the bloodstream of Catholic theology and reached its full flowering at the Second Vatican Council. To see the church as communion before institution is to see her, once again, as the synodal body the ancient church had known.</w:t>
      </w:r>
    </w:p>
    <w:p>
      <w:pPr>
        <w:pStyle w:val="Heading2"/>
        <w:spacing w:after="120" w:before="220"/>
      </w:pPr>
      <w:r>
        <w:t xml:space="preserve">Newman: On Consulting the Faithful</w:t>
      </w:r>
    </w:p>
    <w:p>
      <w:pPr>
        <w:spacing w:after="120"/>
      </w:pPr>
      <w:r>
        <w:t xml:space="preserve">The sharpest single contribution came from John Henry Newman, whose essay of 1859, published in the journal The Rambler, bore a title that reopened the whole question of this course: On Consulting the Faithful in Matters of Doctrine.</w:t>
      </w:r>
      <w:r>
        <w:rPr>
          <w:rStyle w:val="FootnoteReference"/>
        </w:rPr>
        <w:footnoteReference w:id="8"/>
      </w:r>
      <w:r>
        <w:t xml:space="preserve"> Newman studied the great Arian crisis of the fourth century and drew from it an observation that scandalised some of his contemporaries: during that crisis, when many bishops wavered and compromised, it was often the mass of the ordinary faithful who held firm to the true confession of the divinity of Christ. The faith, Newman argued, had in that hour been maintained more by the body of the faithful than by the episcopate. He therefore insisted that the sensus fidelium, the instinct for the truth that lives in the whole believing people, is a real witness to divine revelation and ought to be consulted, in the way that one consults a barometer, as a genuine indicator of the mind of the church. Newman was careful and precise; he did not make the faithful judges over the bishops, but he refused to let them be treated as merely passive recipients with nothing to contribute to the discernment of the truth. For this essay he fell under a cloud of suspicion in his own lifetime, delated to Rome and misunderstood for years. Yet a century later the Second Vatican Council would teach exactly his point, that the whole body of the faithful, anointed by the Holy One, cannot err in belief, and Newman would be vindicated, canonised, and named a witness to the very doctrine for which he had been suspected.</w:t>
      </w:r>
    </w:p>
    <w:p>
      <w:pPr>
        <w:pBdr>
          <w:left w:val="single" w:color="1565C0" w:sz="24"/>
        </w:pBdr>
        <w:shd w:fill="E3F2FD" w:val="clear"/>
        <w:spacing w:after="160" w:before="160"/>
        <w:ind w:left="240"/>
      </w:pPr>
      <w:r>
        <w:rPr>
          <w:b/>
          <w:bCs/>
          <w:color w:val="1565C0"/>
        </w:rPr>
        <w:t xml:space="preserve">EXAMPLE: </w:t>
      </w:r>
      <w:r>
        <w:t xml:space="preserve">A wise doctor treating a patient does not rely on the instruments alone; he also asks the patient where it hurts, because the one who lives inside the body knows something the charts cannot show. He remains the doctor, and the diagnosis is his; but he would be a fool to ignore the testimony of the one whose body it is. Newman asked the church to treat the faithful in just this way: not as the physicians, but as witnesses whose lived sense of the faith carries real information about the health of the body. To stop consulting them is to diagnose the church with the instruments switched off.</w:t>
      </w:r>
    </w:p>
    <w:p>
      <w:pPr>
        <w:pBdr>
          <w:left w:val="single" w:color="6A1B9A" w:sz="24"/>
        </w:pBdr>
        <w:shd w:fill="F3E5F5" w:val="clear"/>
        <w:spacing w:after="160" w:before="160"/>
        <w:ind w:left="240"/>
      </w:pPr>
      <w:r>
        <w:rPr>
          <w:b/>
          <w:bCs/>
          <w:color w:val="6A1B9A"/>
        </w:rPr>
        <w:t xml:space="preserve">A NOTE FOR THE CLASSROOM: </w:t>
      </w:r>
      <w:r>
        <w:t xml:space="preserve">Newman is easily misused in both directions, and the teacher should guard the class against each. Some invoke his essay to argue that doctrine should be settled by opinion polls of the baptised, as though the sensus fidelium were a matter of counting heads or measuring the mood of the moment. Newman held nothing of the kind; the sensus fidei is the supernatural instinct of a faithful people formed by Scripture, sacrament, and prayer, not the passing opinion of the nominally baptised, and it is discerned, not tallied. Others use the historical suspicion Newman endured to cast the church as the enemy of the faithful, which is equally false; Newman remained an obedient Catholic and was raised to the altars by the same church that had once misread him. Teach the essay as it stands: a careful recovery of an ancient truth, that the whole believing people is a genuine witness to revelation, held together with the equally ancient truth that the discernment of that witness belongs to the church exercising her office.</w:t>
      </w:r>
    </w:p>
    <w:p>
      <w:pPr>
        <w:pStyle w:val="Heading2"/>
        <w:spacing w:after="120" w:before="220"/>
      </w:pPr>
      <w:r>
        <w:t xml:space="preserve">The Liturgical Movement: The People Take Their Part</w:t>
      </w:r>
    </w:p>
    <w:p>
      <w:pPr>
        <w:spacing w:after="120"/>
      </w:pPr>
      <w:r>
        <w:t xml:space="preserve">The third current flowed through the worship of the church. Beginning in the monasteries of the nineteenth century and gathering force in the twentieth, the liturgical movement sought to recover the liturgy as the action of the whole assembled people rather than a rite performed by the priest while the people watched in silence. Its watchword became active participation, participatio actuosa, a phrase Pope Pius the Tenth used as early as 1903 when he called the active participation of the faithful in the sacred mysteries the foremost and indispensable source of the true Christian spirit.</w:t>
      </w:r>
      <w:r>
        <w:rPr>
          <w:rStyle w:val="FootnoteReference"/>
        </w:rPr>
        <w:footnoteReference w:id="9"/>
      </w:r>
      <w:r>
        <w:t xml:space="preserve"> Pioneers such as Lambert Beauduin in Belgium and the monks of the great liturgical abbeys taught that the people gathered for the Eucharist are not an audience but a priestly assembly, called to offer and to respond, and that a church which restores to the people their active part in worship will, in time, restore to them their active part in her whole life. The instinct proved true. The liturgical recovery of the assembly as a participating body prepared the church, at the deepest level, for the recovery of the participating body in every other dimension, for a people accustomed to answer aloud at the altar will not long remain silent in the councils of the church. Worship reformed the imagination of the church before doctrine reformed her structures.</w:t>
      </w:r>
    </w:p>
    <w:p>
      <w:pPr>
        <w:pBdr>
          <w:left w:val="single" w:color="2E7D32" w:sz="24"/>
        </w:pBdr>
        <w:shd w:fill="E8F5E9" w:val="clear"/>
        <w:spacing w:after="160" w:before="160"/>
        <w:ind w:left="240"/>
      </w:pPr>
      <w:r>
        <w:rPr>
          <w:b/>
          <w:bCs/>
          <w:color w:val="2E7D32"/>
        </w:rPr>
        <w:t xml:space="preserve">INDIAN CONTEXT: </w:t>
      </w:r>
      <w:r>
        <w:t xml:space="preserve">The Indian Church has her own long labour of liturgical participation, and it stands unfinished. The movement for the Indianisation of worship after the Second Vatican Council, the search for an authentically Indian expression of the Eucharist in gesture, posture, music, and tongue, is the same instinct at work in Indian soil, the conviction that the whole people, praying in its own idiom, must take an active part rather than receive a rite in a foreign form. Yet participation in worship in India is still blocked by the very barrier the liturgical movement most needed to overcome, for in some parishes caste still governs who may enter the sanctuary, who may distribute communion, who may sit in the front, and even where the dead of a lower caste may be buried. A liturgy in which the whole priestly people genuinely takes its part cannot coexist with a sanctuary divided by caste. The unfinished liturgical reform in India is therefore also a synodal reform, for the assembly that cannot yet worship as one body will not easily learn to discern as one body.</w:t>
      </w:r>
    </w:p>
    <w:p>
      <w:pPr>
        <w:pBdr>
          <w:left w:val="single" w:color="B8860B" w:sz="24"/>
        </w:pBdr>
        <w:shd w:fill="FFF8E1" w:val="clear"/>
        <w:spacing w:after="160" w:before="160"/>
        <w:ind w:left="240"/>
      </w:pPr>
      <w:r>
        <w:rPr>
          <w:b/>
          <w:bCs/>
          <w:color w:val="B8860B"/>
        </w:rPr>
        <w:t xml:space="preserve">CLASSROOM CUE: </w:t>
      </w:r>
      <w:r>
        <w:t xml:space="preserve">Close by drawing the three streams meeting at a single point marked 1962, and telling the class that the next part of the course, Module 6, enters the Council itself, where communion, consultation, and participation, kept alive by these reformers, become the settled teaching of the church. Assign the second chapter of Lumen Gentium, on the People of God, as the reading for Class 10, which opens Part 4.</w:t>
      </w:r>
    </w:p>
    <w:p>
      <w:pPr>
        <w:pStyle w:val="Heading2"/>
        <w:spacing w:after="120" w:before="220"/>
      </w:pPr>
      <w:r>
        <w:t xml:space="preserve">Questions for Discussion</w:t>
      </w:r>
    </w:p>
    <w:p>
      <w:pPr>
        <w:spacing w:after="120"/>
      </w:pPr>
      <w:r>
        <w:rPr>
          <w:b/>
          <w:bCs/>
        </w:rPr>
        <w:t xml:space="preserve">1.</w:t>
      </w:r>
      <w:r>
        <w:t xml:space="preserve"> Newman observed that in the Arian crisis the faith was often kept more firmly by the ordinary faithful than by the bishops. Can you name a moment in the life of the Church in India when the instinct of the ordinary faithful held a truth that official structures were slow to grasp?</w:t>
      </w:r>
    </w:p>
    <w:p>
      <w:pPr>
        <w:spacing w:after="120"/>
      </w:pPr>
      <w:r>
        <w:rPr>
          <w:b/>
          <w:bCs/>
        </w:rPr>
        <w:t xml:space="preserve">2.</w:t>
      </w:r>
      <w:r>
        <w:t xml:space="preserve"> The liturgical movement held that a people who answer aloud at the altar will not long stay silent in the councils of the church. Looking at your home parish, does the way the people participate in the Mass form them for participation in the wider life of the church, or does it train them in passivity?</w:t>
      </w:r>
    </w:p>
    <w:p>
      <w:pPr>
        <w:spacing w:after="120"/>
      </w:pPr>
      <w:r>
        <w:rPr>
          <w:b/>
          <w:bCs/>
        </w:rPr>
        <w:t xml:space="preserve">3.</w:t>
      </w:r>
      <w:r>
        <w:t xml:space="preserve"> The Indianisation of worship and the removal of caste from the sanctuary are two halves of one unfinished reform. Why is genuine participation in the liturgy impossible while caste still governs the assembly, and what would the first honest step be in your own context?</w:t>
      </w:r>
    </w:p>
    <w:p>
      <w:pPr>
        <w:pStyle w:val="Heading1"/>
        <w:spacing w:after="160" w:before="280"/>
      </w:pPr>
      <w:r>
        <w:t xml:space="preserve">Bibliography for Part 3</w:t>
      </w:r>
    </w:p>
    <w:p>
      <w:pPr>
        <w:spacing w:after="140"/>
        <w:ind w:left="720" w:hanging="720"/>
      </w:pPr>
      <w:r>
        <w:t xml:space="preserve">Basil of Caesarea. </w:t>
      </w:r>
      <w:r>
        <w:rPr>
          <w:i/>
          <w:iCs/>
        </w:rPr>
        <w:t xml:space="preserve">The Long Rules</w:t>
      </w:r>
      <w:r>
        <w:t xml:space="preserve">. In </w:t>
      </w:r>
      <w:r>
        <w:rPr>
          <w:i/>
          <w:iCs/>
        </w:rPr>
        <w:t xml:space="preserve">Saint Basil: Ascetical Works</w:t>
      </w:r>
      <w:r>
        <w:t xml:space="preserve">, translated by M. Monica Wagner. Fathers of the Church. Washington, DC: Catholic University of America Press, 1962.</w:t>
      </w:r>
    </w:p>
    <w:p>
      <w:pPr>
        <w:spacing w:after="140"/>
        <w:ind w:left="720" w:hanging="720"/>
      </w:pPr>
      <w:r>
        <w:t xml:space="preserve">Benedict of Nursia. </w:t>
      </w:r>
      <w:r>
        <w:rPr>
          <w:i/>
          <w:iCs/>
        </w:rPr>
        <w:t xml:space="preserve">The Rule of St. Benedict</w:t>
      </w:r>
      <w:r>
        <w:t xml:space="preserve">. Edited by Timothy Fry. Collegeville, MN: Liturgical Press, 1981.</w:t>
      </w:r>
    </w:p>
    <w:p>
      <w:pPr>
        <w:spacing w:after="140"/>
        <w:ind w:left="720" w:hanging="720"/>
      </w:pPr>
      <w:r>
        <w:t xml:space="preserve">Cyprian of Carthage. </w:t>
      </w:r>
      <w:r>
        <w:rPr>
          <w:i/>
          <w:iCs/>
        </w:rPr>
        <w:t xml:space="preserve">The Letters of St. Cyprian of Carthage</w:t>
      </w:r>
      <w:r>
        <w:t xml:space="preserve">. Translated by G. W. Clarke. Ancient Christian Writers. New York: Newman Press, 1984.</w:t>
      </w:r>
    </w:p>
    <w:p>
      <w:pPr>
        <w:spacing w:after="140"/>
        <w:ind w:left="720" w:hanging="720"/>
      </w:pPr>
      <w:r>
        <w:t xml:space="preserve">First Vatican Council. Dogmatic Constitution </w:t>
      </w:r>
      <w:r>
        <w:rPr>
          <w:i/>
          <w:iCs/>
        </w:rPr>
        <w:t xml:space="preserve">Pastor Aeternus</w:t>
      </w:r>
      <w:r>
        <w:t xml:space="preserve">. 1870.</w:t>
      </w:r>
    </w:p>
    <w:p>
      <w:pPr>
        <w:spacing w:after="140"/>
        <w:ind w:left="720" w:hanging="720"/>
      </w:pPr>
      <w:r>
        <w:t xml:space="preserve">Moehler, Johann Adam. </w:t>
      </w:r>
      <w:r>
        <w:rPr>
          <w:i/>
          <w:iCs/>
        </w:rPr>
        <w:t xml:space="preserve">Unity in the Church, or the Principle of Catholicism</w:t>
      </w:r>
      <w:r>
        <w:t xml:space="preserve">. Translated by Peter C. Erb. Washington, DC: Catholic University of America Press, 1996. First published as </w:t>
      </w:r>
      <w:r>
        <w:rPr>
          <w:i/>
          <w:iCs/>
        </w:rPr>
        <w:t xml:space="preserve">Die Einheit in der Kirche</w:t>
      </w:r>
      <w:r>
        <w:t xml:space="preserve">, 1825.</w:t>
      </w:r>
    </w:p>
    <w:p>
      <w:pPr>
        <w:spacing w:after="140"/>
        <w:ind w:left="720" w:hanging="720"/>
      </w:pPr>
      <w:r>
        <w:t xml:space="preserve">Newman, John Henry. </w:t>
      </w:r>
      <w:r>
        <w:rPr>
          <w:i/>
          <w:iCs/>
        </w:rPr>
        <w:t xml:space="preserve">On Consulting the Faithful in Matters of Doctrine</w:t>
      </w:r>
      <w:r>
        <w:t xml:space="preserve">. Edited by John Coulson. London: Geoffrey Chapman, 1961. First published in </w:t>
      </w:r>
      <w:r>
        <w:rPr>
          <w:i/>
          <w:iCs/>
        </w:rPr>
        <w:t xml:space="preserve">The Rambler</w:t>
      </w:r>
      <w:r>
        <w:t xml:space="preserve">, July 1859.</w:t>
      </w:r>
    </w:p>
    <w:p>
      <w:pPr>
        <w:spacing w:after="140"/>
        <w:ind w:left="720" w:hanging="720"/>
      </w:pPr>
      <w:r>
        <w:t xml:space="preserve">Pius X. Motu Proprio </w:t>
      </w:r>
      <w:r>
        <w:rPr>
          <w:i/>
          <w:iCs/>
        </w:rPr>
        <w:t xml:space="preserve">Tra le Sollecitudini</w:t>
      </w:r>
      <w:r>
        <w:t xml:space="preserve">. 22 November 1903.</w:t>
      </w:r>
    </w:p>
    <w:p>
      <w:pPr>
        <w:spacing w:after="140"/>
        <w:ind w:left="720" w:hanging="720"/>
      </w:pPr>
      <w:r>
        <w:t xml:space="preserve">Tanner, Norman P., ed. </w:t>
      </w:r>
      <w:r>
        <w:rPr>
          <w:i/>
          <w:iCs/>
        </w:rPr>
        <w:t xml:space="preserve">Decrees of the Ecumenical Councils</w:t>
      </w:r>
      <w:r>
        <w:t xml:space="preserve">. Vol. 1. London: Sheed and Ward, 1990.</w:t>
      </w:r>
    </w:p>
    <w:p>
      <w:pPr>
        <w:spacing w:after="120" w:before="120"/>
      </w:pPr>
      <w:r>
        <w:rPr>
          <w:i/>
          <w:iCs/>
          <w:sz w:val="20"/>
          <w:szCs w:val="20"/>
        </w:rPr>
        <w:t xml:space="preserve">Scripture is quoted throughout from the Revised Standard Version, Second Catholic Edition.</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sz w:val="20"/>
          <w:szCs w:val="20"/>
        </w:rPr>
        <w:t xml:space="preserve">Cyprian of Carthage, Letter 67.5, in The Letters of St. Cyprian of Carthage, trans. G. W. Clarke, Ancient Christian Writers (New York: Newman Press, 1984).</w:t>
      </w:r>
    </w:p>
  </w:footnote>
  <w:footnote w:id="2">
    <w:p>
      <w:r>
        <w:rPr>
          <w:rStyle w:val="FootnoteReference"/>
        </w:rPr>
        <w:footnoteRef/>
      </w:r>
      <w:r>
        <w:rPr>
          <w:sz w:val="20"/>
          <w:szCs w:val="20"/>
        </w:rPr>
        <w:t xml:space="preserve">Basil of Caesarea, The Long Rules, in Saint Basil: Ascetical Works, trans. M. Monica Wagner, Fathers of the Church (Washington, DC: Catholic University of America Press, 1962).</w:t>
      </w:r>
    </w:p>
  </w:footnote>
  <w:footnote w:id="3">
    <w:p>
      <w:r>
        <w:rPr>
          <w:rStyle w:val="FootnoteReference"/>
        </w:rPr>
        <w:footnoteRef/>
      </w:r>
      <w:r>
        <w:rPr>
          <w:sz w:val="20"/>
          <w:szCs w:val="20"/>
        </w:rPr>
        <w:t xml:space="preserve">Benedict of Nursia, The Rule of St. Benedict, ch. 3, ed. Timothy Fry (Collegeville, MN: Liturgical Press, 1981).</w:t>
      </w:r>
    </w:p>
  </w:footnote>
  <w:footnote w:id="4">
    <w:p>
      <w:r>
        <w:rPr>
          <w:rStyle w:val="FootnoteReference"/>
        </w:rPr>
        <w:footnoteRef/>
      </w:r>
      <w:r>
        <w:rPr>
          <w:sz w:val="20"/>
          <w:szCs w:val="20"/>
        </w:rPr>
        <w:t xml:space="preserve">Council of Constance, Haec Sancta (1415). On the disputed authority and interpretation of the decree, see Norman P. Tanner, ed., Decrees of the Ecumenical Councils, vol. 1 (London: Sheed and Ward, 1990).</w:t>
      </w:r>
    </w:p>
  </w:footnote>
  <w:footnote w:id="5">
    <w:p>
      <w:r>
        <w:rPr>
          <w:rStyle w:val="FootnoteReference"/>
        </w:rPr>
        <w:footnoteRef/>
      </w:r>
      <w:r>
        <w:rPr>
          <w:sz w:val="20"/>
          <w:szCs w:val="20"/>
        </w:rPr>
        <w:t xml:space="preserve">Council of Trent, Session 23 (1563), Decree on Reform, canon 18, on the establishment of seminaries.</w:t>
      </w:r>
    </w:p>
  </w:footnote>
  <w:footnote w:id="6">
    <w:p>
      <w:r>
        <w:rPr>
          <w:rStyle w:val="FootnoteReference"/>
        </w:rPr>
        <w:footnoteRef/>
      </w:r>
      <w:r>
        <w:rPr>
          <w:sz w:val="20"/>
          <w:szCs w:val="20"/>
        </w:rPr>
        <w:t xml:space="preserve">First Vatican Council, Dogmatic Constitution Pastor Aeternus (1870).</w:t>
      </w:r>
    </w:p>
  </w:footnote>
  <w:footnote w:id="7">
    <w:p>
      <w:r>
        <w:rPr>
          <w:rStyle w:val="FootnoteReference"/>
        </w:rPr>
        <w:footnoteRef/>
      </w:r>
      <w:r>
        <w:rPr>
          <w:sz w:val="20"/>
          <w:szCs w:val="20"/>
        </w:rPr>
        <w:t xml:space="preserve">Johann Adam Moehler, Die Einheit in der Kirche (1825); English translation, Unity in the Church, or the Principle of Catholicism, trans. Peter C. Erb (Washington, DC: Catholic University of America Press, 1996).</w:t>
      </w:r>
    </w:p>
  </w:footnote>
  <w:footnote w:id="8">
    <w:p>
      <w:r>
        <w:rPr>
          <w:rStyle w:val="FootnoteReference"/>
        </w:rPr>
        <w:footnoteRef/>
      </w:r>
      <w:r>
        <w:rPr>
          <w:sz w:val="20"/>
          <w:szCs w:val="20"/>
        </w:rPr>
        <w:t xml:space="preserve">John Henry Newman, On Consulting the Faithful in Matters of Doctrine, ed. John Coulson (London: Geoffrey Chapman, 1961; the essay first appeared in The Rambler, July 1859).</w:t>
      </w:r>
    </w:p>
  </w:footnote>
  <w:footnote w:id="9">
    <w:p>
      <w:r>
        <w:rPr>
          <w:rStyle w:val="FootnoteReference"/>
        </w:rPr>
        <w:footnoteRef/>
      </w:r>
      <w:r>
        <w:rPr>
          <w:sz w:val="20"/>
          <w:szCs w:val="20"/>
        </w:rPr>
        <w:t xml:space="preserve">Pius X, Motu Proprio Tra le Sollecitudini (22 November 1903).</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sz w:val="32"/>
      <w:szCs w:val="32"/>
    </w:rPr>
  </w:style>
  <w:style w:type="paragraph" w:styleId="Heading2">
    <w:name w:val="Heading 2"/>
    <w:basedOn w:val="Normal"/>
    <w:next w:val="Normal"/>
    <w:qFormat/>
    <w:rPr>
      <w:rFonts w:ascii="Times New Roman" w:cs="Times New Roman" w:eastAsia="Times New Roman" w:hAnsi="Times New Roman"/>
      <w:b/>
      <w:bCs/>
      <w:sz w:val="28"/>
      <w:szCs w:val="28"/>
    </w:rPr>
  </w:style>
  <w:style w:type="paragraph" w:styleId="Heading3">
    <w:name w:val="Heading 3"/>
    <w:basedOn w:val="Normal"/>
    <w:next w:val="Normal"/>
    <w:qFormat/>
    <w:rPr>
      <w:rFonts w:ascii="Times New Roman" w:cs="Times New Roman" w:eastAsia="Times New Roman" w:hAnsi="Times New Roman"/>
      <w:b/>
      <w:bCs/>
      <w:sz w:val="26"/>
      <w:szCs w:val="2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2026-07-07T01:12:47.260Z</dcterms:created>
  <dcterms:modified xsi:type="dcterms:W3CDTF">2026-07-07T01:12:47.273Z</dcterms:modified>
</cp:coreProperties>
</file>

<file path=docProps/custom.xml><?xml version="1.0" encoding="utf-8"?>
<Properties xmlns="http://schemas.openxmlformats.org/officeDocument/2006/custom-properties" xmlns:vt="http://schemas.openxmlformats.org/officeDocument/2006/docPropsVTypes"/>
</file>