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00"/>
        <w:jc w:val="center"/>
      </w:pPr>
      <w:r>
        <w:rPr>
          <w:b/>
          <w:bCs/>
          <w:sz w:val="40"/>
          <w:szCs w:val="40"/>
        </w:rPr>
        <w:t xml:space="preserve">THEOLOGY OF SYNODALITY</w:t>
      </w:r>
    </w:p>
    <w:p>
      <w:pPr>
        <w:spacing w:after="80" w:before="0"/>
        <w:jc w:val="center"/>
      </w:pPr>
      <w:r>
        <w:rPr>
          <w:b w:val="false"/>
          <w:bCs w:val="false"/>
          <w:sz w:val="26"/>
          <w:szCs w:val="26"/>
        </w:rPr>
        <w:t xml:space="preserve">Lecture Notes for the Bachelor of Theology</w:t>
      </w:r>
    </w:p>
    <w:p>
      <w:pPr>
        <w:spacing w:after="80" w:before="0"/>
        <w:jc w:val="center"/>
      </w:pPr>
      <w:r>
        <w:rPr>
          <w:b w:val="false"/>
          <w:bCs w:val="false"/>
          <w:sz w:val="26"/>
          <w:szCs w:val="26"/>
        </w:rPr>
        <w:t xml:space="preserve">Teacher Edition</w:t>
      </w:r>
    </w:p>
    <w:p>
      <w:pPr>
        <w:spacing w:after="400" w:before="0"/>
        <w:jc w:val="center"/>
      </w:pPr>
      <w:r>
        <w:rPr>
          <w:b/>
          <w:bCs/>
          <w:sz w:val="26"/>
          <w:szCs w:val="26"/>
        </w:rPr>
        <w:t xml:space="preserve">Part 4: Classes 10 to 12 of 15</w:t>
      </w:r>
    </w:p>
    <w:p>
      <w:pPr>
        <w:spacing w:after="80" w:before="0"/>
        <w:jc w:val="center"/>
      </w:pPr>
      <w:r>
        <w:rPr>
          <w:b w:val="false"/>
          <w:bCs w:val="false"/>
          <w:sz w:val="24"/>
          <w:szCs w:val="24"/>
        </w:rPr>
        <w:t xml:space="preserve">Morning Star Regional Seminary, Barrackpore</w:t>
      </w:r>
    </w:p>
    <w:p>
      <w:pPr>
        <w:spacing w:after="400" w:before="0"/>
        <w:jc w:val="center"/>
      </w:pPr>
      <w:r>
        <w:rPr>
          <w:b w:val="false"/>
          <w:bCs w:val="false"/>
          <w:sz w:val="24"/>
          <w:szCs w:val="24"/>
        </w:rPr>
        <w:t xml:space="preserve">Rev. Prof. William Anthony, MSFS</w:t>
      </w:r>
    </w:p>
    <w:p>
      <w:pPr>
        <w:spacing w:after="200" w:before="0"/>
        <w:jc w:val="center"/>
      </w:pPr>
      <w:r>
        <w:rPr>
          <w:b w:val="false"/>
          <w:bCs w:val="false"/>
          <w:sz w:val="24"/>
          <w:szCs w:val="24"/>
        </w:rPr>
        <w:t xml:space="preserve">Course thread: Communion, Participation, Mission</w:t>
      </w:r>
    </w:p>
    <w:p>
      <w:pPr>
        <w:pStyle w:val="Heading2"/>
        <w:spacing w:after="120" w:before="220"/>
      </w:pPr>
      <w:r>
        <w:t xml:space="preserve">How to Use These Notes</w:t>
      </w:r>
    </w:p>
    <w:p>
      <w:pPr>
        <w:spacing w:after="120"/>
      </w:pPr>
      <w:r>
        <w:t xml:space="preserve">Part 4 carries Classes 10 to 12. Classes 10 and 11 complete Module 6, the teaching of the Second Vatican Council, taking Lumen Gentium and then Gaudium et Spes with the participatory structures that flowed from the Council. Class 12 opens Module 7 with the permanent Synod of Bishops, from its institution in 1965 to its transformation in 2018. The four coloured boxes keep their meaning: gold cues for the teacher alone, green boxes for the Indian setting, blue boxes for worked examples, purple boxes for places where current scholarship parts company with the older manuals. Scripture is quoted from the Revised Standard Version, Second Catholic Edition, and each class fills 45 minutes.</w:t>
      </w:r>
    </w:p>
    <w:p>
      <w:r>
        <w:br w:type="page"/>
      </w:r>
    </w:p>
    <w:p>
      <w:pPr>
        <w:pStyle w:val="Heading1"/>
        <w:spacing w:after="160" w:before="280"/>
      </w:pPr>
      <w:r>
        <w:t xml:space="preserve">CLASS 10: LUMEN GENTIUM, THE PEOPLE OF GOD AND COLLEGIALITY</w:t>
      </w:r>
    </w:p>
    <w:p>
      <w:pPr>
        <w:spacing w:after="120"/>
      </w:pPr>
      <w:r>
        <w:rPr>
          <w:i/>
          <w:iCs/>
        </w:rPr>
        <w:t xml:space="preserve">Module 6: The Second Vatican Council</w:t>
      </w:r>
    </w:p>
    <w:p>
      <w:pPr>
        <w:pStyle w:val="Heading2"/>
        <w:spacing w:after="120" w:before="220"/>
      </w:pPr>
      <w:r>
        <w:t xml:space="preserve">Aim of the Class</w:t>
      </w:r>
    </w:p>
    <w:p>
      <w:pPr>
        <w:spacing w:after="120"/>
      </w:pPr>
      <w:r>
        <w:t xml:space="preserve">This is the doctrinal centre of the whole course, the class towards which the first nine have been walking and from which the last five will draw. In the Dogmatic Constitution on the Church the Second Vatican Council recovered, as settled teaching, the very things that Module 5 watched decline: the whole People of God before the hierarchy, the instinct for the faith that lives in every believer, and the college of bishops gathered around and under the Bishop of Rome. Students should leave able to explain the order of the chapters of Lumen Gentium, to define the sensus fidei with precision, and to state the doctrine of episcopal collegiality together with its guard, the principle cum Petro et sub Petro.</w:t>
      </w:r>
    </w:p>
    <w:p>
      <w:pPr>
        <w:pBdr>
          <w:left w:val="single" w:color="B8860B" w:sz="24"/>
        </w:pBdr>
        <w:shd w:fill="FFF8E1" w:val="clear"/>
        <w:spacing w:after="160" w:before="160"/>
        <w:ind w:left="240"/>
      </w:pPr>
      <w:r>
        <w:rPr>
          <w:b/>
          <w:bCs/>
          <w:color w:val="B8860B"/>
        </w:rPr>
        <w:t xml:space="preserve">CLASSROOM CUE: </w:t>
      </w:r>
      <w:r>
        <w:t xml:space="preserve">Open by recalling the descending and rising line drawn in Class 8: authority concentrating to 1870, then the sharp recovery at 1962. Tell the class that today they reach the recovery itself. Write on the board the two chapter titles in their conciliar order: II, The People of God; III, The Hierarchy. Ask why the order alone is already a teaching before a word of content is read. Keep twelve minutes for collegiality, the hardest material of the class.</w:t>
      </w:r>
    </w:p>
    <w:p>
      <w:pPr>
        <w:pStyle w:val="Heading2"/>
        <w:spacing w:after="120" w:before="220"/>
      </w:pPr>
      <w:r>
        <w:t xml:space="preserve">The Order of the Chapters Is Itself Doctrine</w:t>
      </w:r>
    </w:p>
    <w:p>
      <w:pPr>
        <w:spacing w:after="120"/>
      </w:pPr>
      <w:r>
        <w:t xml:space="preserve">The first thing to teach about Lumen Gentium is its architecture, because the Council preached by the order in which it placed its chapters. The original schema prepared before the Council opened had followed the centralised pattern of the preceding centuries, treating the hierarchy first and the body of the faithful afterwards, as though the church were essentially the clergy with laity attached. The Council fathers rejected that draft and reordered the whole document. Chapter I speaks of the mystery of the church; chapter II, before any word on popes or bishops, speaks of the whole People of God; only in chapter III does the Council turn to the hierarchy, and there it presents ordained ministry expressly as service within the people, not as a rank above it.</w:t>
      </w:r>
      <w:r>
        <w:rPr>
          <w:rStyle w:val="FootnoteReference"/>
        </w:rPr>
        <w:footnoteReference w:id="1"/>
      </w:r>
      <w:r>
        <w:t xml:space="preserve"> The reversal was deliberate and it is doctrine in the form of a table of contents. What is common to all the baptised, the dignity of the children of God, comes first; the distinctions of office are real, but they exist inside the one people and for its sake. Every claim this course has made about synodality rests on that single editorial decision, for a church that thinks of itself first as the whole People of God will govern itself differently from a church that thinks of itself first as a hierarchy.</w:t>
      </w:r>
    </w:p>
    <w:p>
      <w:pPr>
        <w:pStyle w:val="Heading2"/>
        <w:spacing w:after="120" w:before="220"/>
      </w:pPr>
      <w:r>
        <w:t xml:space="preserve">A Priestly, Prophetic, and Kingly People</w:t>
      </w:r>
    </w:p>
    <w:p>
      <w:pPr>
        <w:spacing w:after="120"/>
      </w:pPr>
      <w:r>
        <w:t xml:space="preserve">Chapter II teaches that the whole People of God shares, by Baptism, in the threefold office of Christ as priest, prophet, and king. This is the doctrinal ground of participation. Every one of the baptised is consecrated by Baptism into a holy priesthood, offering spiritual sacrifices and witnessing to Christ; the common priesthood of the faithful and the ministerial priesthood differ not merely in degree but in kind, and yet the two are ordered to one another, the ordained existing to serve the priesthood of the whole body.</w:t>
      </w:r>
      <w:r>
        <w:rPr>
          <w:rStyle w:val="FootnoteReference"/>
        </w:rPr>
        <w:footnoteReference w:id="2"/>
      </w:r>
      <w:r>
        <w:t xml:space="preserve"> Because all share the prophetic office of Christ, the Council can make the claim that gathers up the whole argument of Newman from Class 9 and gives it conciliar authority: the body of the faithful as a whole, anointed by the Holy One, cannot err in matters of belief, and it shows this instinct through the supernatural sense of the faith of the whole people, from the bishops down to the last of the faithful, when it manifests a universal agreement in matters of faith and morals.</w:t>
      </w:r>
      <w:r>
        <w:rPr>
          <w:rStyle w:val="FootnoteReference"/>
        </w:rPr>
        <w:footnoteReference w:id="3"/>
      </w:r>
      <w:r>
        <w:t xml:space="preserve"> Here is the doctrine the course has been building towards. The teaching church and the learning church are not two separate bodies; the same one People of God both hands on the faith and carries within itself, by the gift of the Spirit, a genuine instinct for its truth.</w:t>
      </w:r>
    </w:p>
    <w:p>
      <w:pPr>
        <w:pStyle w:val="Heading2"/>
        <w:spacing w:after="120" w:before="220"/>
      </w:pPr>
      <w:r>
        <w:t xml:space="preserve">The Sensus Fidei, Rightly Understood</w:t>
      </w:r>
    </w:p>
    <w:p>
      <w:pPr>
        <w:spacing w:after="120"/>
      </w:pPr>
      <w:r>
        <w:t xml:space="preserve">The sensus fidei must be taught with precision, because it is the most abused idea in the whole course. It is a supernatural instinct, a gift of the Holy Spirit given with the faith itself, by which the believing people recognises what accords with the Gospel and recoils from what betrays it, in the way a healthy body recognises wholesome food and rejects poison. Three things must be held together for the students to use the idea rightly. The sensus fidei is supernatural, not a matter of natural opinion; it belongs to a people formed by Scripture, the sacraments, and prayer, not to the nominally baptised who have ceased to believe or practise. It is a sense of the faith, not a vote on the faith; it recognises the truth handed down, it does not manufacture new truth by majority. And it is discerned, not counted; the pastors of the church must listen for it, weigh it, and confirm it, for it is read by discernment and not measured by a survey. Hold these three and the sensus fidei is the engine of a listening church. Loosen them and it becomes the slogan of every faction that wishes to bind the church to the mood of the hour.</w:t>
      </w:r>
    </w:p>
    <w:p>
      <w:pPr>
        <w:pBdr>
          <w:left w:val="single" w:color="1565C0" w:sz="24"/>
        </w:pBdr>
        <w:shd w:fill="E3F2FD" w:val="clear"/>
        <w:spacing w:after="160" w:before="160"/>
        <w:ind w:left="240"/>
      </w:pPr>
      <w:r>
        <w:rPr>
          <w:b/>
          <w:bCs/>
          <w:color w:val="1565C0"/>
        </w:rPr>
        <w:t xml:space="preserve">EXAMPLE: </w:t>
      </w:r>
      <w:r>
        <w:t xml:space="preserve">A family that has cooked one dish for four generations carries a knowledge no written recipe holds. The grandmother cannot always state the rule, yet she knows at once when the proportion is wrong, because the dish lives in her hands. If a clever visitor insists on altering it by a formula, the whole family senses the loss before they can argue it. That instinct is not a vote and not a mere preference; it is a knowledge born of long fidelity to the thing itself. The sensus fidei is that kind of knowledge in the believing people: not the opinion of the passer-by, but the trained instinct of those who have kept the faith with their whole lives.</w:t>
      </w:r>
    </w:p>
    <w:p>
      <w:pPr>
        <w:pStyle w:val="Heading2"/>
        <w:spacing w:after="120" w:before="220"/>
      </w:pPr>
      <w:r>
        <w:t xml:space="preserve">Episcopal Collegiality</w:t>
      </w:r>
    </w:p>
    <w:p>
      <w:pPr>
        <w:spacing w:after="120"/>
      </w:pPr>
      <w:r>
        <w:t xml:space="preserve">The third recovery of Lumen Gentium supplied precisely what Vatican I had been suspended before it could say. Chapter III teaches that the bishops form a single college, the successor of the college of the apostles, and that this college, together with its head the Bishop of Rome and never without him, holds supreme and full authority over the whole church.</w:t>
      </w:r>
      <w:r>
        <w:rPr>
          <w:rStyle w:val="FootnoteReference"/>
        </w:rPr>
        <w:footnoteReference w:id="4"/>
      </w:r>
      <w:r>
        <w:t xml:space="preserve"> Two truths are joined here that the centuries had struggled to hold together. The primacy of the Bishop of Rome, defined at Vatican I, remains whole and untouched. And the bishops are not merely his branch managers, each isolated in his own diocese and receiving all direction from the centre, but a true college that shares, with him and under him, responsibility for the whole church. The Council expressed the balance in a phrase the students must carry: the college of bishops exercises its authority cum Petro et sub Petro, with Peter and under Peter. With Peter, so that the bishops are genuine sharers in the governance of the universal church and not mere executors; under Peter, so that their collegial action is always in communion with the one who holds the office of unity and never against him or without him. Collegiality is the doctrinal seed of everything the rest of the course will call synodality at the level of the bishops.</w:t>
      </w:r>
    </w:p>
    <w:p>
      <w:pPr>
        <w:pBdr>
          <w:left w:val="single" w:color="6A1B9A" w:sz="24"/>
        </w:pBdr>
        <w:shd w:fill="F3E5F5" w:val="clear"/>
        <w:spacing w:after="160" w:before="160"/>
        <w:ind w:left="240"/>
      </w:pPr>
      <w:r>
        <w:rPr>
          <w:b/>
          <w:bCs/>
          <w:color w:val="6A1B9A"/>
        </w:rPr>
        <w:t xml:space="preserve">A NOTE FOR THE CLASSROOM: </w:t>
      </w:r>
      <w:r>
        <w:t xml:space="preserve">The most delicate point in this class is the Nota Explicativa Praevia, the preliminary explanatory Nota attached to Lumen Gentium by the higher authority of the Council. Some teach it as a retreat, a last-minute clawing back of collegiality in favour of the primacy; others ignore it entirely. Both are mistakes. The Nota clarifies that the college of bishops never acts apart from its head, that there is no exercise of full collegial authority without the consent of the Bishop of Rome, and that the pope, as head of the college, may always act on his own in virtue of his office. Read fairly, the Nota does not cancel collegiality; it guards it from a misreading that would set the college against the pope or dissolve the primacy into a committee. The honest teacher presents both the strong doctrine of the college in the body of the text and the careful guard of the Nota, and shows that the two together, not either alone, are the teaching of the church. Students who take only the body become congregationalists; students who take only the Nota become centralists; the Council is neither.</w:t>
      </w:r>
    </w:p>
    <w:p>
      <w:pPr>
        <w:pBdr>
          <w:left w:val="single" w:color="2E7D32" w:sz="24"/>
        </w:pBdr>
        <w:shd w:fill="E8F5E9" w:val="clear"/>
        <w:spacing w:after="160" w:before="160"/>
        <w:ind w:left="240"/>
      </w:pPr>
      <w:r>
        <w:rPr>
          <w:b/>
          <w:bCs/>
          <w:color w:val="2E7D32"/>
        </w:rPr>
        <w:t xml:space="preserve">INDIAN CONTEXT: </w:t>
      </w:r>
      <w:r>
        <w:t xml:space="preserve">The teaching of Lumen Gentium on the whole People of God fell on Indian soil already prepared to receive it and already resistant to it, and both must be named. On the side of reception, the Indian Church quickly took up the People of God as the ground for small Christian communities, for the pastoral councils that Class 11 will treat, and for a laity conscious of a genuine share in the mission of the church. On the side of resistance, the doctrine that every baptised person shares the priestly, prophetic, and kingly office of Christ collides directly with a caste order that ranks persons by birth and with a clericalism that treats the priest as a sacred person set above an inferior laity. The sensus fidei of the whole people cannot be heard where the voice of the Dalit Christian, the woman, and the poor is silenced before it is spoken. To teach Lumen Gentium honestly in India is therefore to teach a doctrine that judges the church that teaches it, for a church that confesses one dignity in Baptism while practising many dignities by caste has not yet believed its own constitution.</w:t>
      </w:r>
    </w:p>
    <w:p>
      <w:pPr>
        <w:pBdr>
          <w:left w:val="single" w:color="B8860B" w:sz="24"/>
        </w:pBdr>
        <w:shd w:fill="FFF8E1" w:val="clear"/>
        <w:spacing w:after="160" w:before="160"/>
        <w:ind w:left="240"/>
      </w:pPr>
      <w:r>
        <w:rPr>
          <w:b/>
          <w:bCs/>
          <w:color w:val="B8860B"/>
        </w:rPr>
        <w:t xml:space="preserve">CLASSROOM CUE: </w:t>
      </w:r>
      <w:r>
        <w:t xml:space="preserve">Close by writing the phrase cum Petro et sub Petro on the board and asking the class to translate and gloss each half aloud. Then write the three guards of the sensus fidei, supernatural, a sense and not a vote, discerned and not counted, and have the class copy them, since they will be tested in Class 14 on the recent synodal method. Assign Gaudium et Spes, articles 1 to 4, and Christus Dominus on pastoral councils, for the next class.</w:t>
      </w:r>
    </w:p>
    <w:p>
      <w:pPr>
        <w:pStyle w:val="Heading2"/>
        <w:spacing w:after="120" w:before="220"/>
      </w:pPr>
      <w:r>
        <w:t xml:space="preserve">Questions for Discussion</w:t>
      </w:r>
    </w:p>
    <w:p>
      <w:pPr>
        <w:spacing w:after="120"/>
      </w:pPr>
      <w:r>
        <w:rPr>
          <w:b/>
          <w:bCs/>
        </w:rPr>
        <w:t xml:space="preserve">1.</w:t>
      </w:r>
      <w:r>
        <w:t xml:space="preserve"> The Council placed the whole People of God before the hierarchy, and taught that all the baptised share the priestly, prophetic, and kingly office of Christ. Where does the ordering of persons by caste in an Indian parish most directly contradict this teaching, and what would honesty require of a priest who has seen it?</w:t>
      </w:r>
    </w:p>
    <w:p>
      <w:pPr>
        <w:spacing w:after="120"/>
      </w:pPr>
      <w:r>
        <w:rPr>
          <w:b/>
          <w:bCs/>
        </w:rPr>
        <w:t xml:space="preserve">2.</w:t>
      </w:r>
      <w:r>
        <w:t xml:space="preserve"> The sensus fidei is a sense of the faith, not a vote on the faith, and it is discerned, not counted. How would you explain this distinction to a parishioner who thinks synodality means the church will now decide doctrine by opinion poll?</w:t>
      </w:r>
    </w:p>
    <w:p>
      <w:pPr>
        <w:spacing w:after="120"/>
      </w:pPr>
      <w:r>
        <w:rPr>
          <w:b/>
          <w:bCs/>
        </w:rPr>
        <w:t xml:space="preserve">3.</w:t>
      </w:r>
      <w:r>
        <w:t xml:space="preserve"> The bishops act cum Petro et sub Petro, with Peter and under Peter. Why does the health of the church require both halves of that phrase, and what goes wrong in the church whenever one half is dropped?</w:t>
      </w:r>
    </w:p>
    <w:p>
      <w:r>
        <w:br w:type="page"/>
      </w:r>
    </w:p>
    <w:p>
      <w:pPr>
        <w:pStyle w:val="Heading1"/>
        <w:spacing w:after="160" w:before="280"/>
      </w:pPr>
      <w:r>
        <w:t xml:space="preserve">CLASS 11: GAUDIUM ET SPES AND THE PARTICIPATORY STRUCTURES</w:t>
      </w:r>
    </w:p>
    <w:p>
      <w:pPr>
        <w:spacing w:after="120"/>
      </w:pPr>
      <w:r>
        <w:rPr>
          <w:i/>
          <w:iCs/>
        </w:rPr>
        <w:t xml:space="preserve">Module 6: The Second Vatican Council</w:t>
      </w:r>
    </w:p>
    <w:p>
      <w:pPr>
        <w:pStyle w:val="Heading2"/>
        <w:spacing w:after="120" w:before="220"/>
      </w:pPr>
      <w:r>
        <w:t xml:space="preserve">Aim of the Class</w:t>
      </w:r>
    </w:p>
    <w:p>
      <w:pPr>
        <w:spacing w:after="120"/>
      </w:pPr>
      <w:r>
        <w:t xml:space="preserve">Class 10 gave the doctrine of the People of God; this class gives its turn towards the world and its translation into working structures. In Gaudium et Spes the Council set the church to read the signs of the times and to serve the human family, and in a set of accompanying documents and later norms it built the councils and assemblies through which the participation taught in Lumen Gentium could become daily practice. Students should leave able to explain the phrase reading the signs of the times, to describe the four participatory bodies that give synodality its ordinary machinery, and to state why a doctrine of participation without structures of participation remains a dead letter.</w:t>
      </w:r>
    </w:p>
    <w:p>
      <w:pPr>
        <w:pBdr>
          <w:left w:val="single" w:color="B8860B" w:sz="24"/>
        </w:pBdr>
        <w:shd w:fill="FFF8E1" w:val="clear"/>
        <w:spacing w:after="160" w:before="160"/>
        <w:ind w:left="240"/>
      </w:pPr>
      <w:r>
        <w:rPr>
          <w:b/>
          <w:bCs/>
          <w:color w:val="B8860B"/>
        </w:rPr>
        <w:t xml:space="preserve">CLASSROOM CUE: </w:t>
      </w:r>
      <w:r>
        <w:t xml:space="preserve">Recall from Class 10 that the People of God share the threefold office of Christ, and ask the class a blunt question: if every baptised person truly shares the prophetic office, through what actual meeting does a layperson exercise it in your parish? Let the silence expose the gap this class fills. Board plan: the signs of the times, then the four councils, parish, diocesan, presbyteral, and the conference of bishops. Keep the four structures concrete.</w:t>
      </w:r>
    </w:p>
    <w:p>
      <w:pPr>
        <w:pStyle w:val="Heading2"/>
        <w:spacing w:after="120" w:before="220"/>
      </w:pPr>
      <w:r>
        <w:t xml:space="preserve">A Church That Reads the Signs of the Times</w:t>
      </w:r>
    </w:p>
    <w:p>
      <w:pPr>
        <w:spacing w:after="120"/>
      </w:pPr>
      <w:r>
        <w:t xml:space="preserve">Gaudium et Spes, the Pastoral Constitution on the Church in the Modern World, opens with one of the most quoted sentences of the Council, which declares that the joys and the hopes, the griefs and the anxieties of the people of this age, above all of those who are poor or in any way afflicted, are also the joys and hopes and griefs and anxieties of the followers of Christ.</w:t>
      </w:r>
      <w:r>
        <w:rPr>
          <w:rStyle w:val="FootnoteReference"/>
        </w:rPr>
        <w:footnoteReference w:id="5"/>
      </w:r>
      <w:r>
        <w:t xml:space="preserve"> The church here refuses to stand apart from the world as a fortress and steps into the world as a servant. The document then lays on the whole church a permanent duty: to scrutinise the signs of the times and to interpret them in the light of the Gospel, so that the church may respond to the enduring questions of humanity in the language of each generation.</w:t>
      </w:r>
      <w:r>
        <w:rPr>
          <w:rStyle w:val="FootnoteReference"/>
        </w:rPr>
        <w:footnoteReference w:id="6"/>
      </w:r>
      <w:r>
        <w:t xml:space="preserve"> This duty of reading the signs of the times is the outward face of synodality. A church that listens to the Holy Spirit must also listen to the age in which the Spirit is at work, attending to the movements, the sufferings, and the hopes of real people as a place where God is speaking. Discernment, which Module 2 traced in the assemblies of Israel, is here turned towards history itself. The Council thus binds together the two directions of listening that the whole course has followed: listening within the church to the sensus fidei of the faithful, and listening outward to the cry of the world, both under the one word of God.</w:t>
      </w:r>
    </w:p>
    <w:p>
      <w:pPr>
        <w:pStyle w:val="Heading2"/>
        <w:spacing w:after="120" w:before="220"/>
      </w:pPr>
      <w:r>
        <w:t xml:space="preserve">From Doctrine to Structure: The Four Councils</w:t>
      </w:r>
    </w:p>
    <w:p>
      <w:pPr>
        <w:spacing w:after="120"/>
      </w:pPr>
      <w:r>
        <w:t xml:space="preserve">A teaching of participation that built no structures of participation would have died with the generation that proclaimed it. The Council and the reform that followed therefore created, or restored, four bodies through which the whole People of God could share in the discernment and the mission of the church. The students should hold all four, for these are the ordinary machinery of synodality between one great assembly and the next.</w:t>
      </w:r>
    </w:p>
    <w:p>
      <w:pPr>
        <w:spacing w:after="120"/>
      </w:pPr>
      <w:r>
        <w:t xml:space="preserve">First, the parish pastoral council. The Council desired that in each diocese, so far as possible, councils be established to assist the apostolic work of the church, whether in evangelisation, in works of charity, or in other matters, with clergy, religious, and laity working together.</w:t>
      </w:r>
      <w:r>
        <w:rPr>
          <w:rStyle w:val="FootnoteReference"/>
        </w:rPr>
        <w:footnoteReference w:id="7"/>
      </w:r>
      <w:r>
        <w:t xml:space="preserve"> At the level of the parish this became the pastoral council, the body in which the baptised of a place share in discerning the mission of their own community. Where it is alive, the prophetic office of the laity has a real organ; where it exists only on paper, or merely ratifies decisions already taken by the priest, the participation taught by Lumen Gentium is quietly denied.</w:t>
      </w:r>
    </w:p>
    <w:p>
      <w:pPr>
        <w:spacing w:after="120"/>
      </w:pPr>
      <w:r>
        <w:t xml:space="preserve">Secondly, the diocesan pastoral council. The Decree on the Pastoral Office of Bishops asked that in each diocese a pastoral council be set up, over which the bishop presides, in which chosen clergy, religious, and laity study and weigh the pastoral undertakings of the diocese and draw practical conclusions about them.</w:t>
      </w:r>
      <w:r>
        <w:rPr>
          <w:rStyle w:val="FootnoteReference"/>
        </w:rPr>
        <w:footnoteReference w:id="8"/>
      </w:r>
      <w:r>
        <w:t xml:space="preserve"> This body lifts the participation of the whole people from the single parish to the level of the local church around its bishop.</w:t>
      </w:r>
    </w:p>
    <w:p>
      <w:pPr>
        <w:spacing w:after="120"/>
      </w:pPr>
      <w:r>
        <w:t xml:space="preserve">Thirdly, the presbyteral council, the senate of priests. The same Decree provided that the bishop have around him a council or senate of priests representing the presbyterate, whose counsel can effectively assist him in the governance of the diocese.</w:t>
      </w:r>
      <w:r>
        <w:rPr>
          <w:rStyle w:val="FootnoteReference"/>
        </w:rPr>
        <w:footnoteReference w:id="9"/>
      </w:r>
      <w:r>
        <w:t xml:space="preserve"> This is the modern form of the ancient council of presbyters that surrounded the bishop in the letters of Ignatius, studied in Class 6, now given stable shape. It expresses the collegial bond between a bishop and his priests, so that he governs with their counsel and not by his will alone.</w:t>
      </w:r>
    </w:p>
    <w:p>
      <w:pPr>
        <w:spacing w:after="120"/>
      </w:pPr>
      <w:r>
        <w:t xml:space="preserve">Fourthly, the conference of bishops. The Council gave stable form to the gathering of the bishops of a nation or region into an episcopal conference, in which they jointly exercise their pastoral office for the greater good of the church in their territory.</w:t>
      </w:r>
      <w:r>
        <w:rPr>
          <w:rStyle w:val="FootnoteReference"/>
        </w:rPr>
        <w:footnoteReference w:id="10"/>
      </w:r>
      <w:r>
        <w:t xml:space="preserve"> The conference is collegiality made regular below the level of the universal college, the bishops of a region discerning together the mission of the church among their own peoples, and it is the direct descendant of the provincial synods traced in Class 6.</w:t>
      </w:r>
    </w:p>
    <w:p>
      <w:pPr>
        <w:pBdr>
          <w:left w:val="single" w:color="1565C0" w:sz="24"/>
        </w:pBdr>
        <w:shd w:fill="E3F2FD" w:val="clear"/>
        <w:spacing w:after="160" w:before="160"/>
        <w:ind w:left="240"/>
      </w:pPr>
      <w:r>
        <w:rPr>
          <w:b/>
          <w:bCs/>
          <w:color w:val="1565C0"/>
        </w:rPr>
        <w:t xml:space="preserve">EXAMPLE: </w:t>
      </w:r>
      <w:r>
        <w:t xml:space="preserve">Consider a large panchayat samiti that governs many villages. Suppose its constitution grants every villager a real voice, yet no gram sabha ever meets, no ward committee is convened, and the block office decides everything alone. The right of participation would exist on paper and be worth nothing in fact, because a right without a structure through which to exercise it is no right at all. The four councils of the church are exactly those structures. Lumen Gentium granted the right of participation; these bodies are the meetings at which it is exercised. A parish that never convenes its pastoral council has, in practice, repealed the teaching of the Council for its people.</w:t>
      </w:r>
    </w:p>
    <w:p>
      <w:pPr>
        <w:pBdr>
          <w:left w:val="single" w:color="6A1B9A" w:sz="24"/>
        </w:pBdr>
        <w:shd w:fill="F3E5F5" w:val="clear"/>
        <w:spacing w:after="160" w:before="160"/>
        <w:ind w:left="240"/>
      </w:pPr>
      <w:r>
        <w:rPr>
          <w:b/>
          <w:bCs/>
          <w:color w:val="6A1B9A"/>
        </w:rPr>
        <w:t xml:space="preserve">A NOTE FOR THE CLASSROOM: </w:t>
      </w:r>
      <w:r>
        <w:t xml:space="preserve">Two clarifications keep this material honest. First, the four councils are consultative, not deliberative in the strict sense; the bishop or the priest presides and decides, and the council advises. Some treat this as proof that the structures are empty, mere decoration over an unchanged autocracy. That reading is false. Consultation in the synodal sense is not a formality to be endured but a genuine seeking of the mind of the Spirit through the whole body, after which the one who presides must decide in the light of what he has truly heard, and may not treat the counsel as noise. Cyprian sought counsel and consent, from Class 6, and was no less a bishop for it. Secondly, the point of these bodies is not to import parliamentary procedure into the church but to give the sensus fidei a place to be heard. Where they become mere debating chambers or power struggles, they have failed in the opposite direction. The aim is discernment together, presided over and decided by the pastor, and any account that loses either the participation or the presiding has lost the balance.</w:t>
      </w:r>
    </w:p>
    <w:p>
      <w:pPr>
        <w:pBdr>
          <w:left w:val="single" w:color="2E7D32" w:sz="24"/>
        </w:pBdr>
        <w:shd w:fill="E8F5E9" w:val="clear"/>
        <w:spacing w:after="160" w:before="160"/>
        <w:ind w:left="240"/>
      </w:pPr>
      <w:r>
        <w:rPr>
          <w:b/>
          <w:bCs/>
          <w:color w:val="2E7D32"/>
        </w:rPr>
        <w:t xml:space="preserve">INDIAN CONTEXT: </w:t>
      </w:r>
      <w:r>
        <w:t xml:space="preserve">The Indian Church has one of the richest experiences of participatory structures in the Catholic world, and also one of the widest gaps between structure on paper and structure in practice. The small Christian communities, the basic ecclesial communities built lane by lane and village by village, are among the most genuine embodiments of the participation Gaudium et Spes intended, gathering neighbours to read the word, to share their needs, and to act together for justice in their locality. The Indian episcopal conferences and the wider Asian gathering of bishops have read the signs of the times with real courage, naming poverty, communalism, and the wounds of caste as the places where the Gospel must speak. Yet in many a parish the pastoral council does not meet, or meets only to approve the accounts and the feast-day arrangements, while the real decisions are taken by the priest alone, and the diocesan pastoral council exists more in the statutes than in the calendar. The signs of the times in India, the migrant on the train, the farmer in debt, the Dalit at the edge of the village, are precisely the joys and griefs that Gaudium et Spes made the church own as her own. A participatory structure that never turns to face them has forgotten why it was built.</w:t>
      </w:r>
    </w:p>
    <w:p>
      <w:pPr>
        <w:pBdr>
          <w:left w:val="single" w:color="B8860B" w:sz="24"/>
        </w:pBdr>
        <w:shd w:fill="FFF8E1" w:val="clear"/>
        <w:spacing w:after="160" w:before="160"/>
        <w:ind w:left="240"/>
      </w:pPr>
      <w:r>
        <w:rPr>
          <w:b/>
          <w:bCs/>
          <w:color w:val="B8860B"/>
        </w:rPr>
        <w:t xml:space="preserve">CLASSROOM CUE: </w:t>
      </w:r>
      <w:r>
        <w:t xml:space="preserve">Close by listing the four councils vertically on the board and asking the class which of the four they have ever seen actually functioning. Tell them that Module 7, beginning next class, lifts this same participatory principle to the level of the universal church in the Synod of Bishops. Assign the motu proprio Apostolica Sollicitudo of 1965 and, if available, the apostolic constitution Episcopalis Communio of 2018 for the next class.</w:t>
      </w:r>
    </w:p>
    <w:p>
      <w:pPr>
        <w:pStyle w:val="Heading2"/>
        <w:spacing w:after="120" w:before="220"/>
      </w:pPr>
      <w:r>
        <w:t xml:space="preserve">Questions for Discussion</w:t>
      </w:r>
    </w:p>
    <w:p>
      <w:pPr>
        <w:spacing w:after="120"/>
      </w:pPr>
      <w:r>
        <w:rPr>
          <w:b/>
          <w:bCs/>
        </w:rPr>
        <w:t xml:space="preserve">1.</w:t>
      </w:r>
      <w:r>
        <w:t xml:space="preserve"> Gaudium et Spes made the griefs of the poor and the afflicted the very griefs of the followers of Christ. Which griefs in your own locality in West Bengal should a parish pastoral council be reading as signs of the times, and which does it currently ignore?</w:t>
      </w:r>
    </w:p>
    <w:p>
      <w:pPr>
        <w:spacing w:after="120"/>
      </w:pPr>
      <w:r>
        <w:rPr>
          <w:b/>
          <w:bCs/>
        </w:rPr>
        <w:t xml:space="preserve">2.</w:t>
      </w:r>
      <w:r>
        <w:t xml:space="preserve"> The four participatory councils are consultative, and the pastor still decides. In your experience, is consultation in your parish or diocese a genuine seeking of the mind of the whole body, or a formality after the decision is already made, and what would move it from the second to the first?</w:t>
      </w:r>
    </w:p>
    <w:p>
      <w:pPr>
        <w:spacing w:after="120"/>
      </w:pPr>
      <w:r>
        <w:rPr>
          <w:b/>
          <w:bCs/>
        </w:rPr>
        <w:t xml:space="preserve">3.</w:t>
      </w:r>
      <w:r>
        <w:t xml:space="preserve"> The small Christian communities are widely praised as the Indian face of participation. Where have you seen them truly form a discerning, acting community, and where have they become merely another meeting, and what makes the difference?</w:t>
      </w:r>
    </w:p>
    <w:p>
      <w:r>
        <w:br w:type="page"/>
      </w:r>
    </w:p>
    <w:p>
      <w:pPr>
        <w:pStyle w:val="Heading1"/>
        <w:spacing w:after="160" w:before="280"/>
      </w:pPr>
      <w:r>
        <w:t xml:space="preserve">CLASS 12: APOSTOLICA SOLLICITUDO AND THE SYNOD OF BISHOPS</w:t>
      </w:r>
    </w:p>
    <w:p>
      <w:pPr>
        <w:spacing w:after="120"/>
      </w:pPr>
      <w:r>
        <w:rPr>
          <w:i/>
          <w:iCs/>
        </w:rPr>
        <w:t xml:space="preserve">Module 7: The Synod of Bishops</w:t>
      </w:r>
    </w:p>
    <w:p>
      <w:pPr>
        <w:pStyle w:val="Heading2"/>
        <w:spacing w:after="120" w:before="220"/>
      </w:pPr>
      <w:r>
        <w:t xml:space="preserve">Aim of the Class</w:t>
      </w:r>
    </w:p>
    <w:p>
      <w:pPr>
        <w:spacing w:after="120"/>
      </w:pPr>
      <w:r>
        <w:t xml:space="preserve">Class 11 built the participatory structures below the level of the universal church. This class follows the same principle to the top, tracing the permanent Synod of Bishops from its institution by Paul VI in 1965 to its transformation by Pope Francis in 2018. Students should leave able to explain why Paul VI created the Synod, what its original consultative character was, how the assemblies developed across half a century, and how the apostolic constitution Episcopalis Communio reshaped the Synod from a single event into a whole process that begins and ends in the local churches.</w:t>
      </w:r>
    </w:p>
    <w:p>
      <w:pPr>
        <w:pBdr>
          <w:left w:val="single" w:color="B8860B" w:sz="24"/>
        </w:pBdr>
        <w:shd w:fill="FFF8E1" w:val="clear"/>
        <w:spacing w:after="160" w:before="160"/>
        <w:ind w:left="240"/>
      </w:pPr>
      <w:r>
        <w:rPr>
          <w:b/>
          <w:bCs/>
          <w:color w:val="B8860B"/>
        </w:rPr>
        <w:t xml:space="preserve">CLASSROOM CUE: </w:t>
      </w:r>
      <w:r>
        <w:t xml:space="preserve">Begin by recalling that the Council recovered collegiality as doctrine in Class 10 but closed in 1965 without a standing instrument to exercise it between councils. Ask the class what a body ought to look like that would let the bishops of the world keep advising the Bishop of Rome without the enormous labour of a full council. Board plan across the years: 1965 Apostolica Sollicitudo, then the developing assemblies, then 2018 Episcopalis Communio. Keep the shift from event to process for the centre of the class.</w:t>
      </w:r>
    </w:p>
    <w:p>
      <w:pPr>
        <w:pStyle w:val="Heading2"/>
        <w:spacing w:after="120" w:before="220"/>
      </w:pPr>
      <w:r>
        <w:t xml:space="preserve">Why Paul VI Created the Synod</w:t>
      </w:r>
    </w:p>
    <w:p>
      <w:pPr>
        <w:spacing w:after="120"/>
      </w:pPr>
      <w:r>
        <w:t xml:space="preserve">The Second Vatican Council had taught that the bishops form a college sharing responsibility for the whole church, but a college that meets only in a full ecumenical council, a rare and vast undertaking, could not easily exercise that shared responsibility in the ordinary life of the church. Paul VI answered this need while the Council was still sitting. On 15 September 1965 he instituted, through the motu proprio Apostolica Sollicitudo, a permanent Synod of Bishops, a standing body of bishops chosen for the most part by the episcopal conferences of the world, to be convoked by the Bishop of Rome to offer their counsel on the questions he set before them.</w:t>
      </w:r>
      <w:r>
        <w:rPr>
          <w:rStyle w:val="FootnoteReference"/>
        </w:rPr>
        <w:footnoteReference w:id="11"/>
      </w:r>
      <w:r>
        <w:t xml:space="preserve"> The name was chosen with care, for synodos, as Class 1 recovered, means a walking together, and the new body was meant to keep the bishops of the world walking with their head between the great councils. Two features of the original institution must be fixed clearly. The Synod was permanent as an institution, though it acted through particular assemblies convoked from time to time. And its role was consultative: it existed to advise the Bishop of Rome, who could grant it deliberative power in a given case but who otherwise received its counsel and then decided. The Synod was, from birth, an instrument of collegial counsel, not a parliament sharing sovereignty.</w:t>
      </w:r>
    </w:p>
    <w:p>
      <w:pPr>
        <w:pStyle w:val="Heading2"/>
        <w:spacing w:after="120" w:before="220"/>
      </w:pPr>
      <w:r>
        <w:t xml:space="preserve">Half a Century of Assemblies</w:t>
      </w:r>
    </w:p>
    <w:p>
      <w:pPr>
        <w:spacing w:after="120"/>
      </w:pPr>
      <w:r>
        <w:t xml:space="preserve">From 1967 onward the Synod met in a long series of assemblies, and the students should grasp their range rather than memorise a list. Ordinary general assemblies took up broad questions of the life of the whole church, from evangelisation and catechesis to the family, the word of God, and the priesthood. Extraordinary assemblies were convoked for urgent matters, including the assembly of 1985 that took stock of the Council twenty years on and gave the church the language of communion as the guiding idea for reading all its documents. Special assemblies gathered the bishops of a single continent or region, and it is here that the Indian Church has her direct stake, for the special assembly for Asia in 1998 produced the vision of a church with a genuinely Asian face, at home among the poor, the cultures, and the religions of the continent. Across these decades the Synod became the ordinary organ through which the concerns of the local churches were carried to the centre and the counsel of the world episcopate was offered to the pope. Yet a limit was increasingly felt. The Synod remained an assembly of bishops meeting in Rome, and the wider People of God, whose sensus fidei Lumen Gentium had honoured, had no clear place in its working. The instrument of collegiality had been built; the instrument of the fuller synodality was still to come.</w:t>
      </w:r>
    </w:p>
    <w:p>
      <w:pPr>
        <w:pBdr>
          <w:left w:val="single" w:color="1565C0" w:sz="24"/>
        </w:pBdr>
        <w:shd w:fill="E3F2FD" w:val="clear"/>
        <w:spacing w:after="160" w:before="160"/>
        <w:ind w:left="240"/>
      </w:pPr>
      <w:r>
        <w:rPr>
          <w:b/>
          <w:bCs/>
          <w:color w:val="1565C0"/>
        </w:rPr>
        <w:t xml:space="preserve">EXAMPLE: </w:t>
      </w:r>
      <w:r>
        <w:t xml:space="preserve">Think of a large and scattered family firm whose branches lie across many states. The founder alone cannot hold a full assembly of every worker for each decision, so he forms a standing committee of branch heads who gather from time to time to advise him on the questions he puts to them. This keeps the firm united and the founder informed between the rare full gatherings. But suppose the ordinary workers, who know the customers and the local markets better than anyone, are never consulted, and the committee hears only the branch heads. The firm would be well governed at the top and deaf at the base. That was the strength and the limit of the Synod in its first fifty years: a real instrument of counsel among the leaders, not yet a channel for the discernment of the whole body.</w:t>
      </w:r>
    </w:p>
    <w:p>
      <w:pPr>
        <w:pStyle w:val="Heading2"/>
        <w:spacing w:after="120" w:before="220"/>
      </w:pPr>
      <w:r>
        <w:t xml:space="preserve">Episcopalis Communio: From Event to Process</w:t>
      </w:r>
    </w:p>
    <w:p>
      <w:pPr>
        <w:spacing w:after="120"/>
      </w:pPr>
      <w:r>
        <w:t xml:space="preserve">In 2018 Pope Francis reshaped the Synod through the apostolic constitution Episcopalis Communio, and this is the pivot of the class. The document changed the Synod from a single event, a meeting of bishops in Rome, into an entire process with three phases: a preparatory phase of consultation that begins in the local churches, the celebratory phase of the assembly itself, and an implementation phase that returns the fruit of the assembly to the local churches to be received and put into practice.</w:t>
      </w:r>
      <w:r>
        <w:rPr>
          <w:rStyle w:val="FootnoteReference"/>
        </w:rPr>
        <w:footnoteReference w:id="12"/>
      </w:r>
      <w:r>
        <w:t xml:space="preserve"> The consequence for the theology of this course is large. The constitution states that the Synod, though composed chiefly of bishops, does not act separately from the rest of the faithful but is an apt instrument to give voice to the whole People of God, precisely through the bishops, who are set as guardians and interpreters of the faith of their people.</w:t>
      </w:r>
      <w:r>
        <w:rPr>
          <w:rStyle w:val="FootnoteReference"/>
        </w:rPr>
        <w:footnoteReference w:id="13"/>
      </w:r>
      <w:r>
        <w:t xml:space="preserve"> Two principles from earlier classes are joined here. The consultation of the faithful, which Newman defended in Class 9 and Lumen Gentium taught in Class 10, is now written into the working of the universal Synod, so that the process must begin by listening to the People of God in every local church. And the discernment of the bishops, the collegiality of Class 10, remains the means by which that listening is gathered, weighed, and offered to the Bishop of Rome. Episcopalis Communio thus turns the Synod into an exercise of synodality in the full sense, the whole People of God consulted, the bishops discerning, and the head confirming, which is precisely the pattern of Acts 15 from Class 5, now given a worldwide procedure.</w:t>
      </w:r>
    </w:p>
    <w:p>
      <w:pPr>
        <w:spacing w:after="120"/>
      </w:pPr>
      <w:r>
        <w:t xml:space="preserve">The constitution also settled the standing of the final document of an assembly. When the members of an assembly approve a final document and the Bishop of Rome ratifies it, that document participates in the ordinary magisterium of the successor of Peter.</w:t>
      </w:r>
      <w:r>
        <w:rPr>
          <w:rStyle w:val="FootnoteReference"/>
        </w:rPr>
        <w:footnoteReference w:id="14"/>
      </w:r>
      <w:r>
        <w:t xml:space="preserve"> This provision, little noticed in 2018, became decisive in 2024, when Pope Francis chose not to write a separate exhortation after the assembly on synodality but to give the final document itself this magisterial standing, as Class 1 anticipated and Class 14 will treat in full. The Synod, in other words, was made ready by Episcopalis Communio to carry the weight that the synodal process of 2021 to 2024 would place upon it.</w:t>
      </w:r>
    </w:p>
    <w:p>
      <w:pPr>
        <w:pBdr>
          <w:left w:val="single" w:color="6A1B9A" w:sz="24"/>
        </w:pBdr>
        <w:shd w:fill="F3E5F5" w:val="clear"/>
        <w:spacing w:after="160" w:before="160"/>
        <w:ind w:left="240"/>
      </w:pPr>
      <w:r>
        <w:rPr>
          <w:b/>
          <w:bCs/>
          <w:color w:val="6A1B9A"/>
        </w:rPr>
        <w:t xml:space="preserve">A NOTE FOR THE CLASSROOM: </w:t>
      </w:r>
      <w:r>
        <w:t xml:space="preserve">Guard the class against two misreadings of Episcopalis Communio. The first claims that Francis turned the Synod into a parliament of the whole church in which the laity now vote the bishops down. This is false; the constitution keeps the Synod episcopal in its discerning core, and the consultation of the faithful precedes and informs the discernment of the bishops rather than replacing it. The later decision to give some non-bishop members a vote in the 2023 and 2024 assemblies was a development within this structure, not a surrender of the episcopal character of the Synod. The second misreading claims that nothing changed, that Episcopalis Communio was mere words over an unchanged Roman event. This too is false; the shift from a single Roman meeting to a three-phase process rooted in the local churches is a real change, and the global consultation of 2021 to 2024 could not have happened without it. Teach the balance: the Synod remained a body of episcopal discernment, and it became the summit of a process that begins and ends in the listening of the whole People of God.</w:t>
      </w:r>
    </w:p>
    <w:p>
      <w:pPr>
        <w:pBdr>
          <w:left w:val="single" w:color="2E7D32" w:sz="24"/>
        </w:pBdr>
        <w:shd w:fill="E8F5E9" w:val="clear"/>
        <w:spacing w:after="160" w:before="160"/>
        <w:ind w:left="240"/>
      </w:pPr>
      <w:r>
        <w:rPr>
          <w:b/>
          <w:bCs/>
          <w:color w:val="2E7D32"/>
        </w:rPr>
        <w:t xml:space="preserve">INDIAN CONTEXT: </w:t>
      </w:r>
      <w:r>
        <w:t xml:space="preserve">For the Indian Church the reform of the Synod is not a distant Roman affair but a summons that reaches to the parish, because the process now begins with the listening of the local church. When Episcopalis Communio requires that the synodal process open by consulting the People of God in every place, it requires the diocese in Bengal and the parish in the coalfields to gather and to listen before anything is carried to Rome, which is a demand the older model never made of them. The special assembly for Asia had already given the Indian bishops the vision of a church at home among the poor, the cultures, and the many religions of this land; Episcopalis Communio now gives the method by which the whole People of God, and not the bishops alone, can share in shaping that church. The test for the Indian Church is whether the consultation reaches those it has always found easiest to skip, the Dalit Christian, the Adivasi, the woman, the labourer, or whether it gathers only the familiar voices of the parish council and calls that the sensus fidei. The instrument now exists; whether it hears the whole body is a question India must answer in her own dioceses.</w:t>
      </w:r>
    </w:p>
    <w:p>
      <w:pPr>
        <w:pBdr>
          <w:left w:val="single" w:color="B8860B" w:sz="24"/>
        </w:pBdr>
        <w:shd w:fill="FFF8E1" w:val="clear"/>
        <w:spacing w:after="160" w:before="160"/>
        <w:ind w:left="240"/>
      </w:pPr>
      <w:r>
        <w:rPr>
          <w:b/>
          <w:bCs/>
          <w:color w:val="B8860B"/>
        </w:rPr>
        <w:t xml:space="preserve">CLASSROOM CUE: </w:t>
      </w:r>
      <w:r>
        <w:t xml:space="preserve">Close by drawing the three phases of the reformed Synod as a circle that begins and ends in the local church: consultation, assembly, implementation. Tell the class that Part 5 enters the pontificate of Pope Francis and the global synodal process itself, where this instrument was put to its greatest use. Assign the apostolic exhortation Evangelii Gaudium, above all its treatment of a missionary and outward-facing church, for Class 13, which opens Part 5.</w:t>
      </w:r>
    </w:p>
    <w:p>
      <w:pPr>
        <w:pStyle w:val="Heading2"/>
        <w:spacing w:after="120" w:before="220"/>
      </w:pPr>
      <w:r>
        <w:t xml:space="preserve">Questions for Discussion</w:t>
      </w:r>
    </w:p>
    <w:p>
      <w:pPr>
        <w:spacing w:after="120"/>
      </w:pPr>
      <w:r>
        <w:rPr>
          <w:b/>
          <w:bCs/>
        </w:rPr>
        <w:t xml:space="preserve">1.</w:t>
      </w:r>
      <w:r>
        <w:t xml:space="preserve"> Paul VI created the Synod so that the bishops of the world could keep walking with their head between the great councils. Fifty years later Francis rooted that walking in the listening of the whole People of God. Why was the first step incomplete without the second?</w:t>
      </w:r>
    </w:p>
    <w:p>
      <w:pPr>
        <w:spacing w:after="120"/>
      </w:pPr>
      <w:r>
        <w:rPr>
          <w:b/>
          <w:bCs/>
        </w:rPr>
        <w:t xml:space="preserve">2.</w:t>
      </w:r>
      <w:r>
        <w:t xml:space="preserve"> Episcopalis Communio requires the synodal process to begin by consulting the faithful in every local church. In your diocese, who would actually be gathered for such a consultation, and whose voice would be quietly left out?</w:t>
      </w:r>
    </w:p>
    <w:p>
      <w:pPr>
        <w:spacing w:after="120"/>
      </w:pPr>
      <w:r>
        <w:rPr>
          <w:b/>
          <w:bCs/>
        </w:rPr>
        <w:t xml:space="preserve">3.</w:t>
      </w:r>
      <w:r>
        <w:t xml:space="preserve"> The Synod remains a body of episcopal discernment even as it consults the whole People of God. Why does the church insist on holding both together, rather than making the Synod either a purely episcopal council or a parliament of all the baptised?</w:t>
      </w:r>
    </w:p>
    <w:p>
      <w:pPr>
        <w:pStyle w:val="Heading1"/>
        <w:spacing w:after="160" w:before="280"/>
      </w:pPr>
      <w:r>
        <w:t xml:space="preserve">Bibliography for Part 4</w:t>
      </w:r>
    </w:p>
    <w:p>
      <w:pPr>
        <w:spacing w:after="140"/>
        <w:ind w:left="720" w:hanging="720"/>
      </w:pPr>
      <w:r>
        <w:t xml:space="preserve">Francis. Apostolic Constitution </w:t>
      </w:r>
      <w:r>
        <w:rPr>
          <w:i/>
          <w:iCs/>
        </w:rPr>
        <w:t xml:space="preserve">Episcopalis Communio</w:t>
      </w:r>
      <w:r>
        <w:t xml:space="preserve">. 15 September 2018.</w:t>
      </w:r>
    </w:p>
    <w:p>
      <w:pPr>
        <w:spacing w:after="140"/>
        <w:ind w:left="720" w:hanging="720"/>
      </w:pPr>
      <w:r>
        <w:t xml:space="preserve">Paul VI. Apostolic Letter issued Motu Proprio </w:t>
      </w:r>
      <w:r>
        <w:rPr>
          <w:i/>
          <w:iCs/>
        </w:rPr>
        <w:t xml:space="preserve">Apostolica Sollicitudo</w:t>
      </w:r>
      <w:r>
        <w:t xml:space="preserve">. 15 September 1965.</w:t>
      </w:r>
    </w:p>
    <w:p>
      <w:pPr>
        <w:spacing w:after="140"/>
        <w:ind w:left="720" w:hanging="720"/>
      </w:pPr>
      <w:r>
        <w:t xml:space="preserve">Second Vatican Council. Decree on the Apostolate of the Laity </w:t>
      </w:r>
      <w:r>
        <w:rPr>
          <w:i/>
          <w:iCs/>
        </w:rPr>
        <w:t xml:space="preserve">Apostolicam Actuositatem</w:t>
      </w:r>
      <w:r>
        <w:t xml:space="preserve">. 18 November 1965.</w:t>
      </w:r>
    </w:p>
    <w:p>
      <w:pPr>
        <w:spacing w:after="140"/>
        <w:ind w:left="720" w:hanging="720"/>
      </w:pPr>
      <w:r>
        <w:t xml:space="preserve">Second Vatican Council. Decree on the Ministry and Life of Priests </w:t>
      </w:r>
      <w:r>
        <w:rPr>
          <w:i/>
          <w:iCs/>
        </w:rPr>
        <w:t xml:space="preserve">Presbyterorum Ordinis</w:t>
      </w:r>
      <w:r>
        <w:t xml:space="preserve">. 7 December 1965.</w:t>
      </w:r>
    </w:p>
    <w:p>
      <w:pPr>
        <w:spacing w:after="140"/>
        <w:ind w:left="720" w:hanging="720"/>
      </w:pPr>
      <w:r>
        <w:t xml:space="preserve">Second Vatican Council. Decree on the Pastoral Office of Bishops in the Church </w:t>
      </w:r>
      <w:r>
        <w:rPr>
          <w:i/>
          <w:iCs/>
        </w:rPr>
        <w:t xml:space="preserve">Christus Dominus</w:t>
      </w:r>
      <w:r>
        <w:t xml:space="preserve">. 28 October 1965.</w:t>
      </w:r>
    </w:p>
    <w:p>
      <w:pPr>
        <w:spacing w:after="140"/>
        <w:ind w:left="720" w:hanging="720"/>
      </w:pPr>
      <w:r>
        <w:t xml:space="preserve">Second Vatican Council. Dogmatic Constitution on the Church </w:t>
      </w:r>
      <w:r>
        <w:rPr>
          <w:i/>
          <w:iCs/>
        </w:rPr>
        <w:t xml:space="preserve">Lumen Gentium</w:t>
      </w:r>
      <w:r>
        <w:t xml:space="preserve">. 21 November 1964.</w:t>
      </w:r>
    </w:p>
    <w:p>
      <w:pPr>
        <w:spacing w:after="140"/>
        <w:ind w:left="720" w:hanging="720"/>
      </w:pPr>
      <w:r>
        <w:t xml:space="preserve">Second Vatican Council. Pastoral Constitution on the Church in the Modern World </w:t>
      </w:r>
      <w:r>
        <w:rPr>
          <w:i/>
          <w:iCs/>
        </w:rPr>
        <w:t xml:space="preserve">Gaudium et Spes</w:t>
      </w:r>
      <w:r>
        <w:t xml:space="preserve">. 7 December 1965.</w:t>
      </w:r>
    </w:p>
    <w:p>
      <w:pPr>
        <w:spacing w:after="120" w:before="120"/>
      </w:pPr>
      <w:r>
        <w:rPr>
          <w:i/>
          <w:iCs/>
          <w:sz w:val="20"/>
          <w:szCs w:val="20"/>
        </w:rPr>
        <w:t xml:space="preserve">Scripture is quoted throughout from the Revised Standard Version, Second Catholic Edition.</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r>
        <w:rPr>
          <w:rStyle w:val="FootnoteReference"/>
        </w:rPr>
        <w:footnoteRef/>
      </w:r>
      <w:r>
        <w:rPr>
          <w:sz w:val="20"/>
          <w:szCs w:val="20"/>
        </w:rPr>
        <w:t xml:space="preserve">Second Vatican Council, Dogmatic Constitution on the Church Lumen Gentium (21 November 1964), chapters I to IV. On the reordering of the schema, see the Acta Synodalia and the standard conciliar histories.</w:t>
      </w:r>
    </w:p>
  </w:footnote>
  <w:footnote w:id="2">
    <w:p>
      <w:r>
        <w:rPr>
          <w:rStyle w:val="FootnoteReference"/>
        </w:rPr>
        <w:footnoteRef/>
      </w:r>
      <w:r>
        <w:rPr>
          <w:sz w:val="20"/>
          <w:szCs w:val="20"/>
        </w:rPr>
        <w:t xml:space="preserve">Lumen Gentium, no. 10.</w:t>
      </w:r>
    </w:p>
  </w:footnote>
  <w:footnote w:id="3">
    <w:p>
      <w:r>
        <w:rPr>
          <w:rStyle w:val="FootnoteReference"/>
        </w:rPr>
        <w:footnoteRef/>
      </w:r>
      <w:r>
        <w:rPr>
          <w:sz w:val="20"/>
          <w:szCs w:val="20"/>
        </w:rPr>
        <w:t xml:space="preserve">Lumen Gentium, no. 12.</w:t>
      </w:r>
    </w:p>
  </w:footnote>
  <w:footnote w:id="4">
    <w:p>
      <w:r>
        <w:rPr>
          <w:rStyle w:val="FootnoteReference"/>
        </w:rPr>
        <w:footnoteRef/>
      </w:r>
      <w:r>
        <w:rPr>
          <w:sz w:val="20"/>
          <w:szCs w:val="20"/>
        </w:rPr>
        <w:t xml:space="preserve">Lumen Gentium, nos. 22-23.</w:t>
      </w:r>
    </w:p>
  </w:footnote>
  <w:footnote w:id="5">
    <w:p>
      <w:r>
        <w:rPr>
          <w:rStyle w:val="FootnoteReference"/>
        </w:rPr>
        <w:footnoteRef/>
      </w:r>
      <w:r>
        <w:rPr>
          <w:sz w:val="20"/>
          <w:szCs w:val="20"/>
        </w:rPr>
        <w:t xml:space="preserve">Second Vatican Council, Pastoral Constitution on the Church in the Modern World Gaudium et Spes (7 December 1965), no. 1.</w:t>
      </w:r>
    </w:p>
  </w:footnote>
  <w:footnote w:id="6">
    <w:p>
      <w:r>
        <w:rPr>
          <w:rStyle w:val="FootnoteReference"/>
        </w:rPr>
        <w:footnoteRef/>
      </w:r>
      <w:r>
        <w:rPr>
          <w:sz w:val="20"/>
          <w:szCs w:val="20"/>
        </w:rPr>
        <w:t xml:space="preserve">Gaudium et Spes, no. 4.</w:t>
      </w:r>
    </w:p>
  </w:footnote>
  <w:footnote w:id="7">
    <w:p>
      <w:r>
        <w:rPr>
          <w:rStyle w:val="FootnoteReference"/>
        </w:rPr>
        <w:footnoteRef/>
      </w:r>
      <w:r>
        <w:rPr>
          <w:sz w:val="20"/>
          <w:szCs w:val="20"/>
        </w:rPr>
        <w:t xml:space="preserve">Second Vatican Council, Decree on the Apostolate of the Laity Apostolicam Actuositatem (18 November 1965), no. 26.</w:t>
      </w:r>
    </w:p>
  </w:footnote>
  <w:footnote w:id="8">
    <w:p>
      <w:r>
        <w:rPr>
          <w:rStyle w:val="FootnoteReference"/>
        </w:rPr>
        <w:footnoteRef/>
      </w:r>
      <w:r>
        <w:rPr>
          <w:sz w:val="20"/>
          <w:szCs w:val="20"/>
        </w:rPr>
        <w:t xml:space="preserve">Second Vatican Council, Decree on the Pastoral Office of Bishops in the Church Christus Dominus (28 October 1965), no. 27.</w:t>
      </w:r>
    </w:p>
  </w:footnote>
  <w:footnote w:id="9">
    <w:p>
      <w:r>
        <w:rPr>
          <w:rStyle w:val="FootnoteReference"/>
        </w:rPr>
        <w:footnoteRef/>
      </w:r>
      <w:r>
        <w:rPr>
          <w:sz w:val="20"/>
          <w:szCs w:val="20"/>
        </w:rPr>
        <w:t xml:space="preserve">Christus Dominus, no. 27; Presbyterorum Ordinis (7 December 1965), no. 7.</w:t>
      </w:r>
    </w:p>
  </w:footnote>
  <w:footnote w:id="10">
    <w:p>
      <w:r>
        <w:rPr>
          <w:rStyle w:val="FootnoteReference"/>
        </w:rPr>
        <w:footnoteRef/>
      </w:r>
      <w:r>
        <w:rPr>
          <w:sz w:val="20"/>
          <w:szCs w:val="20"/>
        </w:rPr>
        <w:t xml:space="preserve">Christus Dominus, nos. 37-38.</w:t>
      </w:r>
    </w:p>
  </w:footnote>
  <w:footnote w:id="11">
    <w:p>
      <w:r>
        <w:rPr>
          <w:rStyle w:val="FootnoteReference"/>
        </w:rPr>
        <w:footnoteRef/>
      </w:r>
      <w:r>
        <w:rPr>
          <w:sz w:val="20"/>
          <w:szCs w:val="20"/>
        </w:rPr>
        <w:t xml:space="preserve">Paul VI, Apostolic Letter issued Motu Proprio Apostolica Sollicitudo (15 September 1965).</w:t>
      </w:r>
    </w:p>
  </w:footnote>
  <w:footnote w:id="12">
    <w:p>
      <w:r>
        <w:rPr>
          <w:rStyle w:val="FootnoteReference"/>
        </w:rPr>
        <w:footnoteRef/>
      </w:r>
      <w:r>
        <w:rPr>
          <w:sz w:val="20"/>
          <w:szCs w:val="20"/>
        </w:rPr>
        <w:t xml:space="preserve">Francis, Apostolic Constitution Episcopalis Communio (15 September 2018).</w:t>
      </w:r>
    </w:p>
  </w:footnote>
  <w:footnote w:id="13">
    <w:p>
      <w:r>
        <w:rPr>
          <w:rStyle w:val="FootnoteReference"/>
        </w:rPr>
        <w:footnoteRef/>
      </w:r>
      <w:r>
        <w:rPr>
          <w:sz w:val="20"/>
          <w:szCs w:val="20"/>
        </w:rPr>
        <w:t xml:space="preserve">Episcopalis Communio, nos. 5-7.</w:t>
      </w:r>
    </w:p>
  </w:footnote>
  <w:footnote w:id="14">
    <w:p>
      <w:r>
        <w:rPr>
          <w:rStyle w:val="FootnoteReference"/>
        </w:rPr>
        <w:footnoteRef/>
      </w:r>
      <w:r>
        <w:rPr>
          <w:sz w:val="20"/>
          <w:szCs w:val="20"/>
        </w:rPr>
        <w:t xml:space="preserve">Episcopalis Communio, no. 18.</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Times New Roman" w:cs="Times New Roman" w:eastAsia="Times New Roman" w:hAnsi="Times New Roman"/>
      <w:b/>
      <w:bCs/>
      <w:sz w:val="32"/>
      <w:szCs w:val="32"/>
    </w:rPr>
  </w:style>
  <w:style w:type="paragraph" w:styleId="Heading2">
    <w:name w:val="Heading 2"/>
    <w:basedOn w:val="Normal"/>
    <w:next w:val="Normal"/>
    <w:qFormat/>
    <w:rPr>
      <w:rFonts w:ascii="Times New Roman" w:cs="Times New Roman" w:eastAsia="Times New Roman" w:hAnsi="Times New Roman"/>
      <w:b/>
      <w:bCs/>
      <w:sz w:val="28"/>
      <w:szCs w:val="28"/>
    </w:rPr>
  </w:style>
  <w:style w:type="paragraph" w:styleId="Heading3">
    <w:name w:val="Heading 3"/>
    <w:basedOn w:val="Normal"/>
    <w:next w:val="Normal"/>
    <w:qFormat/>
    <w:rPr>
      <w:rFonts w:ascii="Times New Roman" w:cs="Times New Roman" w:eastAsia="Times New Roman" w:hAnsi="Times New Roman"/>
      <w:b/>
      <w:bCs/>
      <w:sz w:val="26"/>
      <w:szCs w:val="2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2026-07-07T06:46:10.026Z</dcterms:created>
  <dcterms:modified xsi:type="dcterms:W3CDTF">2026-07-07T06:46:10.041Z</dcterms:modified>
</cp:coreProperties>
</file>

<file path=docProps/custom.xml><?xml version="1.0" encoding="utf-8"?>
<Properties xmlns="http://schemas.openxmlformats.org/officeDocument/2006/custom-properties" xmlns:vt="http://schemas.openxmlformats.org/officeDocument/2006/docPropsVTypes"/>
</file>