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cada elemento: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Superior: 5 puntos para el primer nivel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Alto: 4 puntos para el segundo nivel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Básico: 3 puntos para el tercer nivel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Bajo: 2 puntos para el cuarto nivel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En caso de no entregar se coloca 0.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Organización de proyecto  (30%)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organización del proyecto cumple con todos los parámetros establecidos por la arquitectura de código limpio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La organización del proyecto cumple con la mayoría de  los parámetros establecidos por la arquitectura de código limpio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La organización del proyecto cumple con algunos de los parámetros establecidos por la arquitectura de código limpio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La organización del proyecto no cumple los parámetros establecidos por la arquitectura de código limpio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Manejo del estado de la aplicación  (50%)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usa de manera correcta por lo menos tres variables de estado de la aplicación con la librería GetX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usa de manera correcta por lo menos dos variables de estado de la aplicación con la librería GetX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usa de manera correcta por lo menos una variable de estado de la aplicación con la librería GetX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se hace uso correcto de variables de estado de la aplicación con la librería GetX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Pruebas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(20%)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ejecutan de manera correcta y suficiente las pruebas de acuerdo al plan de pruebas acordado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ejecutan de manera correcta y suficiente la mayoria pruebas de acuerdo al plan de pruebas acordado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ejecutan de manera correcta y suficiente algunas de las pruebas de acuerdo al plan de pruebas acordado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se ejecutan de manera correcta y suficiente las pruebas de acuerdo al plan de pruebas acordado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