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BD98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1D6F899A">
          <v:rect id="_x0000_i1025" style="width:0;height:1.5pt" o:hralign="center" o:hrstd="t" o:hr="t" fillcolor="#a0a0a0" stroked="f"/>
        </w:pict>
      </w:r>
    </w:p>
    <w:p w14:paraId="6B7A3AD8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  <w:t>Complicaciones de la Diabetes Mellitus tipo 2 — (Casuística en Bolivia)</w:t>
      </w:r>
    </w:p>
    <w:p w14:paraId="4B306D60" w14:textId="77777777" w:rsidR="0091319D" w:rsidRPr="0091319D" w:rsidRDefault="0091319D" w:rsidP="0091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Resumen breve (¿por qué leer esto?):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la DM2 produce complicaciones micro y </w:t>
      </w:r>
      <w:proofErr w:type="spellStart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macrovasculares</w:t>
      </w:r>
      <w:proofErr w:type="spellEnd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que aumentan con la edad, mala adherencia y presencia de comorbilidades (HTA, obesidad, dislipemia). En Bolivia la prevalencia reportada por la encuesta nacional STEPS (2019) es ~</w:t>
      </w: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3.7%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(autorreporte), con mayor carga entre adultos mayores; estimativas internacionales (IDF) sitúan ~</w:t>
      </w: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3–3.4%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de prevalencia en adultos y ~194.000 casos adultos (2024). La carga en mortalidad y años de vida perdidos es significativa según PAHO/WHO. </w:t>
      </w:r>
      <w:hyperlink r:id="rId5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cdn.who.int+2Diabetes Atlas+2</w:t>
        </w:r>
      </w:hyperlink>
    </w:p>
    <w:p w14:paraId="1BE0CDED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5AFEA8D1">
          <v:rect id="_x0000_i1026" style="width:0;height:1.5pt" o:hralign="center" o:hrstd="t" o:hr="t" fillcolor="#a0a0a0" stroked="f"/>
        </w:pict>
      </w:r>
    </w:p>
    <w:p w14:paraId="1A48AC9B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1) Epidemiología breve (datos útiles para clínicos)</w:t>
      </w:r>
    </w:p>
    <w:p w14:paraId="71126FED" w14:textId="77777777" w:rsidR="0091319D" w:rsidRPr="0091319D" w:rsidRDefault="0091319D" w:rsidP="00913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Prevalencia (adultos):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STEPS Bolivia 2019 → </w:t>
      </w: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3.7%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(IC 3.1–4.3%) (autorreporte). Las mujeres muestran mayor prevalencia autorreportada que hombres en ese estudio. </w:t>
      </w:r>
      <w:hyperlink r:id="rId6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cdn.who.int</w:t>
        </w:r>
      </w:hyperlink>
    </w:p>
    <w:p w14:paraId="6B5CCB16" w14:textId="77777777" w:rsidR="0091319D" w:rsidRPr="0091319D" w:rsidRDefault="0091319D" w:rsidP="00913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Tamaño aproximado de la población con DM (20–79 a):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~</w:t>
      </w: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194.000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adultos (IDF/Diabetes Atlas, 2024). </w:t>
      </w:r>
      <w:hyperlink r:id="rId7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Diabetes Atlas</w:t>
        </w:r>
      </w:hyperlink>
    </w:p>
    <w:p w14:paraId="61E7EBB9" w14:textId="77777777" w:rsidR="0091319D" w:rsidRPr="0091319D" w:rsidRDefault="0091319D" w:rsidP="00913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Tendencia y carga: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aumento sostenido en años previos; diabetes contribuye a carga de enfermedad y mortalidad (PAHO, perfil país). </w:t>
      </w:r>
      <w:hyperlink r:id="rId8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paho.org</w:t>
        </w:r>
      </w:hyperlink>
    </w:p>
    <w:p w14:paraId="194B053B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769F4BE4">
          <v:rect id="_x0000_i1027" style="width:0;height:1.5pt" o:hralign="center" o:hrstd="t" o:hr="t" fillcolor="#a0a0a0" stroked="f"/>
        </w:pict>
      </w:r>
    </w:p>
    <w:p w14:paraId="6E1466EC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2) Complicaciones más frecuentes (resumen clínico)</w:t>
      </w:r>
    </w:p>
    <w:p w14:paraId="1FBD584F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Microvasculares</w:t>
      </w:r>
    </w:p>
    <w:p w14:paraId="3DF189D1" w14:textId="77777777" w:rsidR="0091319D" w:rsidRPr="0091319D" w:rsidRDefault="0091319D" w:rsidP="00913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Nefropatía diabética (DKD):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proteinuria, descenso del FG; en Bolivia es causa importante de hospitalización y derivación a diálisis en etapas avanzadas. (Vigilancia y perfiles nacionales muestran aumento de carga renal ligada a DM). </w:t>
      </w:r>
      <w:hyperlink r:id="rId9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paho.org</w:t>
        </w:r>
      </w:hyperlink>
    </w:p>
    <w:p w14:paraId="7640FCD3" w14:textId="77777777" w:rsidR="0091319D" w:rsidRPr="0091319D" w:rsidRDefault="0091319D" w:rsidP="00913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Retinopatía diabética: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riesgo de ceguera prevenible; se observa en series hospitalarias y consultas oftalmológicas.</w:t>
      </w:r>
    </w:p>
    <w:p w14:paraId="36302C0E" w14:textId="77777777" w:rsidR="0091319D" w:rsidRPr="0091319D" w:rsidRDefault="0091319D" w:rsidP="00913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Neuropatía y pie diabético: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alta morbilidad local; úlceras crónicas y amputaciones siguen siendo un problema creciente en varios centros bolivianos. Estudios y reportes locales describen prevalencia notable de úlceras y uso de terapias adyuvantes. </w:t>
      </w:r>
      <w:hyperlink r:id="rId10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Colegio Médico Departamental de La Paz</w:t>
        </w:r>
      </w:hyperlink>
    </w:p>
    <w:p w14:paraId="7116E33C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proofErr w:type="spellStart"/>
      <w:r w:rsidRPr="00913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Macrovasculares</w:t>
      </w:r>
      <w:proofErr w:type="spellEnd"/>
    </w:p>
    <w:p w14:paraId="16185FF2" w14:textId="77777777" w:rsidR="0091319D" w:rsidRPr="0091319D" w:rsidRDefault="0091319D" w:rsidP="00913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Cardiopatía isquémica (IAM), accidente vascular cerebral: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principales causas de muerte atribuibles o contribuyentes en pacientes con DM; la presencia de HTA y dislipidemia incrementa riesgo. </w:t>
      </w:r>
      <w:hyperlink r:id="rId11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paho.org</w:t>
        </w:r>
      </w:hyperlink>
    </w:p>
    <w:p w14:paraId="4025972A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lastRenderedPageBreak/>
        <w:t>Agudas</w:t>
      </w:r>
    </w:p>
    <w:p w14:paraId="7D24EE56" w14:textId="77777777" w:rsidR="0091319D" w:rsidRPr="0091319D" w:rsidRDefault="0091319D" w:rsidP="00913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Cetoacidosis / síndrome hiperglucémico hiperosmolar: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más frecuente en pacientes con diagnóstico tardío o enfermedad avanzada.</w:t>
      </w:r>
    </w:p>
    <w:p w14:paraId="0CD84F68" w14:textId="77777777" w:rsidR="0091319D" w:rsidRPr="0091319D" w:rsidRDefault="0091319D" w:rsidP="00913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Hipoglucemia grave: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riesgo en tratamiento con insulina o </w:t>
      </w:r>
      <w:proofErr w:type="spellStart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secretagogos</w:t>
      </w:r>
      <w:proofErr w:type="spellEnd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, especialmente en mayores con comorbilidad.</w:t>
      </w:r>
    </w:p>
    <w:p w14:paraId="616B0D7D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582F4E3B">
          <v:rect id="_x0000_i1028" style="width:0;height:1.5pt" o:hralign="center" o:hrstd="t" o:hr="t" fillcolor="#a0a0a0" stroked="f"/>
        </w:pict>
      </w:r>
    </w:p>
    <w:p w14:paraId="62F163E7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3) Distribución por grupos (qué esperar en tu consulta)</w:t>
      </w:r>
    </w:p>
    <w:p w14:paraId="6192798C" w14:textId="77777777" w:rsidR="0091319D" w:rsidRPr="0091319D" w:rsidRDefault="0091319D" w:rsidP="0091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Nota: la información nacional desagregada por complicación × edad × sexo × urbano-rural es parcial; se combinan datos de encuestas nacionales, perfiles PAHO y series locales para tendencias útiles en práctica clínica.</w:t>
      </w:r>
    </w:p>
    <w:p w14:paraId="4B4DC786" w14:textId="77777777" w:rsidR="0091319D" w:rsidRPr="0091319D" w:rsidRDefault="0091319D" w:rsidP="00913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Edad: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riesgo de complicaciones (micro y macro) ↑ con la edad; &gt;45–65 años concentrado el mayor número de casos sintomáticos y hospitalizaciones. </w:t>
      </w:r>
      <w:hyperlink r:id="rId12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cdn.who.int+1</w:t>
        </w:r>
      </w:hyperlink>
    </w:p>
    <w:p w14:paraId="01EC4D74" w14:textId="77777777" w:rsidR="0091319D" w:rsidRPr="0091319D" w:rsidRDefault="0091319D" w:rsidP="00913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Sexo: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STEPS 2019: </w:t>
      </w: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mayor prevalencia autorreportada en mujeres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(4.3% vs 3.1% en hombres), sin </w:t>
      </w:r>
      <w:proofErr w:type="gramStart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embargo</w:t>
      </w:r>
      <w:proofErr w:type="gramEnd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mortalidad por complicaciones cardiovasculares suele ser alta en ambos sexos. </w:t>
      </w:r>
      <w:hyperlink r:id="rId13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cdn.who.int</w:t>
        </w:r>
      </w:hyperlink>
    </w:p>
    <w:p w14:paraId="61641296" w14:textId="77777777" w:rsidR="0091319D" w:rsidRPr="0091319D" w:rsidRDefault="0091319D" w:rsidP="00913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Urbano vs rural: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mayor prevalencia y diagnóstico en áreas urbanas (transición epidemiológica, obesidad/sedentarismo), mientras en áreas rurales hay </w:t>
      </w:r>
      <w:proofErr w:type="spellStart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subdiagnóstico</w:t>
      </w:r>
      <w:proofErr w:type="spellEnd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y uso de medicina tradicional; cuidados tardíos aumentan riesgo de complicaciones avanzadas. </w:t>
      </w:r>
      <w:hyperlink r:id="rId14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cdn.who.int</w:t>
        </w:r>
      </w:hyperlink>
    </w:p>
    <w:p w14:paraId="5729EE38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29D9168F">
          <v:rect id="_x0000_i1029" style="width:0;height:1.5pt" o:hralign="center" o:hrstd="t" o:hr="t" fillcolor="#a0a0a0" stroked="f"/>
        </w:pict>
      </w:r>
    </w:p>
    <w:p w14:paraId="7EA4B022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4) Comorbilidades frecuentes (impacto en complicaciones)</w:t>
      </w:r>
    </w:p>
    <w:p w14:paraId="0F0607BC" w14:textId="77777777" w:rsidR="0091319D" w:rsidRPr="0091319D" w:rsidRDefault="0091319D" w:rsidP="00913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Hipertensión arterial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(muy frecuente) → multiplica riesgo CV y renal.</w:t>
      </w:r>
    </w:p>
    <w:p w14:paraId="756362AD" w14:textId="77777777" w:rsidR="0091319D" w:rsidRPr="0091319D" w:rsidRDefault="0091319D" w:rsidP="00913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Obesidad / sobrepeso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, </w:t>
      </w: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dislipidemia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, tabaquismo: aumentan riesgo de IAM/AVC y progresión de DKD.</w:t>
      </w:r>
    </w:p>
    <w:p w14:paraId="00CD8D93" w14:textId="77777777" w:rsidR="0091319D" w:rsidRPr="0091319D" w:rsidRDefault="0091319D" w:rsidP="00913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Acceso limitado a control médico/insumos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(en zonas/</w:t>
      </w:r>
      <w:proofErr w:type="spellStart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régimenes</w:t>
      </w:r>
      <w:proofErr w:type="spellEnd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sin cobertura) favorece complicaciones avanzadas. </w:t>
      </w:r>
      <w:hyperlink r:id="rId15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cdn.who.int</w:t>
        </w:r>
      </w:hyperlink>
    </w:p>
    <w:p w14:paraId="68BCE44A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08433FB9">
          <v:rect id="_x0000_i1030" style="width:0;height:1.5pt" o:hralign="center" o:hrstd="t" o:hr="t" fillcolor="#a0a0a0" stroked="f"/>
        </w:pict>
      </w:r>
    </w:p>
    <w:p w14:paraId="318EEB50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5) Mortalidad y pronóstico</w:t>
      </w:r>
    </w:p>
    <w:p w14:paraId="52E627BD" w14:textId="77777777" w:rsidR="0091319D" w:rsidRPr="0091319D" w:rsidRDefault="0091319D" w:rsidP="00913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Mortalidad atribuible a diabetes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y sus complicaciones representa proporción importante de muertes por ENT en Bolivia; PAHO y estimaciones globales muestran aumento en años recientes de carga por DM y DKD. La mortalidad </w:t>
      </w:r>
      <w:proofErr w:type="spellStart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post-amputación</w:t>
      </w:r>
      <w:proofErr w:type="spellEnd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y tras eventos CV es alta (varios estudios internacionales y locales lo confirman). </w:t>
      </w:r>
      <w:hyperlink r:id="rId16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paho.org+1</w:t>
        </w:r>
      </w:hyperlink>
    </w:p>
    <w:p w14:paraId="628F6908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16F05288">
          <v:rect id="_x0000_i1031" style="width:0;height:1.5pt" o:hralign="center" o:hrstd="t" o:hr="t" fillcolor="#a0a0a0" stroked="f"/>
        </w:pict>
      </w:r>
    </w:p>
    <w:p w14:paraId="32BD3CE9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lastRenderedPageBreak/>
        <w:t>6) Mensaje práctico: detección, prevención y manejo rápido (lista para consulta)</w:t>
      </w:r>
    </w:p>
    <w:p w14:paraId="20D68ACB" w14:textId="77777777" w:rsidR="0091319D" w:rsidRPr="0091319D" w:rsidRDefault="0091319D" w:rsidP="0091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Cribado y control (cada visita):</w:t>
      </w:r>
    </w:p>
    <w:p w14:paraId="6197408C" w14:textId="77777777" w:rsidR="0091319D" w:rsidRPr="0091319D" w:rsidRDefault="0091319D" w:rsidP="00913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Glicemia/HbA1c según guías (si sospecha o factores de riesgo).</w:t>
      </w:r>
    </w:p>
    <w:p w14:paraId="02941A8C" w14:textId="77777777" w:rsidR="0091319D" w:rsidRPr="0091319D" w:rsidRDefault="0091319D" w:rsidP="00913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TAS, lípidos, fondo de ojo (o derivar), microalbuminuria/ACR y FG.</w:t>
      </w:r>
    </w:p>
    <w:p w14:paraId="06CB1E9E" w14:textId="77777777" w:rsidR="0091319D" w:rsidRPr="0091319D" w:rsidRDefault="0091319D" w:rsidP="00913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Revisión de pies (callos, deformidades, pérdida de sensibilidad) y educación sobre cuidado del pie.</w:t>
      </w:r>
    </w:p>
    <w:p w14:paraId="396237E4" w14:textId="77777777" w:rsidR="0091319D" w:rsidRPr="0091319D" w:rsidRDefault="0091319D" w:rsidP="0091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Prevención de complicaciones:</w:t>
      </w:r>
    </w:p>
    <w:p w14:paraId="080701E9" w14:textId="77777777" w:rsidR="0091319D" w:rsidRPr="0091319D" w:rsidRDefault="0091319D" w:rsidP="009131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Objetivos razonables: HbA1c individualizada; controlar TA &lt;140/90 (o &lt;130/80 si tolera), LDL según riesgo CV.</w:t>
      </w:r>
    </w:p>
    <w:p w14:paraId="0FE0F4E8" w14:textId="77777777" w:rsidR="0091319D" w:rsidRPr="0091319D" w:rsidRDefault="0091319D" w:rsidP="009131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Manejo agresivo de factores de riesgo CV (HTA, lípidos, cesar tabaquismo).</w:t>
      </w:r>
    </w:p>
    <w:p w14:paraId="442010AB" w14:textId="77777777" w:rsidR="0091319D" w:rsidRPr="0091319D" w:rsidRDefault="0091319D" w:rsidP="009131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Vacunación (influenza, neumococo, SARS-CoV-2 según pauta).</w:t>
      </w:r>
    </w:p>
    <w:p w14:paraId="1D2C464B" w14:textId="77777777" w:rsidR="0091319D" w:rsidRPr="0091319D" w:rsidRDefault="0091319D" w:rsidP="0091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Cuando referir/derivar:</w:t>
      </w:r>
    </w:p>
    <w:p w14:paraId="46915A60" w14:textId="77777777" w:rsidR="0091319D" w:rsidRPr="0091319D" w:rsidRDefault="0091319D" w:rsidP="00913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Aumento persistente de ACR o descenso de FG → nefrología.</w:t>
      </w:r>
    </w:p>
    <w:p w14:paraId="5144F861" w14:textId="77777777" w:rsidR="0091319D" w:rsidRPr="0091319D" w:rsidRDefault="0091319D" w:rsidP="00913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Signos de isquemia crítica en pierna/pie o úlcera infectada → cirugía vascular/trauma/dermatología según disponibilidad.</w:t>
      </w:r>
    </w:p>
    <w:p w14:paraId="5DF98378" w14:textId="77777777" w:rsidR="0091319D" w:rsidRPr="0091319D" w:rsidRDefault="0091319D" w:rsidP="00913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Pérdida visual o retinopatía sospechada → oftalmología.</w:t>
      </w:r>
    </w:p>
    <w:p w14:paraId="48357174" w14:textId="77777777" w:rsidR="0091319D" w:rsidRPr="0091319D" w:rsidRDefault="0091319D" w:rsidP="0091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Educación al paciente (clave):</w:t>
      </w:r>
    </w:p>
    <w:p w14:paraId="454E4755" w14:textId="77777777" w:rsidR="0091319D" w:rsidRPr="0091319D" w:rsidRDefault="0091319D" w:rsidP="00913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Autocontrol de glucemia cuando indicado; inspección diaria de pies; adherencia a tratamiento y consultas periódicas.</w:t>
      </w:r>
    </w:p>
    <w:p w14:paraId="671359B3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1C9AF956">
          <v:rect id="_x0000_i1032" style="width:0;height:1.5pt" o:hralign="center" o:hrstd="t" o:hr="t" fillcolor="#a0a0a0" stroked="f"/>
        </w:pict>
      </w:r>
    </w:p>
    <w:p w14:paraId="6C650F5A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7) Fuentes seleccionadas (para lectura rápida / respaldo)</w:t>
      </w:r>
    </w:p>
    <w:p w14:paraId="7C0ADC0A" w14:textId="77777777" w:rsidR="0091319D" w:rsidRPr="0091319D" w:rsidRDefault="0091319D" w:rsidP="00913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Encuesta STEPS Bolivia 2019 (Ministerio de Salud / WHO)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— prevalencia autorreportada y factores de riesgo. </w:t>
      </w:r>
      <w:hyperlink r:id="rId17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cdn.who.int</w:t>
        </w:r>
      </w:hyperlink>
    </w:p>
    <w:p w14:paraId="47A85EA6" w14:textId="77777777" w:rsidR="0091319D" w:rsidRPr="0091319D" w:rsidRDefault="0091319D" w:rsidP="00913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Diabetes Atlas / IDF (Bolivia, 2024)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— estimado casos adultos y prevalencia 20–79 a. </w:t>
      </w:r>
      <w:hyperlink r:id="rId18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Diabetes Atlas</w:t>
        </w:r>
      </w:hyperlink>
    </w:p>
    <w:p w14:paraId="2143D941" w14:textId="77777777" w:rsidR="0091319D" w:rsidRPr="0091319D" w:rsidRDefault="0091319D" w:rsidP="00913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PAHO — Diabetes </w:t>
      </w:r>
      <w:proofErr w:type="spellStart"/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disease</w:t>
      </w:r>
      <w:proofErr w:type="spellEnd"/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</w:t>
      </w:r>
      <w:proofErr w:type="spellStart"/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burden</w:t>
      </w:r>
      <w:proofErr w:type="spellEnd"/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</w:t>
      </w:r>
      <w:proofErr w:type="spellStart"/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profile</w:t>
      </w:r>
      <w:proofErr w:type="spellEnd"/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(Bolivia, 2023)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— carga de enfermedad, mortalidad y </w:t>
      </w:r>
      <w:proofErr w:type="spellStart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DALYs</w:t>
      </w:r>
      <w:proofErr w:type="spellEnd"/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. </w:t>
      </w:r>
      <w:hyperlink r:id="rId19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paho.org</w:t>
        </w:r>
      </w:hyperlink>
    </w:p>
    <w:p w14:paraId="42F24903" w14:textId="77777777" w:rsidR="0091319D" w:rsidRPr="0091319D" w:rsidRDefault="0091319D" w:rsidP="00913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Revisión local / artículo sobre pie diabético y complicaciones en Bolivia (</w:t>
      </w:r>
      <w:proofErr w:type="spellStart"/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Colmed</w:t>
      </w:r>
      <w:proofErr w:type="spellEnd"/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La Paz, revista / documentos locales)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— problemática del pie diabético y amputaciones. </w:t>
      </w:r>
      <w:hyperlink r:id="rId20" w:tgtFrame="_blank" w:history="1"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Colegio Médico Departamental de La Paz</w:t>
        </w:r>
      </w:hyperlink>
    </w:p>
    <w:p w14:paraId="63E7CCFB" w14:textId="77777777" w:rsidR="0091319D" w:rsidRPr="0091319D" w:rsidRDefault="0091319D" w:rsidP="00913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Trabajos académicos UMSA / tesis locales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sobre mortalidad y complicaciones en hospitales bolivianos. </w:t>
      </w:r>
      <w:hyperlink r:id="rId21" w:tgtFrame="_blank" w:history="1">
        <w:proofErr w:type="spellStart"/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Repositoriu</w:t>
        </w:r>
        <w:proofErr w:type="spellEnd"/>
        <w:r w:rsidRPr="009131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 xml:space="preserve"> UMSA</w:t>
        </w:r>
      </w:hyperlink>
    </w:p>
    <w:p w14:paraId="4EAFB1AB" w14:textId="77777777" w:rsidR="0091319D" w:rsidRPr="0091319D" w:rsidRDefault="0091319D" w:rsidP="00913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005C0820">
          <v:rect id="_x0000_i1033" style="width:0;height:1.5pt" o:hralign="center" o:hrstd="t" o:hr="t" fillcolor="#a0a0a0" stroked="f"/>
        </w:pict>
      </w:r>
    </w:p>
    <w:p w14:paraId="453FC9F5" w14:textId="77777777" w:rsidR="0091319D" w:rsidRPr="0091319D" w:rsidRDefault="0091319D" w:rsidP="00913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lastRenderedPageBreak/>
        <w:t>Cierre (para tu boletín)</w:t>
      </w:r>
    </w:p>
    <w:p w14:paraId="3B3397DE" w14:textId="77777777" w:rsidR="0091319D" w:rsidRPr="0091319D" w:rsidRDefault="0091319D" w:rsidP="00913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Puedes usar este material tal cual (título + secciones) como una </w:t>
      </w: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página A4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(dos columnas, letra legible) o ampliar la tabla de cribado con guías locales. Si quieres, te lo dejo en </w:t>
      </w:r>
      <w:r w:rsidRPr="0091319D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formato listo para imprimir (Word o PDF)</w:t>
      </w:r>
      <w:r w:rsidRPr="0091319D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con diseño (columnas, iconos y referencias al final) — dime qué formato prefieres y lo genero ahora.</w:t>
      </w:r>
    </w:p>
    <w:p w14:paraId="7D9E0FE0" w14:textId="77777777" w:rsidR="0091319D" w:rsidRDefault="0091319D"/>
    <w:sectPr w:rsidR="009131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3AF"/>
    <w:multiLevelType w:val="multilevel"/>
    <w:tmpl w:val="94D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7145"/>
    <w:multiLevelType w:val="multilevel"/>
    <w:tmpl w:val="52C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9057B"/>
    <w:multiLevelType w:val="multilevel"/>
    <w:tmpl w:val="C34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65A39"/>
    <w:multiLevelType w:val="multilevel"/>
    <w:tmpl w:val="00F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7B42"/>
    <w:multiLevelType w:val="multilevel"/>
    <w:tmpl w:val="A69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67512"/>
    <w:multiLevelType w:val="multilevel"/>
    <w:tmpl w:val="133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80B3E"/>
    <w:multiLevelType w:val="multilevel"/>
    <w:tmpl w:val="13F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053D1"/>
    <w:multiLevelType w:val="multilevel"/>
    <w:tmpl w:val="691E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13179"/>
    <w:multiLevelType w:val="multilevel"/>
    <w:tmpl w:val="47D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0758B"/>
    <w:multiLevelType w:val="multilevel"/>
    <w:tmpl w:val="49B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02616"/>
    <w:multiLevelType w:val="multilevel"/>
    <w:tmpl w:val="B0D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D0310"/>
    <w:multiLevelType w:val="multilevel"/>
    <w:tmpl w:val="592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49784">
    <w:abstractNumId w:val="9"/>
  </w:num>
  <w:num w:numId="2" w16cid:durableId="1465348394">
    <w:abstractNumId w:val="8"/>
  </w:num>
  <w:num w:numId="3" w16cid:durableId="1025522458">
    <w:abstractNumId w:val="3"/>
  </w:num>
  <w:num w:numId="4" w16cid:durableId="436367336">
    <w:abstractNumId w:val="2"/>
  </w:num>
  <w:num w:numId="5" w16cid:durableId="162402585">
    <w:abstractNumId w:val="6"/>
  </w:num>
  <w:num w:numId="6" w16cid:durableId="1990669692">
    <w:abstractNumId w:val="1"/>
  </w:num>
  <w:num w:numId="7" w16cid:durableId="1269309611">
    <w:abstractNumId w:val="0"/>
  </w:num>
  <w:num w:numId="8" w16cid:durableId="324239026">
    <w:abstractNumId w:val="10"/>
  </w:num>
  <w:num w:numId="9" w16cid:durableId="138421260">
    <w:abstractNumId w:val="5"/>
  </w:num>
  <w:num w:numId="10" w16cid:durableId="899636639">
    <w:abstractNumId w:val="4"/>
  </w:num>
  <w:num w:numId="11" w16cid:durableId="1392074900">
    <w:abstractNumId w:val="11"/>
  </w:num>
  <w:num w:numId="12" w16cid:durableId="1950508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9D"/>
    <w:rsid w:val="004451AD"/>
    <w:rsid w:val="004D0A1A"/>
    <w:rsid w:val="005C3CAA"/>
    <w:rsid w:val="0091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6428F"/>
  <w15:chartTrackingRefBased/>
  <w15:docId w15:val="{D4A84550-01EC-46FF-AB83-E4FC63BE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1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1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1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1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1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1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ho.org/en/documents/diabetes-disease-burden-profile-2023-plurinational-state-bolivia" TargetMode="External"/><Relationship Id="rId13" Type="http://schemas.openxmlformats.org/officeDocument/2006/relationships/hyperlink" Target="https://cdn.who.int/media/docs/default-source/ncds/ncd-surveillance/data-reporting/bolivia/steps-bolivia-2019-country-report-es.pdf?sfvrsn=b452c176_6&amp;utm_source=chatgpt.com" TargetMode="External"/><Relationship Id="rId18" Type="http://schemas.openxmlformats.org/officeDocument/2006/relationships/hyperlink" Target="https://diabetesatlas.org/data-by-location/country/bolivia-plurinational-state-of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positorio.umsa.bo/bitstream/handle/123456789/34250/TM-2239.pdf?sequence=1&amp;utm_source=chatgpt.com" TargetMode="External"/><Relationship Id="rId7" Type="http://schemas.openxmlformats.org/officeDocument/2006/relationships/hyperlink" Target="https://diabetesatlas.org/data-by-location/country/bolivia-plurinational-state-of/?utm_source=chatgpt.com" TargetMode="External"/><Relationship Id="rId12" Type="http://schemas.openxmlformats.org/officeDocument/2006/relationships/hyperlink" Target="https://cdn.who.int/media/docs/default-source/ncds/ncd-surveillance/data-reporting/bolivia/steps-bolivia-2019-country-report-es.pdf?sfvrsn=b452c176_6&amp;utm_source=chatgpt.com" TargetMode="External"/><Relationship Id="rId17" Type="http://schemas.openxmlformats.org/officeDocument/2006/relationships/hyperlink" Target="https://cdn.who.int/media/docs/default-source/ncds/ncd-surveillance/data-reporting/bolivia/steps-bolivia-2019-country-report-es.pdf?sfvrsn=b452c176_6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aho.org/en/documents/diabetes-disease-burden-profile-2023-plurinational-state-bolivia" TargetMode="External"/><Relationship Id="rId20" Type="http://schemas.openxmlformats.org/officeDocument/2006/relationships/hyperlink" Target="https://colmedlapaz.org/images/files/PDF/REVISTA/Revista%20N29%202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dn.who.int/media/docs/default-source/ncds/ncd-surveillance/data-reporting/bolivia/steps-bolivia-2019-country-report-es.pdf?sfvrsn=b452c176_6&amp;utm_source=chatgpt.com" TargetMode="External"/><Relationship Id="rId11" Type="http://schemas.openxmlformats.org/officeDocument/2006/relationships/hyperlink" Target="https://www.paho.org/en/documents/diabetes-disease-burden-profile-2023-plurinational-state-bolivia" TargetMode="External"/><Relationship Id="rId5" Type="http://schemas.openxmlformats.org/officeDocument/2006/relationships/hyperlink" Target="https://cdn.who.int/media/docs/default-source/ncds/ncd-surveillance/data-reporting/bolivia/steps-bolivia-2019-country-report-es.pdf?sfvrsn=b452c176_6&amp;utm_source=chatgpt.com" TargetMode="External"/><Relationship Id="rId15" Type="http://schemas.openxmlformats.org/officeDocument/2006/relationships/hyperlink" Target="https://cdn.who.int/media/docs/default-source/ncds/ncd-surveillance/data-reporting/bolivia/steps-bolivia-2019-country-report-es.pdf?sfvrsn=b452c176_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olmedlapaz.org/images/files/PDF/REVISTA/Revista%20N29%202.pdf?utm_source=chatgpt.com" TargetMode="External"/><Relationship Id="rId19" Type="http://schemas.openxmlformats.org/officeDocument/2006/relationships/hyperlink" Target="https://www.paho.org/en/documents/diabetes-disease-burden-profile-2023-plurinational-state-boliv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ho.org/en/documents/diabetes-disease-burden-profile-2023-plurinational-state-bolivia" TargetMode="External"/><Relationship Id="rId14" Type="http://schemas.openxmlformats.org/officeDocument/2006/relationships/hyperlink" Target="https://cdn.who.int/media/docs/default-source/ncds/ncd-surveillance/data-reporting/bolivia/steps-bolivia-2019-country-report-es.pdf?sfvrsn=b452c176_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1173</Words>
  <Characters>7420</Characters>
  <Application>Microsoft Office Word</Application>
  <DocSecurity>0</DocSecurity>
  <Lines>161</Lines>
  <Paragraphs>78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Postgrado3 Medicina</dc:creator>
  <cp:keywords/>
  <dc:description/>
  <cp:lastModifiedBy>Postgrado3 Medicina</cp:lastModifiedBy>
  <cp:revision>8</cp:revision>
  <dcterms:created xsi:type="dcterms:W3CDTF">2025-11-13T16:05:00Z</dcterms:created>
  <dcterms:modified xsi:type="dcterms:W3CDTF">2025-11-13T16:07:00Z</dcterms:modified>
</cp:coreProperties>
</file>