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Model used: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model we’re using for human activity recognition comes from Hara et al.’s 2018 CVPR paper, </w:t>
      </w:r>
      <w:hyperlink r:id="rId6">
        <w:r w:rsidDel="00000000" w:rsidR="00000000" w:rsidRPr="00000000">
          <w:rPr>
            <w:b w:val="1"/>
            <w:i w:val="1"/>
            <w:rtl w:val="0"/>
          </w:rPr>
          <w:t xml:space="preserve">Can Spatiotemporal 3D CNNs Retrace the History of 2D CNNs and ImageNet?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work the authors explore how existing state-of-the-art 2D architectures (such as ResNet, ResNeXt, DenseNet, etc.) can be extended to video classification via 3D kernels.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rPr/>
      </w:pPr>
      <w:r w:rsidDel="00000000" w:rsidR="00000000" w:rsidRPr="00000000">
        <w:rPr>
          <w:rtl w:val="0"/>
        </w:rPr>
        <w:t xml:space="preserve">The authors argue: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360" w:lineRule="auto"/>
        <w:ind w:left="108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These architectures have been successfully applied to image classification.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08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large-scale ImageNet dataset allowed such models to be trained to such high accuracy.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680" w:before="0" w:beforeAutospacing="0" w:lineRule="auto"/>
        <w:ind w:left="108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Kinetics dataset is also sufficiently large.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rPr/>
      </w:pPr>
      <w:r w:rsidDel="00000000" w:rsidR="00000000" w:rsidRPr="00000000">
        <w:rPr>
          <w:b w:val="1"/>
          <w:rtl w:val="0"/>
        </w:rPr>
        <w:t xml:space="preserve">…and therefore, these architectures should be able to perform video classification</w:t>
      </w:r>
      <w:r w:rsidDel="00000000" w:rsidR="00000000" w:rsidRPr="00000000">
        <w:rPr>
          <w:rtl w:val="0"/>
        </w:rPr>
        <w:t xml:space="preserve"> by (1) changing the input volume shape to include spatiotemporal information and (2) utilizing 3D kernels inside of the architecture.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set used:</w:t>
      </w:r>
    </w:p>
    <w:p w:rsidR="00000000" w:rsidDel="00000000" w:rsidP="00000000" w:rsidRDefault="00000000" w:rsidRPr="00000000" w14:paraId="0000000A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dataset our human activity recognition model was trained on is the </w:t>
      </w:r>
      <w:hyperlink r:id="rId7">
        <w:r w:rsidDel="00000000" w:rsidR="00000000" w:rsidRPr="00000000">
          <w:rPr>
            <w:b w:val="1"/>
            <w:highlight w:val="white"/>
            <w:rtl w:val="0"/>
          </w:rPr>
          <w:t xml:space="preserve">Kinetics 400 Dataset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dataset consists of: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360" w:lineRule="auto"/>
        <w:ind w:left="108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400 human activity recognition classes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08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 least 400 video clips per class (downloaded via YouTube)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680" w:before="0" w:beforeAutospacing="0" w:lineRule="auto"/>
        <w:ind w:left="108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total of 300,000 video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learn more about the dataset, including how it was curated, be sure to refer to Kay et al.’s 2017 paper, </w:t>
      </w:r>
      <w:hyperlink r:id="rId8">
        <w:r w:rsidDel="00000000" w:rsidR="00000000" w:rsidRPr="00000000">
          <w:rPr>
            <w:b w:val="1"/>
            <w:i w:val="1"/>
            <w:highlight w:val="white"/>
            <w:rtl w:val="0"/>
          </w:rPr>
          <w:t xml:space="preserve">The Kinetics Human Action Video Dataset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Reference: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https://pyimagesearch.com/2019/11/25/human-activity-recognition-with-opencv-and-deep-learning/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51e50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51e50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imagesearch.com/2019/11/25/human-activity-recognition-with-opencv-and-deep-learn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1711.09577" TargetMode="External"/><Relationship Id="rId7" Type="http://schemas.openxmlformats.org/officeDocument/2006/relationships/hyperlink" Target="https://arxiv.org/abs/1705.06950" TargetMode="External"/><Relationship Id="rId8" Type="http://schemas.openxmlformats.org/officeDocument/2006/relationships/hyperlink" Target="https://arxiv.org/abs/1705.069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