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
      </w:pPr>
      <w:r>
        <w:rPr>
          <w:b/>
          <w:bCs/>
          <w:color w:val="B5651D"/>
          <w:spacing w:val="20"/>
          <w:sz w:val="16"/>
          <w:szCs w:val="16"/>
        </w:rPr>
        <w:t xml:space="preserve">ANÁLISIS TÉCNICO-ESTRATÉGICO · MINERÍA Y MANUFACTURA AVANZADA</w:t>
      </w:r>
    </w:p>
    <w:p>
      <w:pPr>
        <w:spacing w:after="200"/>
      </w:pPr>
      <w:r>
        <w:rPr>
          <w:b/>
          <w:bCs/>
          <w:color w:val="1F3864"/>
          <w:sz w:val="56"/>
          <w:szCs w:val="56"/>
        </w:rPr>
        <w:t xml:space="preserve">Colombia y el Cobre del Futuro</w:t>
      </w:r>
    </w:p>
    <w:p>
      <w:pPr>
        <w:spacing w:after="500"/>
      </w:pPr>
      <w:r>
        <w:rPr>
          <w:b/>
          <w:bCs/>
          <w:color w:val="B5651D"/>
          <w:sz w:val="26"/>
          <w:szCs w:val="26"/>
        </w:rPr>
        <w:t xml:space="preserve">Hoja de ruta minera 2026–2030 para una alianza estratégica Colombia–Estados Unidos en cobre y minerales críticos</w:t>
      </w:r>
    </w:p>
    <w:p>
      <w:pPr>
        <w:pBdr>
          <w:bottom w:val="single" w:color="CFCFCF" w:sz="6" w:space="8"/>
        </w:pBdr>
        <w:spacing w:after="400"/>
      </w:pPr>
    </w:p>
    <w:p>
      <w:pPr>
        <w:spacing w:after="160" w:line="276"/>
        <w:jc w:val="left"/>
      </w:pPr>
      <w:r>
        <w:rPr>
          <w:b w:val="false"/>
          <w:bCs w:val="false"/>
          <w:i/>
          <w:iCs/>
          <w:color w:val="1A1A1A"/>
          <w:sz w:val="21"/>
          <w:szCs w:val="21"/>
        </w:rPr>
        <w:t xml:space="preserve">Documento dirigido a entidades gubernamentales y estatales de Colombia, y a las instancias de cooperación y financiamiento de la alianza Colombia–Estados Unidos, en el marco del periodo de gobierno 2026–2030.</w:t>
      </w:r>
    </w:p>
    <w:p>
      <w:pPr>
        <w:spacing w:after="60" w:before="300"/>
      </w:pPr>
      <w:r>
        <w:rPr>
          <w:b/>
          <w:bCs/>
          <w:sz w:val="21"/>
          <w:szCs w:val="21"/>
        </w:rPr>
        <w:t xml:space="preserve">Alcance:</w:t>
      </w:r>
    </w:p>
    <w:p>
      <w:pPr>
        <w:pStyle w:val="ListParagraph"/>
        <w:numPr>
          <w:ilvl w:val="0"/>
          <w:numId w:val="2"/>
        </w:numPr>
        <w:spacing w:after="90"/>
      </w:pPr>
      <w:r>
        <w:rPr>
          <w:sz w:val="21"/>
          <w:szCs w:val="21"/>
        </w:rPr>
        <w:t xml:space="preserve">Buenas y malas prácticas internacionales de extracción minera y su relación con la estabilidad del ecosistema.</w:t>
      </w:r>
    </w:p>
    <w:p>
      <w:pPr>
        <w:pStyle w:val="ListParagraph"/>
        <w:numPr>
          <w:ilvl w:val="0"/>
          <w:numId w:val="2"/>
        </w:numPr>
        <w:spacing w:after="90"/>
      </w:pPr>
      <w:r>
        <w:rPr>
          <w:sz w:val="21"/>
          <w:szCs w:val="21"/>
        </w:rPr>
        <w:t xml:space="preserve">Diagnóstico de la extracción de cobre en Colombia: reservas, proyectos, infraestructura e institucionalidad.</w:t>
      </w:r>
    </w:p>
    <w:p>
      <w:pPr>
        <w:pStyle w:val="ListParagraph"/>
        <w:numPr>
          <w:ilvl w:val="0"/>
          <w:numId w:val="2"/>
        </w:numPr>
        <w:spacing w:after="90"/>
      </w:pPr>
      <w:r>
        <w:rPr>
          <w:sz w:val="21"/>
          <w:szCs w:val="21"/>
        </w:rPr>
        <w:t xml:space="preserve">Estudio de mercado global del cobre y su vínculo con la manufactura avanzada de Países Bajos, Taiwán, China y Estados Unidos.</w:t>
      </w:r>
    </w:p>
    <w:p>
      <w:pPr>
        <w:pStyle w:val="ListParagraph"/>
        <w:numPr>
          <w:ilvl w:val="0"/>
          <w:numId w:val="2"/>
        </w:numPr>
        <w:spacing w:after="90"/>
      </w:pPr>
      <w:r>
        <w:rPr>
          <w:sz w:val="21"/>
          <w:szCs w:val="21"/>
        </w:rPr>
        <w:t xml:space="preserve">Financiamiento, métricas, objetivos y hoja de ruta verificable al año 2030.</w:t>
      </w:r>
    </w:p>
    <w:p>
      <w:pPr>
        <w:spacing w:before="500"/>
      </w:pPr>
      <w:r>
        <w:rPr>
          <w:color w:val="595959"/>
          <w:sz w:val="19"/>
          <w:szCs w:val="19"/>
        </w:rPr>
        <w:t xml:space="preserve">Fecha de elaboración: 14 de septiembre de 2026</w:t>
      </w:r>
    </w:p>
    <w:p>
      <w:r>
        <w:rPr>
          <w:i/>
          <w:iCs/>
          <w:color w:val="595959"/>
          <w:sz w:val="19"/>
          <w:szCs w:val="19"/>
        </w:rPr>
        <w:t xml:space="preserve">Preparado por: [Nombre / Organización a completar antes de circular el documento]</w:t>
      </w:r>
    </w:p>
    <w:p>
      <w:r>
        <w:rPr>
          <w:i/>
          <w:iCs/>
          <w:color w:val="595959"/>
          <w:sz w:val="19"/>
          <w:szCs w:val="19"/>
        </w:rPr>
        <w:t xml:space="preserve">Clasificación sugerida: uso institucional / borrador para discusión técnica</w:t>
      </w:r>
    </w:p>
    <w:p>
      <w:pPr>
        <w:sectPr>
          <w:pgSz w:w="12240" w:h="15840" w:orient="portrait"/>
          <w:pgMar w:top="1440" w:right="1350" w:bottom="1440" w:left="1350" w:header="708" w:footer="708" w:gutter="0"/>
          <w:pgNumType/>
          <w:docGrid w:linePitch="360"/>
        </w:sectPr>
      </w:pPr>
    </w:p>
    <w:p>
      <w:pPr>
        <w:pStyle w:val="Heading1"/>
        <w:pBdr>
          <w:bottom w:val="single" w:color="B5651D" w:sz="12" w:space="4"/>
        </w:pBdr>
        <w:spacing w:after="200" w:before="400"/>
      </w:pPr>
      <w:r>
        <w:rPr>
          <w:b/>
          <w:bCs/>
          <w:color w:val="1F3864"/>
          <w:sz w:val="30"/>
          <w:szCs w:val="30"/>
        </w:rPr>
        <w:t xml:space="preserve">1. Resumen ejecutivo</w:t>
      </w:r>
    </w:p>
    <w:p>
      <w:pPr>
        <w:spacing w:after="160" w:line="276"/>
        <w:jc w:val="both"/>
      </w:pPr>
      <w:r>
        <w:rPr>
          <w:b w:val="false"/>
          <w:bCs w:val="false"/>
          <w:i w:val="false"/>
          <w:iCs w:val="false"/>
          <w:color w:val="1A1A1A"/>
          <w:sz w:val="21"/>
          <w:szCs w:val="21"/>
        </w:rPr>
        <w:t xml:space="preserve">Colombia atraviesa una ventana de oportunidad concreta y con fecha: el 8 de septiembre de 2026, en Barranquilla, el secretario de Estado de EE. UU., Marco Rubio, y el canciller colombiano, Omar Bula, firmaron un marco bilateral de minerales críticos y cooperación nuclear civil, con el compromiso explícito de movilizar financiamiento público y privado para identificar y estructurar proyectos de minería y procesamiento en un plazo de seis meses. Este documento traduce ese compromiso político en una hoja de ruta técnica, con cifras, fases y métricas verificables para el periodo de gobierno 2026–2030 del presidente Abelardo de la Espriella, cuya administración ha señalado explícitamente su intención de impulsar la minería y los hidrocarburos.</w:t>
      </w:r>
    </w:p>
    <w:p>
      <w:pPr>
        <w:spacing w:after="160" w:line="276"/>
        <w:jc w:val="both"/>
      </w:pPr>
      <w:r>
        <w:rPr>
          <w:b w:val="false"/>
          <w:bCs w:val="false"/>
          <w:i w:val="false"/>
          <w:iCs w:val="false"/>
          <w:color w:val="1A1A1A"/>
          <w:sz w:val="21"/>
          <w:szCs w:val="21"/>
        </w:rPr>
        <w:t xml:space="preserve">El eje del análisis es el cobre, por tres razones que se sustentan con datos en las secciones siguientes: (1) la demanda global crecerá de forma estructural por la electrificación, los vehículos eléctricos, las redes de transmisión y, de forma acelerada, por los centros de datos de inteligencia artificial; (2) la oferta minera mundial crece muy por debajo de esa demanda, abriendo un déficit proyectado de varios millones de toneladas hacia 2030; y (3) Colombia tiene geología cuprífera relevante pero prácticamente sin desarrollar —hoy opera una sola mina de cobre a gran escala en el país—, lo que representa tanto una oportunidad como una responsabilidad: crecer sin repetir los errores que otros países de la región ya pagaron con vidas humanas y ecosistemas destruidos.</w:t>
      </w:r>
    </w:p>
    <w:p>
      <w:pPr>
        <w:spacing w:after="160" w:line="276"/>
        <w:jc w:val="both"/>
      </w:pPr>
      <w:r>
        <w:rPr>
          <w:b w:val="false"/>
          <w:bCs w:val="false"/>
          <w:i w:val="false"/>
          <w:iCs w:val="false"/>
          <w:color w:val="1A1A1A"/>
          <w:sz w:val="21"/>
          <w:szCs w:val="21"/>
        </w:rPr>
        <w:t xml:space="preserve">El documento identifica con nombre propio las malas prácticas que Colombia debe evitar (Brumadinho, Mariana, Cerro de Pasco y La Oroya), las buenas prácticas que debe exigir por contrato desde el primer día, la infraestructura que falta construir (desde vías y energía hasta la primera fundición-refinería del país), y sitúa a Colombia dentro de la cadena de valor real de la manufactura avanzada mundial: los Países Bajos dominan la litografía (ASML), Taiwán el empaquetado avanzado de semiconductores (TSMC), China la refinación de tierras raras, y Estados Unidos concentra la demanda final a través del boom de centros de datos de IA. Colombia no compite en esos eslabones, pero puede convertirse en un proveedor confiable de cobre y minerales críticos que hoy dependen en exceso de China, exactamente el objetivo declarado del marco firmado en Barranquilla.</w:t>
      </w:r>
    </w:p>
    <w:p>
      <w:pPr>
        <w:spacing w:after="160" w:line="276"/>
        <w:jc w:val="left"/>
      </w:pPr>
      <w:r>
        <w:rPr>
          <w:b w:val="false"/>
          <w:bCs w:val="false"/>
          <w:i w:val="false"/>
          <w:iCs w:val="false"/>
          <w:color w:val="1A1A1A"/>
          <w:sz w:val="21"/>
          <w:szCs w:val="21"/>
        </w:rPr>
        <w:t xml:space="preserve">Se propone una hoja de ruta en cuatro fases hasta 2030, con quince indicadores medibles (producción, empleo, inversión movilizada, capacidad de fundición, incidentes ambientales y regalías), de forma que cualquier entidad de gobierno, agencia estatal o socio de cooperación pueda auditar el avance año a año.</w:t>
      </w:r>
    </w:p>
    <w:p>
      <w:pPr>
        <w:pStyle w:val="Heading1"/>
        <w:pBdr>
          <w:bottom w:val="single" w:color="B5651D" w:sz="12" w:space="4"/>
        </w:pBdr>
        <w:spacing w:after="200" w:before="400"/>
      </w:pPr>
      <w:r>
        <w:rPr>
          <w:b/>
          <w:bCs/>
          <w:color w:val="1F3864"/>
          <w:sz w:val="30"/>
          <w:szCs w:val="30"/>
        </w:rPr>
        <w:t xml:space="preserve">2. Contexto político e institucional 2026–2030</w:t>
      </w:r>
    </w:p>
    <w:p>
      <w:pPr>
        <w:pStyle w:val="Heading2"/>
        <w:spacing w:after="140" w:before="280"/>
      </w:pPr>
      <w:r>
        <w:rPr>
          <w:b/>
          <w:bCs/>
          <w:color w:val="1F3864"/>
          <w:sz w:val="24"/>
          <w:szCs w:val="24"/>
        </w:rPr>
        <w:t xml:space="preserve">2.1 El nuevo gobierno colombiano</w:t>
      </w:r>
    </w:p>
    <w:p>
      <w:pPr>
        <w:spacing w:after="160" w:line="276"/>
        <w:jc w:val="both"/>
      </w:pPr>
      <w:r>
        <w:rPr>
          <w:b w:val="false"/>
          <w:bCs w:val="false"/>
          <w:i w:val="false"/>
          <w:iCs w:val="false"/>
          <w:color w:val="1A1A1A"/>
          <w:sz w:val="21"/>
          <w:szCs w:val="21"/>
        </w:rPr>
        <w:t xml:space="preserve">Abelardo de la Espriella asumió la presidencia de Colombia el 7 de agosto de 2026 para el periodo 2026–2030, tras ganar la segunda vuelta electoral con el 49,66% de los votos. Su gobierno ha señalado explícitamente que, a diferencia de la administración anterior —que buscó limitar la exploración de hidrocarburos—, impulsará la minería y autorizará el fracking, dentro de una agenda que prioriza la seguridad y el combate a los grupos armados ilegales. Este giro de política es la primera condición habilitante de todo lo que sigue: sin voluntad política de destrabar la exploración y explotación minera, ningún plan de infraestructura o financiamiento resulta viable.</w:t>
      </w:r>
    </w:p>
    <w:p>
      <w:pPr>
        <w:pStyle w:val="Heading2"/>
        <w:spacing w:after="140" w:before="280"/>
      </w:pPr>
      <w:r>
        <w:rPr>
          <w:b/>
          <w:bCs/>
          <w:color w:val="1F3864"/>
          <w:sz w:val="24"/>
          <w:szCs w:val="24"/>
        </w:rPr>
        <w:t xml:space="preserve">2.2 El marco Colombia–Estados Unidos de minerales críticos (septiembre 2026)</w:t>
      </w:r>
    </w:p>
    <w:p>
      <w:pPr>
        <w:spacing w:after="160" w:line="276"/>
        <w:jc w:val="both"/>
      </w:pPr>
      <w:r>
        <w:rPr>
          <w:b w:val="false"/>
          <w:bCs w:val="false"/>
          <w:i w:val="false"/>
          <w:iCs w:val="false"/>
          <w:color w:val="1A1A1A"/>
          <w:sz w:val="21"/>
          <w:szCs w:val="21"/>
        </w:rPr>
        <w:t xml:space="preserve">El 8 de septiembre de 2026, en Barranquilla, el secretario de Estado Marco Rubio y el canciller Omar Bula firmaron acuerdos de cooperación en minerales críticos y energía nuclear civil. El marco busca asegurar cadenas de suministro resilientes, diversificadas y justas para minerales críticos y tierras raras, y compromete a ambos gobiernos a movilizar apoyo público y privado para identificar y financiar conjuntamente proyectos de minería y procesamiento dentro de los seis meses siguientes a la firma —es decir, el plazo vence en marzo de 2027—. El acuerdo se enmarca en una relación bilateral de más de 200 años que ambos gobiernos buscan reforzar como eje de seguridad y cooperación económica en el hemisferio.</w:t>
      </w:r>
    </w:p>
    <w:p>
      <w:pPr>
        <w:spacing w:after="160" w:line="276"/>
        <w:jc w:val="both"/>
      </w:pPr>
      <w:r>
        <w:rPr>
          <w:b w:val="false"/>
          <w:bCs w:val="false"/>
          <w:i w:val="false"/>
          <w:iCs w:val="false"/>
          <w:color w:val="1A1A1A"/>
          <w:sz w:val="21"/>
          <w:szCs w:val="21"/>
        </w:rPr>
        <w:t xml:space="preserve">En paralelo, la Agencia Nacional de Minería (ANM) abrió el 16 de diciembre de 2025 una ronda minera con 14 Áreas Estratégicas Mineras para cobre, oro y polimetálicos, ubicadas en Antioquia, La Guajira, Cesar y Tolima. Estas áreas ya cuentan con certificación ambiental preliminar, verificación de no requerir consulta previa en su fase inicial, y acuerdos con autoridades locales, lo que reduce el tiempo de maduración frente a proyectos que parten de cero.</w:t>
      </w:r>
    </w:p>
    <w:p>
      <w:pPr>
        <w:pStyle w:val="Heading3"/>
        <w:spacing w:after="100" w:before="200"/>
      </w:pPr>
      <w:r>
        <w:rPr>
          <w:b/>
          <w:bCs/>
          <w:color w:val="B5651D"/>
          <w:sz w:val="21"/>
          <w:szCs w:val="21"/>
        </w:rPr>
        <w:t xml:space="preserve">Lectura estratégica</w:t>
      </w:r>
    </w:p>
    <w:p>
      <w:pPr>
        <w:spacing w:after="160" w:line="276"/>
        <w:jc w:val="both"/>
      </w:pPr>
      <w:r>
        <w:rPr>
          <w:b w:val="false"/>
          <w:bCs w:val="false"/>
          <w:i w:val="false"/>
          <w:iCs w:val="false"/>
          <w:color w:val="1A1A1A"/>
          <w:sz w:val="21"/>
          <w:szCs w:val="21"/>
        </w:rPr>
        <w:t xml:space="preserve">El plazo de seis meses del marco bilateral (hasta marzo de 2027) y la ronda de 14 áreas ya abierta convergen en una ventana de doce a dieciocho meses en la que Colombia debe mostrar resultados concretos —adjudicaciones, primeros desembolsos, reglas de garantía ambiental claras— o corre el riesgo de que el interés y el financiamiento se desplacen hacia otros países de la región con marcos regulatorios más predecibles (Perú, Chile).</w:t>
      </w:r>
    </w:p>
    <w:p>
      <w:pPr>
        <w:pStyle w:val="Heading1"/>
        <w:pBdr>
          <w:bottom w:val="single" w:color="B5651D" w:sz="12" w:space="4"/>
        </w:pBdr>
        <w:spacing w:after="200" w:before="400"/>
      </w:pPr>
      <w:r>
        <w:rPr>
          <w:b/>
          <w:bCs/>
          <w:color w:val="1F3864"/>
          <w:sz w:val="30"/>
          <w:szCs w:val="30"/>
        </w:rPr>
        <w:t xml:space="preserve">3. Diagnóstico: la extracción de cobre en Colombia hoy</w:t>
      </w:r>
    </w:p>
    <w:p>
      <w:pPr>
        <w:spacing w:after="160" w:line="276"/>
        <w:jc w:val="both"/>
      </w:pPr>
      <w:r>
        <w:rPr>
          <w:b w:val="false"/>
          <w:bCs w:val="false"/>
          <w:i w:val="false"/>
          <w:iCs w:val="false"/>
          <w:color w:val="1A1A1A"/>
          <w:sz w:val="21"/>
          <w:szCs w:val="21"/>
        </w:rPr>
        <w:t xml:space="preserve">Colombia es, en la práctica, un país cuprífero sin desarrollar. Actualmente cuenta con una sola operación de cobre a gran escala en producción: la mina El Roble, operada por Atico Mining en el Chocó. Existen al menos ocho proyectos cupríferos adicionales en distintas fases de exploración y factibilidad, entre ellos:</w:t>
      </w:r>
    </w:p>
    <w:p>
      <w:pPr>
        <w:pStyle w:val="ListParagraph"/>
        <w:numPr>
          <w:ilvl w:val="0"/>
          <w:numId w:val="2"/>
        </w:numPr>
        <w:spacing w:after="90"/>
      </w:pPr>
      <w:r>
        <w:rPr>
          <w:sz w:val="21"/>
          <w:szCs w:val="21"/>
        </w:rPr>
        <w:t xml:space="preserve">Quebradona (Jericó y Támesis, Antioquia) — AngloGold Ashanti: reservas reportadas de 2,5 millones de toneladas de cobre y 3,85 millones de onzas de oro; inversión estimada de USD 1.400 millones. Su fase de exploración fue prorrogada hasta diciembre de 2027, pero en junio de 2025 la Resolución 855 declaró zona de reserva de recursos naturales renovables sobre varios municipios del suroeste de Antioquia que incluyen el área del proyecto, generando incertidumbre regulatoria activa.</w:t>
      </w:r>
    </w:p>
    <w:p>
      <w:pPr>
        <w:pStyle w:val="ListParagraph"/>
        <w:numPr>
          <w:ilvl w:val="0"/>
          <w:numId w:val="2"/>
        </w:numPr>
        <w:spacing w:after="90"/>
      </w:pPr>
      <w:r>
        <w:rPr>
          <w:sz w:val="21"/>
          <w:szCs w:val="21"/>
        </w:rPr>
        <w:t xml:space="preserve">Titiribí (Armenia y Titiribí, Antioquia) — GoldMining Inc.: proyecto conjunto de oro y cobre.</w:t>
      </w:r>
    </w:p>
    <w:p>
      <w:pPr>
        <w:pStyle w:val="ListParagraph"/>
        <w:numPr>
          <w:ilvl w:val="0"/>
          <w:numId w:val="2"/>
        </w:numPr>
        <w:spacing w:after="90"/>
      </w:pPr>
      <w:r>
        <w:rPr>
          <w:sz w:val="21"/>
          <w:szCs w:val="21"/>
        </w:rPr>
        <w:t xml:space="preserve">Otros proyectos en Cesar (San Diego y La Paz, declarados como nuevas Áreas Estratégicas Mineras de cobre) y en el marco de la ronda de 14 áreas (Antioquia, La Guajira, Cesar, Tolima).</w:t>
      </w:r>
    </w:p>
    <w:p>
      <w:pPr>
        <w:spacing w:after="160" w:line="276"/>
        <w:jc w:val="both"/>
      </w:pPr>
      <w:r>
        <w:rPr>
          <w:b w:val="false"/>
          <w:bCs w:val="false"/>
          <w:i w:val="false"/>
          <w:iCs w:val="false"/>
          <w:color w:val="1A1A1A"/>
          <w:sz w:val="21"/>
          <w:szCs w:val="21"/>
        </w:rPr>
        <w:t xml:space="preserve">El patrón común de estos proyectos es la incertidumbre regulatoria y ambiental cambiante —zonas de protección agrícola o de reserva natural que se declaran después de iniciada la exploración—, lo que eleva el riesgo percibido por los inversionistas y ralentiza decisiones de inversión de cientos de millones de dólares. Resolver esta incertidumbre, no crearla de nuevo, es el primer objetivo de política pública de este documento.</w:t>
      </w:r>
    </w:p>
    <w:p>
      <w:pPr>
        <w:pStyle w:val="Heading3"/>
        <w:spacing w:after="100" w:before="200"/>
      </w:pPr>
      <w:r>
        <w:rPr>
          <w:b/>
          <w:bCs/>
          <w:color w:val="B5651D"/>
          <w:sz w:val="21"/>
          <w:szCs w:val="21"/>
        </w:rPr>
        <w:t xml:space="preserve">Un vacío estructural: no existe fundición-refinería nacional</w:t>
      </w:r>
    </w:p>
    <w:p>
      <w:pPr>
        <w:spacing w:after="160" w:line="276"/>
        <w:jc w:val="both"/>
      </w:pPr>
      <w:r>
        <w:rPr>
          <w:b w:val="false"/>
          <w:bCs w:val="false"/>
          <w:i w:val="false"/>
          <w:iCs w:val="false"/>
          <w:color w:val="1A1A1A"/>
          <w:sz w:val="21"/>
          <w:szCs w:val="21"/>
        </w:rPr>
        <w:t xml:space="preserve">Colombia extrae y exporta concentrado de cobre sin fundir ni refinar dentro del país. Esto significa que la mayor parte del valor agregado de la cadena —fundición, refinación electrolítica, producción de cátodo— ocurre fuera de Colombia. Cerrar esta brecha con al menos una planta piloto de fundición-refinería es uno de los objetivos centrales de la hoja de ruta 2026-2030 (sección 8).</w:t>
      </w:r>
    </w:p>
    <w:p>
      <w:pPr>
        <w:pStyle w:val="Heading1"/>
        <w:pBdr>
          <w:bottom w:val="single" w:color="B5651D" w:sz="12" w:space="4"/>
        </w:pBdr>
        <w:spacing w:after="200" w:before="400"/>
      </w:pPr>
      <w:r>
        <w:rPr>
          <w:b/>
          <w:bCs/>
          <w:color w:val="1F3864"/>
          <w:sz w:val="30"/>
          <w:szCs w:val="30"/>
        </w:rPr>
        <w:t xml:space="preserve">4. Buenas prácticas internacionales de extracción minera</w:t>
      </w:r>
    </w:p>
    <w:p>
      <w:pPr>
        <w:spacing w:after="160" w:line="276"/>
        <w:jc w:val="both"/>
      </w:pPr>
      <w:r>
        <w:rPr>
          <w:b w:val="false"/>
          <w:bCs w:val="false"/>
          <w:i w:val="false"/>
          <w:iCs w:val="false"/>
          <w:color w:val="1A1A1A"/>
          <w:sz w:val="21"/>
          <w:szCs w:val="21"/>
        </w:rPr>
        <w:t xml:space="preserve">Las siguientes prácticas cuentan hoy con consenso técnico internacional y deben incorporarse como requisito contractual —no como recomendación voluntaria— en toda nueva concesión minera colombiana, empezando por la ronda de 14 áreas y por la resolución de los proyectos ya existentes.</w:t>
      </w:r>
    </w:p>
    <w:p>
      <w:pPr>
        <w:pStyle w:val="Heading3"/>
        <w:spacing w:after="100" w:before="200"/>
      </w:pPr>
      <w:r>
        <w:rPr>
          <w:b/>
          <w:bCs/>
          <w:color w:val="B5651D"/>
          <w:sz w:val="21"/>
          <w:szCs w:val="21"/>
        </w:rPr>
        <w:t xml:space="preserve">4.1 Planificación de cierre desde el diseño</w:t>
      </w:r>
    </w:p>
    <w:p>
      <w:pPr>
        <w:spacing w:after="160" w:line="276"/>
        <w:jc w:val="both"/>
      </w:pPr>
      <w:r>
        <w:rPr>
          <w:b w:val="false"/>
          <w:bCs w:val="false"/>
          <w:i w:val="false"/>
          <w:iCs w:val="false"/>
          <w:color w:val="1A1A1A"/>
          <w:sz w:val="21"/>
          <w:szCs w:val="21"/>
        </w:rPr>
        <w:t xml:space="preserve">El plan de cierre no debe redactarse cuando la mina deja de operar, sino incorporarse desde la etapa de diseño e ingeniería, incluyendo el manejo de residuos, la recuperación del suelo y la preservación de la biodiversidad como parte del presupuesto de inversión inicial, no como un gasto diferido.</w:t>
      </w:r>
    </w:p>
    <w:p>
      <w:pPr>
        <w:pStyle w:val="Heading3"/>
        <w:spacing w:after="100" w:before="200"/>
      </w:pPr>
      <w:r>
        <w:rPr>
          <w:b/>
          <w:bCs/>
          <w:color w:val="B5651D"/>
          <w:sz w:val="21"/>
          <w:szCs w:val="21"/>
        </w:rPr>
        <w:t xml:space="preserve">4.2 Gestión responsable de relaves</w:t>
      </w:r>
    </w:p>
    <w:p>
      <w:pPr>
        <w:spacing w:after="160" w:line="276"/>
        <w:jc w:val="both"/>
      </w:pPr>
      <w:r>
        <w:rPr>
          <w:b w:val="false"/>
          <w:bCs w:val="false"/>
          <w:i w:val="false"/>
          <w:iCs w:val="false"/>
          <w:color w:val="1A1A1A"/>
          <w:sz w:val="21"/>
          <w:szCs w:val="21"/>
        </w:rPr>
        <w:t xml:space="preserve">El estándar internacional de referencia es el GISTM (Global Industry Standard on Tailings Management). Implica preferir relaves espesados, en pasta o filtrados —sin agua libre acumulada— sobre las represas húmedas tradicionales, junto con monitoreo estructural en tiempo real y auditoría independiente del diseño, no solo del cumplimiento operativo.</w:t>
      </w:r>
    </w:p>
    <w:p>
      <w:pPr>
        <w:pStyle w:val="Heading3"/>
        <w:spacing w:after="100" w:before="200"/>
      </w:pPr>
      <w:r>
        <w:rPr>
          <w:b/>
          <w:bCs/>
          <w:color w:val="B5651D"/>
          <w:sz w:val="21"/>
          <w:szCs w:val="21"/>
        </w:rPr>
        <w:t xml:space="preserve">4.3 Licencia social y consulta previa robusta</w:t>
      </w:r>
    </w:p>
    <w:p>
      <w:pPr>
        <w:spacing w:after="160" w:line="276"/>
        <w:jc w:val="both"/>
      </w:pPr>
      <w:r>
        <w:rPr>
          <w:b w:val="false"/>
          <w:bCs w:val="false"/>
          <w:i w:val="false"/>
          <w:iCs w:val="false"/>
          <w:color w:val="1A1A1A"/>
          <w:sz w:val="21"/>
          <w:szCs w:val="21"/>
        </w:rPr>
        <w:t xml:space="preserve">La consulta a comunidades debe ocurrir antes de otorgar la concesión, con información técnica completa y traducida a un lenguaje accesible, y con mecanismos de distribución de regalías y beneficios locales que sean verificables públicamente.</w:t>
      </w:r>
    </w:p>
    <w:p>
      <w:pPr>
        <w:pStyle w:val="Heading3"/>
        <w:spacing w:after="100" w:before="200"/>
      </w:pPr>
      <w:r>
        <w:rPr>
          <w:b/>
          <w:bCs/>
          <w:color w:val="B5651D"/>
          <w:sz w:val="21"/>
          <w:szCs w:val="21"/>
        </w:rPr>
        <w:t xml:space="preserve">4.4 Gestión hídrica y energética</w:t>
      </w:r>
    </w:p>
    <w:p>
      <w:pPr>
        <w:spacing w:after="160" w:line="276"/>
        <w:jc w:val="both"/>
      </w:pPr>
      <w:r>
        <w:rPr>
          <w:b w:val="false"/>
          <w:bCs w:val="false"/>
          <w:i w:val="false"/>
          <w:iCs w:val="false"/>
          <w:color w:val="1A1A1A"/>
          <w:sz w:val="21"/>
          <w:szCs w:val="21"/>
        </w:rPr>
        <w:t xml:space="preserve">La minería de cobre es intensiva en agua y energía. Las mejores prácticas incluyen reciclaje de agua de proceso, monitoreo de cuencas compartidas con las comunidades, y electrificación de flotas mineras con energía renovable en sitio —relevante en Colombia dado el potencial solar de La Guajira y el potencial hidroeléctrico existente—.</w:t>
      </w:r>
    </w:p>
    <w:p>
      <w:pPr>
        <w:pStyle w:val="Heading3"/>
        <w:spacing w:after="100" w:before="200"/>
      </w:pPr>
      <w:r>
        <w:rPr>
          <w:b/>
          <w:bCs/>
          <w:color w:val="B5651D"/>
          <w:sz w:val="21"/>
          <w:szCs w:val="21"/>
        </w:rPr>
        <w:t xml:space="preserve">4.5 Estándares ESG verificables por terceros</w:t>
      </w:r>
    </w:p>
    <w:p>
      <w:pPr>
        <w:spacing w:after="160" w:line="276"/>
        <w:jc w:val="both"/>
      </w:pPr>
      <w:r>
        <w:rPr>
          <w:b w:val="false"/>
          <w:bCs w:val="false"/>
          <w:i w:val="false"/>
          <w:iCs w:val="false"/>
          <w:color w:val="1A1A1A"/>
          <w:sz w:val="21"/>
          <w:szCs w:val="21"/>
        </w:rPr>
        <w:t xml:space="preserve">Adhesión a estándares como el Copper Mark, el ICMM (International Council on Mining and Metals) o el IRMA (Initiative for Responsible Mining Assurance), con auditorías independientes y públicas, no autodeclaradas por el operador.</w:t>
      </w:r>
    </w:p>
    <w:p>
      <w:pPr>
        <w:pStyle w:val="Heading3"/>
        <w:spacing w:after="100" w:before="200"/>
      </w:pPr>
      <w:r>
        <w:rPr>
          <w:b/>
          <w:bCs/>
          <w:color w:val="B5651D"/>
          <w:sz w:val="21"/>
          <w:szCs w:val="21"/>
        </w:rPr>
        <w:t xml:space="preserve">4.6 Diversificación económica local</w:t>
      </w:r>
    </w:p>
    <w:p>
      <w:pPr>
        <w:spacing w:after="160" w:line="276"/>
        <w:jc w:val="both"/>
      </w:pPr>
      <w:r>
        <w:rPr>
          <w:b w:val="false"/>
          <w:bCs w:val="false"/>
          <w:i w:val="false"/>
          <w:iCs w:val="false"/>
          <w:color w:val="1A1A1A"/>
          <w:sz w:val="21"/>
          <w:szCs w:val="21"/>
        </w:rPr>
        <w:t xml:space="preserve">Programas de capacitación de comunidades vecinas en actividades productivas alternativas —por ejemplo, agricultura orgánica certificada— que sobrevivan a la vida útil de la mina y reduzcan la dependencia económica total de una sola operación extractiva.</w:t>
      </w:r>
    </w:p>
    <w:p>
      <w:pPr>
        <w:pStyle w:val="Heading1"/>
        <w:pBdr>
          <w:bottom w:val="single" w:color="B5651D" w:sz="12" w:space="4"/>
        </w:pBdr>
        <w:spacing w:after="200" w:before="400"/>
      </w:pPr>
      <w:r>
        <w:rPr>
          <w:b/>
          <w:bCs/>
          <w:color w:val="1F3864"/>
          <w:sz w:val="30"/>
          <w:szCs w:val="30"/>
        </w:rPr>
        <w:t xml:space="preserve">5. Malas prácticas: lecciones que Colombia no debe repetir</w:t>
      </w:r>
    </w:p>
    <w:p>
      <w:pPr>
        <w:spacing w:after="160" w:line="276"/>
        <w:jc w:val="both"/>
      </w:pPr>
      <w:r>
        <w:rPr>
          <w:b w:val="false"/>
          <w:bCs w:val="false"/>
          <w:i w:val="false"/>
          <w:iCs w:val="false"/>
          <w:color w:val="1A1A1A"/>
          <w:sz w:val="21"/>
          <w:szCs w:val="21"/>
        </w:rPr>
        <w:t xml:space="preserve">Tres casos documentados en la región deben leerse como advertencias operativas concretas, no como referencias históricas abstractas: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760"/>
      </w:tblGrid>
      <w:tr>
        <w:tc>
          <w:tcPr>
            <w:tcW w:type="dxa" w:w="2000"/>
            <w:shd w:fill="1F3864" w:val="clear"/>
            <w:tcMar>
              <w:top w:type="dxa" w:w="80"/>
              <w:left w:type="dxa" w:w="100"/>
              <w:bottom w:type="dxa" w:w="80"/>
              <w:right w:type="dxa" w:w="100"/>
            </w:tcMar>
            <w:vAlign w:val="center"/>
          </w:tcPr>
          <w:p>
            <w:r>
              <w:rPr>
                <w:b/>
                <w:bCs/>
                <w:color w:val="FFFFFF"/>
                <w:sz w:val="19"/>
                <w:szCs w:val="19"/>
              </w:rPr>
              <w:t xml:space="preserve">Caso</w:t>
            </w:r>
          </w:p>
        </w:tc>
        <w:tc>
          <w:tcPr>
            <w:tcW w:type="dxa" w:w="2000"/>
            <w:shd w:fill="1F3864" w:val="clear"/>
            <w:tcMar>
              <w:top w:type="dxa" w:w="80"/>
              <w:left w:type="dxa" w:w="100"/>
              <w:bottom w:type="dxa" w:w="80"/>
              <w:right w:type="dxa" w:w="100"/>
            </w:tcMar>
            <w:vAlign w:val="center"/>
          </w:tcPr>
          <w:p>
            <w:r>
              <w:rPr>
                <w:b/>
                <w:bCs/>
                <w:color w:val="FFFFFF"/>
                <w:sz w:val="19"/>
                <w:szCs w:val="19"/>
              </w:rPr>
              <w:t xml:space="preserve">Qué falló</w:t>
            </w:r>
          </w:p>
        </w:tc>
        <w:tc>
          <w:tcPr>
            <w:tcW w:type="dxa" w:w="2000"/>
            <w:shd w:fill="1F3864" w:val="clear"/>
            <w:tcMar>
              <w:top w:type="dxa" w:w="80"/>
              <w:left w:type="dxa" w:w="100"/>
              <w:bottom w:type="dxa" w:w="80"/>
              <w:right w:type="dxa" w:w="100"/>
            </w:tcMar>
            <w:vAlign w:val="center"/>
          </w:tcPr>
          <w:p>
            <w:r>
              <w:rPr>
                <w:b/>
                <w:bCs/>
                <w:color w:val="FFFFFF"/>
                <w:sz w:val="19"/>
                <w:szCs w:val="19"/>
              </w:rPr>
              <w:t xml:space="preserve">Lección aplicable a Colombia</w:t>
            </w:r>
          </w:p>
        </w:tc>
      </w:tr>
      <w:tr>
        <w:tc>
          <w:tcPr>
            <w:tcW w:type="dxa" w:w="2000"/>
            <w:tcMar>
              <w:top w:type="dxa" w:w="80"/>
              <w:left w:type="dxa" w:w="100"/>
              <w:bottom w:type="dxa" w:w="80"/>
              <w:right w:type="dxa" w:w="100"/>
            </w:tcMar>
            <w:vAlign w:val="center"/>
          </w:tcPr>
          <w:p>
            <w:r>
              <w:rPr>
                <w:b/>
                <w:bCs/>
                <w:color w:val="1A1A1A"/>
                <w:sz w:val="19"/>
                <w:szCs w:val="19"/>
              </w:rPr>
              <w:t xml:space="preserve">Brumadinho, Brasil (2019)</w:t>
            </w:r>
          </w:p>
        </w:tc>
        <w:tc>
          <w:tcPr>
            <w:tcW w:type="dxa" w:w="2000"/>
            <w:tcMar>
              <w:top w:type="dxa" w:w="80"/>
              <w:left w:type="dxa" w:w="100"/>
              <w:bottom w:type="dxa" w:w="80"/>
              <w:right w:type="dxa" w:w="100"/>
            </w:tcMar>
            <w:vAlign w:val="center"/>
          </w:tcPr>
          <w:p>
            <w:r>
              <w:rPr>
                <w:b w:val="false"/>
                <w:bCs w:val="false"/>
                <w:color w:val="1A1A1A"/>
                <w:sz w:val="19"/>
                <w:szCs w:val="19"/>
              </w:rPr>
              <w:t xml:space="preserve">Colapso de un dique de relaves de Vale; ~10 millones de m³ de lodo tóxico, más de 270 muertos. El dique había pasado inspecciones y tenía monitoreo, pero falló tres años después de dejar de operar.</w:t>
            </w:r>
          </w:p>
        </w:tc>
        <w:tc>
          <w:tcPr>
            <w:tcW w:type="dxa" w:w="2000"/>
            <w:tcMar>
              <w:top w:type="dxa" w:w="80"/>
              <w:left w:type="dxa" w:w="100"/>
              <w:bottom w:type="dxa" w:w="80"/>
              <w:right w:type="dxa" w:w="100"/>
            </w:tcMar>
            <w:vAlign w:val="center"/>
          </w:tcPr>
          <w:p>
            <w:r>
              <w:rPr>
                <w:b w:val="false"/>
                <w:bCs w:val="false"/>
                <w:color w:val="1A1A1A"/>
                <w:sz w:val="19"/>
                <w:szCs w:val="19"/>
              </w:rPr>
              <w:t xml:space="preserve">El monitoreo no sustituye el rediseño estructural. Exigir relaves espesados, en pasta o filtrados (sin agua libre) en los nuevos proyectos cupríferos, y auditorías independientes bajo el estándar GISTM.</w:t>
            </w:r>
          </w:p>
        </w:tc>
      </w:tr>
      <w:tr>
        <w:tc>
          <w:tcPr>
            <w:tcW w:type="dxa" w:w="2000"/>
            <w:shd w:fill="F2F2F2" w:val="clear"/>
            <w:tcMar>
              <w:top w:type="dxa" w:w="80"/>
              <w:left w:type="dxa" w:w="100"/>
              <w:bottom w:type="dxa" w:w="80"/>
              <w:right w:type="dxa" w:w="100"/>
            </w:tcMar>
            <w:vAlign w:val="center"/>
          </w:tcPr>
          <w:p>
            <w:r>
              <w:rPr>
                <w:b/>
                <w:bCs/>
                <w:color w:val="1A1A1A"/>
                <w:sz w:val="19"/>
                <w:szCs w:val="19"/>
              </w:rPr>
              <w:t xml:space="preserve">Mariana, Brasil (2015)</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Mismo operador (Vale/Samarco), mismo tipo de falla, 19 muertos; no se corrigieron las causas raíz antes de Brumadinho.</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Un solo incidente no basta como lección si no cambia el sistema regulatorio. Colombia necesita un ente auditor independiente del relave, no autorregulación corporativa.</w:t>
            </w:r>
          </w:p>
        </w:tc>
      </w:tr>
      <w:tr>
        <w:tc>
          <w:tcPr>
            <w:tcW w:type="dxa" w:w="2000"/>
            <w:tcMar>
              <w:top w:type="dxa" w:w="80"/>
              <w:left w:type="dxa" w:w="100"/>
              <w:bottom w:type="dxa" w:w="80"/>
              <w:right w:type="dxa" w:w="100"/>
            </w:tcMar>
            <w:vAlign w:val="center"/>
          </w:tcPr>
          <w:p>
            <w:r>
              <w:rPr>
                <w:b/>
                <w:bCs/>
                <w:color w:val="1A1A1A"/>
                <w:sz w:val="19"/>
                <w:szCs w:val="19"/>
              </w:rPr>
              <w:t xml:space="preserve">Cerro de Pasco y La Oroya, Perú</w:t>
            </w:r>
          </w:p>
        </w:tc>
        <w:tc>
          <w:tcPr>
            <w:tcW w:type="dxa" w:w="2000"/>
            <w:tcMar>
              <w:top w:type="dxa" w:w="80"/>
              <w:left w:type="dxa" w:w="100"/>
              <w:bottom w:type="dxa" w:w="80"/>
              <w:right w:type="dxa" w:w="100"/>
            </w:tcMar>
            <w:vAlign w:val="center"/>
          </w:tcPr>
          <w:p>
            <w:r>
              <w:rPr>
                <w:b w:val="false"/>
                <w:bCs w:val="false"/>
                <w:color w:val="1A1A1A"/>
                <w:sz w:val="19"/>
                <w:szCs w:val="19"/>
              </w:rPr>
              <w:t xml:space="preserve">Décadas de explotación de plomo, cobre y zinc sin plan de cierre; la ciudad quedó rodeada —y en parte dentro— del tajo. Contaminación de suelo, agua y aire con plomo y arsénico; el Estado peruano fue hallado responsable por la CIDH en 2024.</w:t>
            </w:r>
          </w:p>
        </w:tc>
        <w:tc>
          <w:tcPr>
            <w:tcW w:type="dxa" w:w="2000"/>
            <w:tcMar>
              <w:top w:type="dxa" w:w="80"/>
              <w:left w:type="dxa" w:w="100"/>
              <w:bottom w:type="dxa" w:w="80"/>
              <w:right w:type="dxa" w:w="100"/>
            </w:tcMar>
            <w:vAlign w:val="center"/>
          </w:tcPr>
          <w:p>
            <w:r>
              <w:rPr>
                <w:b w:val="false"/>
                <w:bCs w:val="false"/>
                <w:color w:val="1A1A1A"/>
                <w:sz w:val="19"/>
                <w:szCs w:val="19"/>
              </w:rPr>
              <w:t xml:space="preserve">Nunca autorizar operaciones sin una distancia de seguridad poblacional definida desde el diseño, ni sin fondo de remediación de salud pública desde el primer contrato.</w:t>
            </w:r>
          </w:p>
        </w:tc>
      </w:tr>
    </w:tbl>
    <w:p>
      <w:pPr>
        <w:spacing w:before="200"/>
      </w:pPr>
    </w:p>
    <w:p>
      <w:pPr>
        <w:spacing w:after="160" w:line="276"/>
        <w:jc w:val="both"/>
      </w:pPr>
      <w:r>
        <w:rPr>
          <w:b w:val="false"/>
          <w:bCs w:val="false"/>
          <w:i w:val="false"/>
          <w:iCs w:val="false"/>
          <w:color w:val="1A1A1A"/>
          <w:sz w:val="21"/>
          <w:szCs w:val="21"/>
        </w:rPr>
        <w:t xml:space="preserve">El patrón común a los tres casos es el mismo: postergar los costos de cierre y los pasivos ambientales, no exigir fondos de garantía financiera independientes del operador, y debilitar o saltarse la consulta comunitaria real. Cualquier contrato minero colombiano que no exija explícitamente lo contrario —garantía financiera de cierre desde la firma, relaves sin agua libre, distancia de seguridad poblacional definida— está repitiendo, por omisión, las condiciones que produjeron estos desastres.</w:t>
      </w:r>
    </w:p>
    <w:p>
      <w:pPr>
        <w:pStyle w:val="Heading1"/>
        <w:pBdr>
          <w:bottom w:val="single" w:color="B5651D" w:sz="12" w:space="4"/>
        </w:pBdr>
        <w:spacing w:after="200" w:before="400"/>
      </w:pPr>
      <w:r>
        <w:rPr>
          <w:b/>
          <w:bCs/>
          <w:color w:val="1F3864"/>
          <w:sz w:val="30"/>
          <w:szCs w:val="30"/>
        </w:rPr>
        <w:t xml:space="preserve">6. Infraestructura necesaria para Colombia (2026–2030)</w:t>
      </w:r>
    </w:p>
    <w:p>
      <w:pPr>
        <w:spacing w:after="160" w:line="276"/>
        <w:jc w:val="both"/>
      </w:pPr>
      <w:r>
        <w:rPr>
          <w:b w:val="false"/>
          <w:bCs w:val="false"/>
          <w:i w:val="false"/>
          <w:iCs w:val="false"/>
          <w:color w:val="1A1A1A"/>
          <w:sz w:val="21"/>
          <w:szCs w:val="21"/>
        </w:rPr>
        <w:t xml:space="preserve">Para pasar de una economía exportadora de concentrado a un actor con valor agregado real en la cadena del cobre, Colombia necesita desarrollar, de forma simultánea y coordinada, los siguientes componentes de infraestructura:</w:t>
      </w:r>
    </w:p>
    <w:p>
      <w:pPr>
        <w:pStyle w:val="ListParagraph"/>
        <w:numPr>
          <w:ilvl w:val="0"/>
          <w:numId w:val="3"/>
        </w:numPr>
        <w:spacing w:after="90"/>
      </w:pPr>
      <w:r>
        <w:rPr>
          <w:sz w:val="21"/>
          <w:szCs w:val="21"/>
        </w:rPr>
        <w:t xml:space="preserve">Minas y plantas de beneficio (concentradoras): completar la maduración de los proyectos existentes (Quebradona, Titiribí, San Diego–La Paz) y de las 14 nuevas Áreas Estratégicas Mineras.</w:t>
      </w:r>
    </w:p>
    <w:p>
      <w:pPr>
        <w:pStyle w:val="ListParagraph"/>
        <w:numPr>
          <w:ilvl w:val="0"/>
          <w:numId w:val="3"/>
        </w:numPr>
        <w:spacing w:after="90"/>
      </w:pPr>
      <w:r>
        <w:rPr>
          <w:sz w:val="21"/>
          <w:szCs w:val="21"/>
        </w:rPr>
        <w:t xml:space="preserve">Fundición y refinería de cobre: estudio de factibilidad y construcción de al menos una planta piloto (30.000–50.000 t/año) que permita a Colombia exportar cátodo en lugar de concentrado crudo, capturando más valor agregado por tonelada extraída.</w:t>
      </w:r>
    </w:p>
    <w:p>
      <w:pPr>
        <w:pStyle w:val="ListParagraph"/>
        <w:numPr>
          <w:ilvl w:val="0"/>
          <w:numId w:val="3"/>
        </w:numPr>
        <w:spacing w:after="90"/>
      </w:pPr>
      <w:r>
        <w:rPr>
          <w:sz w:val="21"/>
          <w:szCs w:val="21"/>
        </w:rPr>
        <w:t xml:space="preserve">Energía: la fundición-refinería es intensiva en energía eléctrica; su ubicación debe alinearse con la expansión de generación solar en La Guajira y con la infraestructura de transmisión existente, evitando comprometer el suministro de las comunidades vecinas.</w:t>
      </w:r>
    </w:p>
    <w:p>
      <w:pPr>
        <w:pStyle w:val="ListParagraph"/>
        <w:numPr>
          <w:ilvl w:val="0"/>
          <w:numId w:val="3"/>
        </w:numPr>
        <w:spacing w:after="90"/>
      </w:pPr>
      <w:r>
        <w:rPr>
          <w:sz w:val="21"/>
          <w:szCs w:val="21"/>
        </w:rPr>
        <w:t xml:space="preserve">Infraestructura portuaria en el Caribe: Barranquilla, Santa Marta y Cartagena como puertos de salida de concentrado y cátodo hacia Estados Unidos y otros mercados, y de entrada de insumos industriales.</w:t>
      </w:r>
    </w:p>
    <w:p>
      <w:pPr>
        <w:pStyle w:val="ListParagraph"/>
        <w:numPr>
          <w:ilvl w:val="0"/>
          <w:numId w:val="3"/>
        </w:numPr>
        <w:spacing w:after="90"/>
      </w:pPr>
      <w:r>
        <w:rPr>
          <w:sz w:val="21"/>
          <w:szCs w:val="21"/>
        </w:rPr>
        <w:t xml:space="preserve">Corredores viales y férreos: conexión eficiente entre los centros mineros de Antioquia, Cesar, La Guajira y Tolima y los puertos del Caribe, reduciendo el costo logístico que hoy penaliza a los proyectos colombianos frente a Chile y Perú.</w:t>
      </w:r>
    </w:p>
    <w:p>
      <w:pPr>
        <w:pStyle w:val="ListParagraph"/>
        <w:numPr>
          <w:ilvl w:val="0"/>
          <w:numId w:val="3"/>
        </w:numPr>
        <w:spacing w:after="90"/>
      </w:pPr>
      <w:r>
        <w:rPr>
          <w:sz w:val="21"/>
          <w:szCs w:val="21"/>
        </w:rPr>
        <w:t xml:space="preserve">Gestión hídrica regional: estudios de balance hídrico por cuenca antes —no después— de adjudicar nuevas áreas, especialmente en zonas de estrés hídrico estacional.</w:t>
      </w:r>
    </w:p>
    <w:p>
      <w:pPr>
        <w:pStyle w:val="Heading1"/>
        <w:pBdr>
          <w:bottom w:val="single" w:color="B5651D" w:sz="12" w:space="4"/>
        </w:pBdr>
        <w:spacing w:after="200" w:before="400"/>
      </w:pPr>
      <w:r>
        <w:rPr>
          <w:b/>
          <w:bCs/>
          <w:color w:val="1F3864"/>
          <w:sz w:val="30"/>
          <w:szCs w:val="30"/>
        </w:rPr>
        <w:t xml:space="preserve">7. Estudio de mercado global del cobre (2025–2030–2050)</w:t>
      </w:r>
    </w:p>
    <w:p>
      <w:pPr>
        <w:spacing w:after="160" w:line="276"/>
        <w:jc w:val="both"/>
      </w:pPr>
      <w:r>
        <w:rPr>
          <w:b w:val="false"/>
          <w:bCs w:val="false"/>
          <w:i w:val="false"/>
          <w:iCs w:val="false"/>
          <w:color w:val="1A1A1A"/>
          <w:sz w:val="21"/>
          <w:szCs w:val="21"/>
        </w:rPr>
        <w:t xml:space="preserve">La demanda global de cobre se proyecta en una trayectoria de crecimiento estructural, no cíclico, impulsada por la superposición de tres fenómenos simultáneos: la electrificación del transporte, la expansión de redes eléctricas y —el factor más reciente y de mayor aceleración— la construcción masiva de centros de datos para inteligencia artificial.</w:t>
      </w:r>
    </w:p>
    <w:p>
      <w:pPr>
        <w:pStyle w:val="Heading3"/>
        <w:spacing w:after="100" w:before="200"/>
      </w:pPr>
      <w:r>
        <w:rPr>
          <w:b/>
          <w:bCs/>
          <w:color w:val="B5651D"/>
          <w:sz w:val="21"/>
          <w:szCs w:val="21"/>
        </w:rPr>
        <w:t xml:space="preserve">7.1 Magnitud de la demanda</w:t>
      </w:r>
    </w:p>
    <w:p>
      <w:pPr>
        <w:pStyle w:val="ListParagraph"/>
        <w:numPr>
          <w:ilvl w:val="0"/>
          <w:numId w:val="2"/>
        </w:numPr>
        <w:spacing w:after="90"/>
      </w:pPr>
      <w:r>
        <w:rPr>
          <w:sz w:val="21"/>
          <w:szCs w:val="21"/>
        </w:rPr>
        <w:t xml:space="preserve">La demanda global de cobre pasaría de 34,5 millones de toneladas anuales (Mtpa) en 2025 a 42 Mtpa en 2030, y superaría 70 Mtpa hacia 2050.</w:t>
      </w:r>
    </w:p>
    <w:p>
      <w:pPr>
        <w:pStyle w:val="ListParagraph"/>
        <w:numPr>
          <w:ilvl w:val="0"/>
          <w:numId w:val="2"/>
        </w:numPr>
        <w:spacing w:after="90"/>
      </w:pPr>
      <w:r>
        <w:rPr>
          <w:sz w:val="21"/>
          <w:szCs w:val="21"/>
        </w:rPr>
        <w:t xml:space="preserve">Un vehículo eléctrico requiere aproximadamente 83 kg de cobre, frente a 23 kg de un vehículo de combustión interna.</w:t>
      </w:r>
    </w:p>
    <w:p>
      <w:pPr>
        <w:pStyle w:val="ListParagraph"/>
        <w:numPr>
          <w:ilvl w:val="0"/>
          <w:numId w:val="2"/>
        </w:numPr>
        <w:spacing w:after="90"/>
      </w:pPr>
      <w:r>
        <w:rPr>
          <w:sz w:val="21"/>
          <w:szCs w:val="21"/>
        </w:rPr>
        <w:t xml:space="preserve">Un aerogenerador marino (offshore) consume entre 4 y 15 toneladas métricas de cobre.</w:t>
      </w:r>
    </w:p>
    <w:p>
      <w:pPr>
        <w:pStyle w:val="ListParagraph"/>
        <w:numPr>
          <w:ilvl w:val="0"/>
          <w:numId w:val="2"/>
        </w:numPr>
        <w:spacing w:after="90"/>
      </w:pPr>
      <w:r>
        <w:rPr>
          <w:sz w:val="21"/>
          <w:szCs w:val="21"/>
        </w:rPr>
        <w:t xml:space="preserve">La demanda de cobre para infraestructura de red eléctrica alcanzaría 1,1 millones de toneladas métricas anuales en 2030.</w:t>
      </w:r>
    </w:p>
    <w:p>
      <w:pPr>
        <w:pStyle w:val="ListParagraph"/>
        <w:numPr>
          <w:ilvl w:val="0"/>
          <w:numId w:val="2"/>
        </w:numPr>
        <w:spacing w:after="90"/>
      </w:pPr>
      <w:r>
        <w:rPr>
          <w:sz w:val="21"/>
          <w:szCs w:val="21"/>
        </w:rPr>
        <w:t xml:space="preserve">Los centros de datos de inteligencia artificial podrían consumir entre 250.000 y 550.000 toneladas de cobre al año hacia 2030; un solo centro de datos de 300 megavatios requiere entre 6.000 y 9.000 toneladas, equivalente a la producción anual de una mina de cobre pequeña.</w:t>
      </w:r>
    </w:p>
    <w:p>
      <w:pPr>
        <w:pStyle w:val="Heading3"/>
        <w:spacing w:after="100" w:before="200"/>
      </w:pPr>
      <w:r>
        <w:rPr>
          <w:b/>
          <w:bCs/>
          <w:color w:val="B5651D"/>
          <w:sz w:val="21"/>
          <w:szCs w:val="21"/>
        </w:rPr>
        <w:t xml:space="preserve">7.2 El lado de la oferta: un déficit estructural</w:t>
      </w:r>
    </w:p>
    <w:p>
      <w:pPr>
        <w:spacing w:after="160" w:line="276"/>
        <w:jc w:val="both"/>
      </w:pPr>
      <w:r>
        <w:rPr>
          <w:b w:val="false"/>
          <w:bCs w:val="false"/>
          <w:i w:val="false"/>
          <w:iCs w:val="false"/>
          <w:color w:val="1A1A1A"/>
          <w:sz w:val="21"/>
          <w:szCs w:val="21"/>
        </w:rPr>
        <w:t xml:space="preserve">La oferta minera mundial de cobre crece a un ritmo de apenas 2% anual, muy por debajo del crecimiento de la demanda, debido al agotamiento de minas existentes, la caída en la ley del mineral, la escasa inversión en nueva capacidad y los ciclos de maduración de nuevos proyectos, que toman entre 15 y 20 años desde el descubrimiento hasta la producción. El resultado proyectado es un déficit estructural de aproximadamente 4 millones de toneladas hacia 2030.</w:t>
      </w:r>
    </w:p>
    <w:p>
      <w:pPr>
        <w:pStyle w:val="Heading3"/>
        <w:spacing w:after="100" w:before="200"/>
      </w:pPr>
      <w:r>
        <w:rPr>
          <w:b/>
          <w:bCs/>
          <w:color w:val="B5651D"/>
          <w:sz w:val="21"/>
          <w:szCs w:val="21"/>
        </w:rPr>
        <w:t xml:space="preserve">7.3 Precios</w:t>
      </w:r>
    </w:p>
    <w:p>
      <w:pPr>
        <w:spacing w:after="160" w:line="276"/>
        <w:jc w:val="both"/>
      </w:pPr>
      <w:r>
        <w:rPr>
          <w:b w:val="false"/>
          <w:bCs w:val="false"/>
          <w:i w:val="false"/>
          <w:iCs w:val="false"/>
          <w:color w:val="1A1A1A"/>
          <w:sz w:val="21"/>
          <w:szCs w:val="21"/>
        </w:rPr>
        <w:t xml:space="preserve">En mayo de 2026 el cobre cotizaba cerca de USD 13.500 por tonelada, con un consenso de analistas que proyecta un promedio de USD 12.075 por tonelada para 2026 y un precio de largo plazo cercano a USD 12.000 por tonelada durante la próxima década, sostenido por el déficit estructural descrito arriba. Esta combinación de precios altos y sostenidos, y demanda garantizada por contratos de largo plazo, es lo que hace financiable —bajo el marco EE. UU.–Colombia— la inversión en infraestructura minera nueva en el país.</w:t>
      </w:r>
    </w:p>
    <w:p>
      <w:pPr>
        <w:pStyle w:val="Heading1"/>
        <w:pBdr>
          <w:bottom w:val="single" w:color="B5651D" w:sz="12" w:space="4"/>
        </w:pBdr>
        <w:spacing w:after="200" w:before="400"/>
      </w:pPr>
      <w:r>
        <w:rPr>
          <w:b/>
          <w:bCs/>
          <w:color w:val="1F3864"/>
          <w:sz w:val="30"/>
          <w:szCs w:val="30"/>
        </w:rPr>
        <w:t xml:space="preserve">8. Colombia frente a la manufactura avanzada global</w:t>
      </w:r>
    </w:p>
    <w:p>
      <w:pPr>
        <w:spacing w:after="160" w:line="276"/>
        <w:jc w:val="both"/>
      </w:pPr>
      <w:r>
        <w:rPr>
          <w:b w:val="false"/>
          <w:bCs w:val="false"/>
          <w:i w:val="false"/>
          <w:iCs w:val="false"/>
          <w:color w:val="1A1A1A"/>
          <w:sz w:val="21"/>
          <w:szCs w:val="21"/>
        </w:rPr>
        <w:t xml:space="preserve">Ningún país entra en la cadena de valor de la manufactura de punta —semiconductores, litografía, centros de datos de IA— sin entender primero en qué eslabón puede competir. El siguiente cuadro sitúa a Colombia frente a los cuatro polos que hoy definen esa cadena: Países Bajos, Taiwán, China y Estados Unidos.</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100"/>
        <w:gridCol w:w="1980"/>
      </w:tblGrid>
      <w:tr>
        <w:tc>
          <w:tcPr>
            <w:tcW w:type="dxa" w:w="2000"/>
            <w:shd w:fill="1F3864" w:val="clear"/>
            <w:tcMar>
              <w:top w:type="dxa" w:w="80"/>
              <w:left w:type="dxa" w:w="100"/>
              <w:bottom w:type="dxa" w:w="80"/>
              <w:right w:type="dxa" w:w="100"/>
            </w:tcMar>
            <w:vAlign w:val="center"/>
          </w:tcPr>
          <w:p>
            <w:r>
              <w:rPr>
                <w:b/>
                <w:bCs/>
                <w:color w:val="FFFFFF"/>
                <w:sz w:val="19"/>
                <w:szCs w:val="19"/>
              </w:rPr>
              <w:t xml:space="preserve">Actor</w:t>
            </w:r>
          </w:p>
        </w:tc>
        <w:tc>
          <w:tcPr>
            <w:tcW w:type="dxa" w:w="2000"/>
            <w:shd w:fill="1F3864" w:val="clear"/>
            <w:tcMar>
              <w:top w:type="dxa" w:w="80"/>
              <w:left w:type="dxa" w:w="100"/>
              <w:bottom w:type="dxa" w:w="80"/>
              <w:right w:type="dxa" w:w="100"/>
            </w:tcMar>
            <w:vAlign w:val="center"/>
          </w:tcPr>
          <w:p>
            <w:r>
              <w:rPr>
                <w:b/>
                <w:bCs/>
                <w:color w:val="FFFFFF"/>
                <w:sz w:val="19"/>
                <w:szCs w:val="19"/>
              </w:rPr>
              <w:t xml:space="preserve">Rol en la cadena</w:t>
            </w:r>
          </w:p>
        </w:tc>
        <w:tc>
          <w:tcPr>
            <w:tcW w:type="dxa" w:w="2000"/>
            <w:shd w:fill="1F3864" w:val="clear"/>
            <w:tcMar>
              <w:top w:type="dxa" w:w="80"/>
              <w:left w:type="dxa" w:w="100"/>
              <w:bottom w:type="dxa" w:w="80"/>
              <w:right w:type="dxa" w:w="100"/>
            </w:tcMar>
            <w:vAlign w:val="center"/>
          </w:tcPr>
          <w:p>
            <w:r>
              <w:rPr>
                <w:b/>
                <w:bCs/>
                <w:color w:val="FFFFFF"/>
                <w:sz w:val="19"/>
                <w:szCs w:val="19"/>
              </w:rPr>
              <w:t xml:space="preserve">Ventaja dominante</w:t>
            </w:r>
          </w:p>
        </w:tc>
        <w:tc>
          <w:tcPr>
            <w:tcW w:type="dxa" w:w="2000"/>
            <w:shd w:fill="1F3864" w:val="clear"/>
            <w:tcMar>
              <w:top w:type="dxa" w:w="80"/>
              <w:left w:type="dxa" w:w="100"/>
              <w:bottom w:type="dxa" w:w="80"/>
              <w:right w:type="dxa" w:w="100"/>
            </w:tcMar>
            <w:vAlign w:val="center"/>
          </w:tcPr>
          <w:p>
            <w:r>
              <w:rPr>
                <w:b/>
                <w:bCs/>
                <w:color w:val="FFFFFF"/>
                <w:sz w:val="19"/>
                <w:szCs w:val="19"/>
              </w:rPr>
              <w:t xml:space="preserve">Insumo crítico ligado a Colombia</w:t>
            </w:r>
          </w:p>
        </w:tc>
        <w:tc>
          <w:tcPr>
            <w:tcW w:type="dxa" w:w="2000"/>
            <w:shd w:fill="1F3864" w:val="clear"/>
            <w:tcMar>
              <w:top w:type="dxa" w:w="80"/>
              <w:left w:type="dxa" w:w="100"/>
              <w:bottom w:type="dxa" w:w="80"/>
              <w:right w:type="dxa" w:w="100"/>
            </w:tcMar>
            <w:vAlign w:val="center"/>
          </w:tcPr>
          <w:p>
            <w:r>
              <w:rPr>
                <w:b/>
                <w:bCs/>
                <w:color w:val="FFFFFF"/>
                <w:sz w:val="19"/>
                <w:szCs w:val="19"/>
              </w:rPr>
              <w:t xml:space="preserve">Riesgo / oportunidad</w:t>
            </w:r>
          </w:p>
        </w:tc>
      </w:tr>
      <w:tr>
        <w:tc>
          <w:tcPr>
            <w:tcW w:type="dxa" w:w="2000"/>
            <w:tcMar>
              <w:top w:type="dxa" w:w="80"/>
              <w:left w:type="dxa" w:w="100"/>
              <w:bottom w:type="dxa" w:w="80"/>
              <w:right w:type="dxa" w:w="100"/>
            </w:tcMar>
            <w:vAlign w:val="center"/>
          </w:tcPr>
          <w:p>
            <w:r>
              <w:rPr>
                <w:b/>
                <w:bCs/>
                <w:color w:val="1A1A1A"/>
                <w:sz w:val="19"/>
                <w:szCs w:val="19"/>
              </w:rPr>
              <w:t xml:space="preserve">Países Bajos (ASML)</w:t>
            </w:r>
          </w:p>
        </w:tc>
        <w:tc>
          <w:tcPr>
            <w:tcW w:type="dxa" w:w="2000"/>
            <w:tcMar>
              <w:top w:type="dxa" w:w="80"/>
              <w:left w:type="dxa" w:w="100"/>
              <w:bottom w:type="dxa" w:w="80"/>
              <w:right w:type="dxa" w:w="100"/>
            </w:tcMar>
            <w:vAlign w:val="center"/>
          </w:tcPr>
          <w:p>
            <w:r>
              <w:rPr>
                <w:b w:val="false"/>
                <w:bCs w:val="false"/>
                <w:color w:val="1A1A1A"/>
                <w:sz w:val="19"/>
                <w:szCs w:val="19"/>
              </w:rPr>
              <w:t xml:space="preserve">Fabricación de litografía EUV</w:t>
            </w:r>
          </w:p>
        </w:tc>
        <w:tc>
          <w:tcPr>
            <w:tcW w:type="dxa" w:w="2000"/>
            <w:tcMar>
              <w:top w:type="dxa" w:w="80"/>
              <w:left w:type="dxa" w:w="100"/>
              <w:bottom w:type="dxa" w:w="80"/>
              <w:right w:type="dxa" w:w="100"/>
            </w:tcMar>
            <w:vAlign w:val="center"/>
          </w:tcPr>
          <w:p>
            <w:r>
              <w:rPr>
                <w:b w:val="false"/>
                <w:bCs w:val="false"/>
                <w:color w:val="1A1A1A"/>
                <w:sz w:val="19"/>
                <w:szCs w:val="19"/>
              </w:rPr>
              <w:t xml:space="preserve">100% del mercado EUV, 94% de litografía global</w:t>
            </w:r>
          </w:p>
        </w:tc>
        <w:tc>
          <w:tcPr>
            <w:tcW w:type="dxa" w:w="2000"/>
            <w:tcMar>
              <w:top w:type="dxa" w:w="80"/>
              <w:left w:type="dxa" w:w="100"/>
              <w:bottom w:type="dxa" w:w="80"/>
              <w:right w:type="dxa" w:w="100"/>
            </w:tcMar>
            <w:vAlign w:val="center"/>
          </w:tcPr>
          <w:p>
            <w:r>
              <w:rPr>
                <w:b w:val="false"/>
                <w:bCs w:val="false"/>
                <w:color w:val="1A1A1A"/>
                <w:sz w:val="19"/>
                <w:szCs w:val="19"/>
              </w:rPr>
              <w:t xml:space="preserve">Estaño de alta pureza, tierras raras para óptica</w:t>
            </w:r>
          </w:p>
        </w:tc>
        <w:tc>
          <w:tcPr>
            <w:tcW w:type="dxa" w:w="2000"/>
            <w:tcMar>
              <w:top w:type="dxa" w:w="80"/>
              <w:left w:type="dxa" w:w="100"/>
              <w:bottom w:type="dxa" w:w="80"/>
              <w:right w:type="dxa" w:w="100"/>
            </w:tcMar>
            <w:vAlign w:val="center"/>
          </w:tcPr>
          <w:p>
            <w:r>
              <w:rPr>
                <w:b w:val="false"/>
                <w:bCs w:val="false"/>
                <w:color w:val="1A1A1A"/>
                <w:sz w:val="19"/>
                <w:szCs w:val="19"/>
              </w:rPr>
              <w:t xml:space="preserve">Colombia no compite aquí; puede ser proveedor de insumos si desarrolla estaño/tierras raras</w:t>
            </w:r>
          </w:p>
        </w:tc>
      </w:tr>
      <w:tr>
        <w:tc>
          <w:tcPr>
            <w:tcW w:type="dxa" w:w="2000"/>
            <w:shd w:fill="F2F2F2" w:val="clear"/>
            <w:tcMar>
              <w:top w:type="dxa" w:w="80"/>
              <w:left w:type="dxa" w:w="100"/>
              <w:bottom w:type="dxa" w:w="80"/>
              <w:right w:type="dxa" w:w="100"/>
            </w:tcMar>
            <w:vAlign w:val="center"/>
          </w:tcPr>
          <w:p>
            <w:r>
              <w:rPr>
                <w:b/>
                <w:bCs/>
                <w:color w:val="1A1A1A"/>
                <w:sz w:val="19"/>
                <w:szCs w:val="19"/>
              </w:rPr>
              <w:t xml:space="preserve">Taiwán (TSMC)</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Fabricación y empaquetado avanzado (CoWoS, SoIC)</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Empaquetado avanzado, capex 2026 de USD 52.000-56.000 M</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Cobre de alta pureza para interconexiones e TSV</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Demanda de CoWoS se duplica 2026→2027; oportunidad de cátodo colombiano</w:t>
            </w:r>
          </w:p>
        </w:tc>
      </w:tr>
      <w:tr>
        <w:tc>
          <w:tcPr>
            <w:tcW w:type="dxa" w:w="2000"/>
            <w:tcMar>
              <w:top w:type="dxa" w:w="80"/>
              <w:left w:type="dxa" w:w="100"/>
              <w:bottom w:type="dxa" w:w="80"/>
              <w:right w:type="dxa" w:w="100"/>
            </w:tcMar>
            <w:vAlign w:val="center"/>
          </w:tcPr>
          <w:p>
            <w:r>
              <w:rPr>
                <w:b/>
                <w:bCs/>
                <w:color w:val="1A1A1A"/>
                <w:sz w:val="19"/>
                <w:szCs w:val="19"/>
              </w:rPr>
              <w:t xml:space="preserve">China</w:t>
            </w:r>
          </w:p>
        </w:tc>
        <w:tc>
          <w:tcPr>
            <w:tcW w:type="dxa" w:w="2000"/>
            <w:tcMar>
              <w:top w:type="dxa" w:w="80"/>
              <w:left w:type="dxa" w:w="100"/>
              <w:bottom w:type="dxa" w:w="80"/>
              <w:right w:type="dxa" w:w="100"/>
            </w:tcMar>
            <w:vAlign w:val="center"/>
          </w:tcPr>
          <w:p>
            <w:r>
              <w:rPr>
                <w:b w:val="false"/>
                <w:bCs w:val="false"/>
                <w:color w:val="1A1A1A"/>
                <w:sz w:val="19"/>
                <w:szCs w:val="19"/>
              </w:rPr>
              <w:t xml:space="preserve">Refinación de tierras raras y metales estratégicos</w:t>
            </w:r>
          </w:p>
        </w:tc>
        <w:tc>
          <w:tcPr>
            <w:tcW w:type="dxa" w:w="2000"/>
            <w:tcMar>
              <w:top w:type="dxa" w:w="80"/>
              <w:left w:type="dxa" w:w="100"/>
              <w:bottom w:type="dxa" w:w="80"/>
              <w:right w:type="dxa" w:w="100"/>
            </w:tcMar>
            <w:vAlign w:val="center"/>
          </w:tcPr>
          <w:p>
            <w:r>
              <w:rPr>
                <w:b w:val="false"/>
                <w:bCs w:val="false"/>
                <w:color w:val="1A1A1A"/>
                <w:sz w:val="19"/>
                <w:szCs w:val="19"/>
              </w:rPr>
              <w:t xml:space="preserve">90% del refinado de tierras raras, 80% tungsteno, 60% antimonio</w:t>
            </w:r>
          </w:p>
        </w:tc>
        <w:tc>
          <w:tcPr>
            <w:tcW w:type="dxa" w:w="2000"/>
            <w:tcMar>
              <w:top w:type="dxa" w:w="80"/>
              <w:left w:type="dxa" w:w="100"/>
              <w:bottom w:type="dxa" w:w="80"/>
              <w:right w:type="dxa" w:w="100"/>
            </w:tcMar>
            <w:vAlign w:val="center"/>
          </w:tcPr>
          <w:p>
            <w:r>
              <w:rPr>
                <w:b w:val="false"/>
                <w:bCs w:val="false"/>
                <w:color w:val="1A1A1A"/>
                <w:sz w:val="19"/>
                <w:szCs w:val="19"/>
              </w:rPr>
              <w:t xml:space="preserve">Sustitución de dependencia china (controles de exportación 2026)</w:t>
            </w:r>
          </w:p>
        </w:tc>
        <w:tc>
          <w:tcPr>
            <w:tcW w:type="dxa" w:w="2000"/>
            <w:tcMar>
              <w:top w:type="dxa" w:w="80"/>
              <w:left w:type="dxa" w:w="100"/>
              <w:bottom w:type="dxa" w:w="80"/>
              <w:right w:type="dxa" w:w="100"/>
            </w:tcMar>
            <w:vAlign w:val="center"/>
          </w:tcPr>
          <w:p>
            <w:r>
              <w:rPr>
                <w:b w:val="false"/>
                <w:bCs w:val="false"/>
                <w:color w:val="1A1A1A"/>
                <w:sz w:val="19"/>
                <w:szCs w:val="19"/>
              </w:rPr>
              <w:t xml:space="preserve">Riesgo geopolítico si EEUU concentra su cadena solo en un socio; Colombia diversifica</w:t>
            </w:r>
          </w:p>
        </w:tc>
      </w:tr>
      <w:tr>
        <w:tc>
          <w:tcPr>
            <w:tcW w:type="dxa" w:w="2000"/>
            <w:shd w:fill="F2F2F2" w:val="clear"/>
            <w:tcMar>
              <w:top w:type="dxa" w:w="80"/>
              <w:left w:type="dxa" w:w="100"/>
              <w:bottom w:type="dxa" w:w="80"/>
              <w:right w:type="dxa" w:w="100"/>
            </w:tcMar>
            <w:vAlign w:val="center"/>
          </w:tcPr>
          <w:p>
            <w:r>
              <w:rPr>
                <w:b/>
                <w:bCs/>
                <w:color w:val="1A1A1A"/>
                <w:sz w:val="19"/>
                <w:szCs w:val="19"/>
              </w:rPr>
              <w:t xml:space="preserve">Estados Unidos</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Consumo final: IA, data centers, defensa</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Mayor mercado de demanda; DFC y EXIM como financiadores</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Cobre metálico y concentrado para redes y centros de datos</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Marco firmado en Barranquilla (8-sep-2026): financiamiento conjunto en 6 meses</w:t>
            </w:r>
          </w:p>
        </w:tc>
      </w:tr>
    </w:tbl>
    <w:p>
      <w:pPr>
        <w:spacing w:before="220"/>
      </w:pPr>
    </w:p>
    <w:p>
      <w:pPr>
        <w:pStyle w:val="Heading3"/>
        <w:spacing w:after="100" w:before="200"/>
      </w:pPr>
      <w:r>
        <w:rPr>
          <w:b/>
          <w:bCs/>
          <w:color w:val="B5651D"/>
          <w:sz w:val="21"/>
          <w:szCs w:val="21"/>
        </w:rPr>
        <w:t xml:space="preserve">8.1 Países Bajos: el monopolio de la litografía (ASML)</w:t>
      </w:r>
    </w:p>
    <w:p>
      <w:pPr>
        <w:spacing w:after="160" w:line="276"/>
        <w:jc w:val="both"/>
      </w:pPr>
      <w:r>
        <w:rPr>
          <w:b w:val="false"/>
          <w:bCs w:val="false"/>
          <w:i w:val="false"/>
          <w:iCs w:val="false"/>
          <w:color w:val="1A1A1A"/>
          <w:sz w:val="21"/>
          <w:szCs w:val="21"/>
        </w:rPr>
        <w:t xml:space="preserve">ASML es la única empresa del mundo capaz de fabricar máquinas de litografía ultravioleta extrema (EUV), con el 100% del mercado EUV y el 94% de la litografía global. Su fuente de luz se genera vaporizando gotas de estaño de alta pureza con un láser de dos etapas para producir plasma. En agosto de 2026, ASML inició la fase final de calibración de su nueva generación de litografía High-NA EUV en Veldhoven, capaz de imprimir estructuras de silicio de menos de 2 nanómetros. Colombia no compite en este eslabón, pero el estaño de alta pureza es un insumo donde vale la pena evaluar potencial geológico propio a mediano plazo.</w:t>
      </w:r>
    </w:p>
    <w:p>
      <w:pPr>
        <w:pStyle w:val="Heading3"/>
        <w:spacing w:after="100" w:before="200"/>
      </w:pPr>
      <w:r>
        <w:rPr>
          <w:b/>
          <w:bCs/>
          <w:color w:val="B5651D"/>
          <w:sz w:val="21"/>
          <w:szCs w:val="21"/>
        </w:rPr>
        <w:t xml:space="preserve">8.2 Taiwán: el cuello de botella del empaquetado avanzado (TSMC)</w:t>
      </w:r>
    </w:p>
    <w:p>
      <w:pPr>
        <w:spacing w:after="160" w:line="276"/>
        <w:jc w:val="both"/>
      </w:pPr>
      <w:r>
        <w:rPr>
          <w:b w:val="false"/>
          <w:bCs w:val="false"/>
          <w:i w:val="false"/>
          <w:iCs w:val="false"/>
          <w:color w:val="1A1A1A"/>
          <w:sz w:val="21"/>
          <w:szCs w:val="21"/>
        </w:rPr>
        <w:t xml:space="preserve">El empaquetado avanzado (CoWoS, SoIC) es hoy el verdadero cuello de botella de la producción de chips de IA, no la litografía. TSMC destinará hasta 20% de un capex de USD 52.000–56.000 millones en 2026 a esta área, y la demanda global de obleas CoWoS se duplicará de 1,3–1,4 millones en 2026 a 2,5–2,7 millones en 2027. El empaquetado avanzado usa cobre de alta pureza intensivamente para interconexiones y vías verticales entre chips (TSV, through-silicon vias): esta es, junto con los centros de datos, la conexión más directa entre la demanda de Taiwán/EE. UU. y una eventual oferta de cátodo colombiano.</w:t>
      </w:r>
    </w:p>
    <w:p>
      <w:pPr>
        <w:pStyle w:val="Heading3"/>
        <w:spacing w:after="100" w:before="200"/>
      </w:pPr>
      <w:r>
        <w:rPr>
          <w:b/>
          <w:bCs/>
          <w:color w:val="B5651D"/>
          <w:sz w:val="21"/>
          <w:szCs w:val="21"/>
        </w:rPr>
        <w:t xml:space="preserve">8.3 China: el riesgo de concentración que Colombia puede aliviar</w:t>
      </w:r>
    </w:p>
    <w:p>
      <w:pPr>
        <w:spacing w:after="160" w:line="276"/>
        <w:jc w:val="both"/>
      </w:pPr>
      <w:r>
        <w:rPr>
          <w:b w:val="false"/>
          <w:bCs w:val="false"/>
          <w:i w:val="false"/>
          <w:iCs w:val="false"/>
          <w:color w:val="1A1A1A"/>
          <w:sz w:val="21"/>
          <w:szCs w:val="21"/>
        </w:rPr>
        <w:t xml:space="preserve">China controla el 90% del refinado mundial de tierras raras, el 80% del tungsteno y el 60% del antimonio. Los controles de exportación que entraron en vigor el 1 de enero de 2026 —licencias individuales, listas blancas de exportadores autorizados y prohibiciones a usuarios finales militares de EE. UU.— provocaron alzas de precio de hasta seis veces y redujeron las aprobaciones de licencias para empresas europeas a menos del 25%. Más del 80% de las empresas europeas dependen de China para minerales críticos, y reconstruir cadenas alternativas tomaría entre 20 y 30 años según estimaciones citadas por analistas del sector. Este es, en términos simples, el problema que el marco firmado en Barranquilla busca empezar a resolver, y es la razón estratégica de fondo por la que Colombia tiene valor geopolítico como proveedor alternativo de cobre y, potencialmente, de níquel, grafito y tierras raras asociadas.</w:t>
      </w:r>
    </w:p>
    <w:p>
      <w:pPr>
        <w:pStyle w:val="Heading3"/>
        <w:spacing w:after="100" w:before="200"/>
      </w:pPr>
      <w:r>
        <w:rPr>
          <w:b/>
          <w:bCs/>
          <w:color w:val="B5651D"/>
          <w:sz w:val="21"/>
          <w:szCs w:val="21"/>
        </w:rPr>
        <w:t xml:space="preserve">8.4 Estados Unidos: el comprador con déficit de energía y de cobre</w:t>
      </w:r>
    </w:p>
    <w:p>
      <w:pPr>
        <w:spacing w:after="160" w:line="276"/>
        <w:jc w:val="both"/>
      </w:pPr>
      <w:r>
        <w:rPr>
          <w:b w:val="false"/>
          <w:bCs w:val="false"/>
          <w:i w:val="false"/>
          <w:iCs w:val="false"/>
          <w:color w:val="1A1A1A"/>
          <w:sz w:val="21"/>
          <w:szCs w:val="21"/>
        </w:rPr>
        <w:t xml:space="preserve">El crecimiento de los centros de datos de IA está generando en Estados Unidos un déficit estructural de potencia eléctrica que, según Goldman Sachs, pasaría de 9,3 gigavatios en 2026 a 45 gigavatios en 2028, con tiempos de espera para transformadores de hasta 120 semanas y una demanda de cobre proveniente de centros de datos que ha crecido 30% interanual. Para asegurar el suministro, Estados Unidos utiliza a la DFC (U.S. International Development Finance Corporation) y al EXIM Bank como motores de financiamiento de proyectos que van de la mina a la manufactura, con un enfoque estratégico declarado en cadenas de suministro, seguridad energética e infraestructura crítica desde 2026. Es precisamente este mecanismo el que el marco bilateral firmado en Barranquilla habilita para Colombia.</w:t>
      </w:r>
    </w:p>
    <w:p>
      <w:pPr>
        <w:pStyle w:val="Heading1"/>
        <w:pBdr>
          <w:bottom w:val="single" w:color="B5651D" w:sz="12" w:space="4"/>
        </w:pBdr>
        <w:spacing w:after="200" w:before="400"/>
      </w:pPr>
      <w:r>
        <w:rPr>
          <w:b/>
          <w:bCs/>
          <w:color w:val="1F3864"/>
          <w:sz w:val="30"/>
          <w:szCs w:val="30"/>
        </w:rPr>
        <w:t xml:space="preserve">9. Financiamiento: mecanismos y órdenes de magnitud</w:t>
      </w:r>
    </w:p>
    <w:p>
      <w:pPr>
        <w:spacing w:after="160" w:line="276"/>
        <w:jc w:val="both"/>
      </w:pPr>
      <w:r>
        <w:rPr>
          <w:b w:val="false"/>
          <w:bCs w:val="false"/>
          <w:i w:val="false"/>
          <w:iCs w:val="false"/>
          <w:color w:val="1A1A1A"/>
          <w:sz w:val="21"/>
          <w:szCs w:val="21"/>
        </w:rPr>
        <w:t xml:space="preserve">El financiamiento de esta hoja de ruta no depende de un solo instrumento, sino de la combinación coordinada de al menos cinco fuentes:</w:t>
      </w:r>
    </w:p>
    <w:p>
      <w:pPr>
        <w:pStyle w:val="ListParagraph"/>
        <w:numPr>
          <w:ilvl w:val="0"/>
          <w:numId w:val="3"/>
        </w:numPr>
        <w:spacing w:after="90"/>
      </w:pPr>
      <w:r>
        <w:rPr>
          <w:sz w:val="21"/>
          <w:szCs w:val="21"/>
        </w:rPr>
        <w:t xml:space="preserve">Marco bilateral EE. UU.–Colombia de minerales críticos (sep-2026): compromiso de movilización conjunta de capital público y privado dentro de los seis meses siguientes a la firma (plazo: marzo de 2027).</w:t>
      </w:r>
    </w:p>
    <w:p>
      <w:pPr>
        <w:pStyle w:val="ListParagraph"/>
        <w:numPr>
          <w:ilvl w:val="0"/>
          <w:numId w:val="3"/>
        </w:numPr>
        <w:spacing w:after="90"/>
      </w:pPr>
      <w:r>
        <w:rPr>
          <w:sz w:val="21"/>
          <w:szCs w:val="21"/>
        </w:rPr>
        <w:t xml:space="preserve">DFC (U.S. International Development Finance Corporation): financiamiento de proyectos estratégicos de cadena de suministro, con foco declarado en minerales críticos, infraestructura y energía desde 2026, y oficina regional para América Latina abierta en São Paulo.</w:t>
      </w:r>
    </w:p>
    <w:p>
      <w:pPr>
        <w:pStyle w:val="ListParagraph"/>
        <w:numPr>
          <w:ilvl w:val="0"/>
          <w:numId w:val="3"/>
        </w:numPr>
        <w:spacing w:after="90"/>
      </w:pPr>
      <w:r>
        <w:rPr>
          <w:sz w:val="21"/>
          <w:szCs w:val="21"/>
        </w:rPr>
        <w:t xml:space="preserve">EXIM Bank de Estados Unidos: financiamiento de proyectos "de la mina a la manufactura", en cooperación reforzada con la DFC desde 2024.</w:t>
      </w:r>
    </w:p>
    <w:p>
      <w:pPr>
        <w:pStyle w:val="ListParagraph"/>
        <w:numPr>
          <w:ilvl w:val="0"/>
          <w:numId w:val="3"/>
        </w:numPr>
        <w:spacing w:after="90"/>
      </w:pPr>
      <w:r>
        <w:rPr>
          <w:sz w:val="21"/>
          <w:szCs w:val="21"/>
        </w:rPr>
        <w:t xml:space="preserve">Banca multilateral (BID, IFC/Banco Mundial): coinversión y garantías para reducir el riesgo percibido de los proyectos, especialmente en la fase de infraestructura habilitante (energía, vías, puertos).</w:t>
      </w:r>
    </w:p>
    <w:p>
      <w:pPr>
        <w:pStyle w:val="ListParagraph"/>
        <w:numPr>
          <w:ilvl w:val="0"/>
          <w:numId w:val="3"/>
        </w:numPr>
        <w:spacing w:after="90"/>
      </w:pPr>
      <w:r>
        <w:rPr>
          <w:sz w:val="21"/>
          <w:szCs w:val="21"/>
        </w:rPr>
        <w:t xml:space="preserve">Capital privado minero y regalías reinvertidas: los operadores privados (AngloGold Ashanti, Atico Mining, GoldMining y los adjudicatarios de la ronda de 14 áreas) más el Sistema General de Regalías (SGR) como fuente de reinversión territorial.</w:t>
      </w:r>
    </w:p>
    <w:p>
      <w:pPr>
        <w:spacing w:after="160" w:line="276"/>
        <w:jc w:val="both"/>
      </w:pPr>
      <w:r>
        <w:rPr>
          <w:b w:val="false"/>
          <w:bCs w:val="false"/>
          <w:i w:val="false"/>
          <w:iCs w:val="false"/>
          <w:color w:val="1A1A1A"/>
          <w:sz w:val="21"/>
          <w:szCs w:val="21"/>
        </w:rPr>
        <w:t xml:space="preserve">Como referencia de magnitud: solo el proyecto Quebradona representa una inversión estimada de USD 1.400 millones, hoy frenada por incertidumbre regulatoria. Si se resuelve esa incertidumbre y se suman los demás proyectos en desarrollo más la ronda de 14 áreas, una estimación razonada —no una cifra oficial— sitúa el potencial de inversión movilizable en la década 2026–2030 en un rango de USD 5.000 a 8.000 millones, contingente a la velocidad con que se implementen las secciones 2 y 6 de este documento.</w:t>
      </w:r>
    </w:p>
    <w:p>
      <w:pPr>
        <w:pStyle w:val="Heading1"/>
        <w:pBdr>
          <w:bottom w:val="single" w:color="B5651D" w:sz="12" w:space="4"/>
        </w:pBdr>
        <w:spacing w:after="200" w:before="400"/>
      </w:pPr>
      <w:r>
        <w:rPr>
          <w:b/>
          <w:bCs/>
          <w:color w:val="1F3864"/>
          <w:sz w:val="30"/>
          <w:szCs w:val="30"/>
        </w:rPr>
        <w:t xml:space="preserve">10. Sostenibilidad y relacionamiento con comunidades</w:t>
      </w:r>
    </w:p>
    <w:p>
      <w:pPr>
        <w:spacing w:after="160" w:line="276"/>
        <w:jc w:val="both"/>
      </w:pPr>
      <w:r>
        <w:rPr>
          <w:b w:val="false"/>
          <w:bCs w:val="false"/>
          <w:i w:val="false"/>
          <w:iCs w:val="false"/>
          <w:color w:val="1A1A1A"/>
          <w:sz w:val="21"/>
          <w:szCs w:val="21"/>
        </w:rPr>
        <w:t xml:space="preserve">La estabilidad del ecosistema a futuro y la viabilidad social del sector minero son la misma condición vista desde dos ángulos. Las siguientes medidas deben quedar incorporadas como cláusulas contractuales obligatorias, no como buenas intenciones:</w:t>
      </w:r>
    </w:p>
    <w:p>
      <w:pPr>
        <w:pStyle w:val="ListParagraph"/>
        <w:numPr>
          <w:ilvl w:val="0"/>
          <w:numId w:val="2"/>
        </w:numPr>
        <w:spacing w:after="90"/>
      </w:pPr>
      <w:r>
        <w:rPr>
          <w:sz w:val="21"/>
          <w:szCs w:val="21"/>
        </w:rPr>
        <w:t xml:space="preserve">Consulta previa robusta y verificable antes de otorgar la concesión, no como trámite posterior a la adjudicación.</w:t>
      </w:r>
    </w:p>
    <w:p>
      <w:pPr>
        <w:pStyle w:val="ListParagraph"/>
        <w:numPr>
          <w:ilvl w:val="0"/>
          <w:numId w:val="2"/>
        </w:numPr>
        <w:spacing w:after="90"/>
      </w:pPr>
      <w:r>
        <w:rPr>
          <w:sz w:val="21"/>
          <w:szCs w:val="21"/>
        </w:rPr>
        <w:t xml:space="preserve">Fondo de cierre y garantía financiera independiente del operador, constituido desde la firma del contrato y no desde el cierre de operaciones.</w:t>
      </w:r>
    </w:p>
    <w:p>
      <w:pPr>
        <w:pStyle w:val="ListParagraph"/>
        <w:numPr>
          <w:ilvl w:val="0"/>
          <w:numId w:val="2"/>
        </w:numPr>
        <w:spacing w:after="90"/>
      </w:pPr>
      <w:r>
        <w:rPr>
          <w:sz w:val="21"/>
          <w:szCs w:val="21"/>
        </w:rPr>
        <w:t xml:space="preserve">Monitoreo ambiental independiente con datos públicos y accesibles (tableros abiertos de calidad de agua, aire y suelo), auditado por terceros y no autodeclarado.</w:t>
      </w:r>
    </w:p>
    <w:p>
      <w:pPr>
        <w:pStyle w:val="ListParagraph"/>
        <w:numPr>
          <w:ilvl w:val="0"/>
          <w:numId w:val="2"/>
        </w:numPr>
        <w:spacing w:after="90"/>
      </w:pPr>
      <w:r>
        <w:rPr>
          <w:sz w:val="21"/>
          <w:szCs w:val="21"/>
        </w:rPr>
        <w:t xml:space="preserve">Programas de diversificación económica local que trasciendan la vida útil de la mina.</w:t>
      </w:r>
    </w:p>
    <w:p>
      <w:pPr>
        <w:pStyle w:val="ListParagraph"/>
        <w:numPr>
          <w:ilvl w:val="0"/>
          <w:numId w:val="2"/>
        </w:numPr>
        <w:spacing w:after="90"/>
      </w:pPr>
      <w:r>
        <w:rPr>
          <w:sz w:val="21"/>
          <w:szCs w:val="21"/>
        </w:rPr>
        <w:t xml:space="preserve">Distancia de seguridad poblacional mínima definida desde el diseño del proyecto, aplicando la lección directa de Cerro de Pasco.</w:t>
      </w:r>
    </w:p>
    <w:p>
      <w:pPr>
        <w:pStyle w:val="Heading1"/>
        <w:pBdr>
          <w:bottom w:val="single" w:color="B5651D" w:sz="12" w:space="4"/>
        </w:pBdr>
        <w:spacing w:after="200" w:before="400"/>
      </w:pPr>
      <w:r>
        <w:rPr>
          <w:b/>
          <w:bCs/>
          <w:color w:val="1F3864"/>
          <w:sz w:val="30"/>
          <w:szCs w:val="30"/>
        </w:rPr>
        <w:t xml:space="preserve">11. Métricas y objetivos verificables al 2030</w:t>
      </w:r>
    </w:p>
    <w:p>
      <w:pPr>
        <w:spacing w:after="160" w:line="276"/>
        <w:jc w:val="both"/>
      </w:pPr>
      <w:r>
        <w:rPr>
          <w:b w:val="false"/>
          <w:bCs w:val="false"/>
          <w:i w:val="false"/>
          <w:iCs w:val="false"/>
          <w:color w:val="1A1A1A"/>
          <w:sz w:val="21"/>
          <w:szCs w:val="21"/>
        </w:rPr>
        <w:t xml:space="preserve">La siguiente batería de indicadores permite a cualquier entidad de gobierno, agencia estatal o socio de cooperación auditar el avance real del sector, año a año, frente a una línea base 2026 y dos metas intermedias (2028 y 2030):</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680"/>
      </w:tblGrid>
      <w:tr>
        <w:tc>
          <w:tcPr>
            <w:tcW w:type="dxa" w:w="2000"/>
            <w:shd w:fill="1F3864" w:val="clear"/>
            <w:tcMar>
              <w:top w:type="dxa" w:w="80"/>
              <w:left w:type="dxa" w:w="100"/>
              <w:bottom w:type="dxa" w:w="80"/>
              <w:right w:type="dxa" w:w="100"/>
            </w:tcMar>
            <w:vAlign w:val="center"/>
          </w:tcPr>
          <w:p>
            <w:r>
              <w:rPr>
                <w:b/>
                <w:bCs/>
                <w:color w:val="FFFFFF"/>
                <w:sz w:val="19"/>
                <w:szCs w:val="19"/>
              </w:rPr>
              <w:t xml:space="preserve">Indicador (KPI)</w:t>
            </w:r>
          </w:p>
        </w:tc>
        <w:tc>
          <w:tcPr>
            <w:tcW w:type="dxa" w:w="2000"/>
            <w:shd w:fill="1F3864" w:val="clear"/>
            <w:tcMar>
              <w:top w:type="dxa" w:w="80"/>
              <w:left w:type="dxa" w:w="100"/>
              <w:bottom w:type="dxa" w:w="80"/>
              <w:right w:type="dxa" w:w="100"/>
            </w:tcMar>
            <w:vAlign w:val="center"/>
          </w:tcPr>
          <w:p>
            <w:r>
              <w:rPr>
                <w:b/>
                <w:bCs/>
                <w:color w:val="FFFFFF"/>
                <w:sz w:val="19"/>
                <w:szCs w:val="19"/>
              </w:rPr>
              <w:t xml:space="preserve">Línea base 2026</w:t>
            </w:r>
          </w:p>
        </w:tc>
        <w:tc>
          <w:tcPr>
            <w:tcW w:type="dxa" w:w="2000"/>
            <w:shd w:fill="1F3864" w:val="clear"/>
            <w:tcMar>
              <w:top w:type="dxa" w:w="80"/>
              <w:left w:type="dxa" w:w="100"/>
              <w:bottom w:type="dxa" w:w="80"/>
              <w:right w:type="dxa" w:w="100"/>
            </w:tcMar>
            <w:vAlign w:val="center"/>
          </w:tcPr>
          <w:p>
            <w:r>
              <w:rPr>
                <w:b/>
                <w:bCs/>
                <w:color w:val="FFFFFF"/>
                <w:sz w:val="19"/>
                <w:szCs w:val="19"/>
              </w:rPr>
              <w:t xml:space="preserve">Meta 2028</w:t>
            </w:r>
          </w:p>
        </w:tc>
        <w:tc>
          <w:tcPr>
            <w:tcW w:type="dxa" w:w="2000"/>
            <w:shd w:fill="1F3864" w:val="clear"/>
            <w:tcMar>
              <w:top w:type="dxa" w:w="80"/>
              <w:left w:type="dxa" w:w="100"/>
              <w:bottom w:type="dxa" w:w="80"/>
              <w:right w:type="dxa" w:w="100"/>
            </w:tcMar>
            <w:vAlign w:val="center"/>
          </w:tcPr>
          <w:p>
            <w:r>
              <w:rPr>
                <w:b/>
                <w:bCs/>
                <w:color w:val="FFFFFF"/>
                <w:sz w:val="19"/>
                <w:szCs w:val="19"/>
              </w:rPr>
              <w:t xml:space="preserve">Meta 2030</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Producción nacional de cobre (t/año)</w:t>
            </w:r>
          </w:p>
        </w:tc>
        <w:tc>
          <w:tcPr>
            <w:tcW w:type="dxa" w:w="2000"/>
            <w:tcMar>
              <w:top w:type="dxa" w:w="80"/>
              <w:left w:type="dxa" w:w="100"/>
              <w:bottom w:type="dxa" w:w="80"/>
              <w:right w:type="dxa" w:w="100"/>
            </w:tcMar>
            <w:vAlign w:val="center"/>
          </w:tcPr>
          <w:p>
            <w:r>
              <w:rPr>
                <w:b w:val="false"/>
                <w:bCs w:val="false"/>
                <w:color w:val="1A1A1A"/>
                <w:sz w:val="19"/>
                <w:szCs w:val="19"/>
              </w:rPr>
              <w:t xml:space="preserve">~7.000 t (una sola mina a gran escala: El Roble)</w:t>
            </w:r>
          </w:p>
        </w:tc>
        <w:tc>
          <w:tcPr>
            <w:tcW w:type="dxa" w:w="2000"/>
            <w:tcMar>
              <w:top w:type="dxa" w:w="80"/>
              <w:left w:type="dxa" w:w="100"/>
              <w:bottom w:type="dxa" w:w="80"/>
              <w:right w:type="dxa" w:w="100"/>
            </w:tcMar>
            <w:vAlign w:val="center"/>
          </w:tcPr>
          <w:p>
            <w:r>
              <w:rPr>
                <w:b w:val="false"/>
                <w:bCs w:val="false"/>
                <w:color w:val="1A1A1A"/>
                <w:sz w:val="19"/>
                <w:szCs w:val="19"/>
              </w:rPr>
              <w:t xml:space="preserve">35.000 – 50.000 t</w:t>
            </w:r>
          </w:p>
        </w:tc>
        <w:tc>
          <w:tcPr>
            <w:tcW w:type="dxa" w:w="2000"/>
            <w:tcMar>
              <w:top w:type="dxa" w:w="80"/>
              <w:left w:type="dxa" w:w="100"/>
              <w:bottom w:type="dxa" w:w="80"/>
              <w:right w:type="dxa" w:w="100"/>
            </w:tcMar>
            <w:vAlign w:val="center"/>
          </w:tcPr>
          <w:p>
            <w:r>
              <w:rPr>
                <w:b w:val="false"/>
                <w:bCs w:val="false"/>
                <w:color w:val="1A1A1A"/>
                <w:sz w:val="19"/>
                <w:szCs w:val="19"/>
              </w:rPr>
              <w:t xml:space="preserve">90.000 – 120.000 t</w:t>
            </w:r>
          </w:p>
        </w:tc>
      </w:tr>
      <w:tr>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Proyectos cupríferos en producción comercial</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1</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3</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5 – 6</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Áreas de la Ronda ANM (14) adjudicadas y en exploración avanzada</w:t>
            </w:r>
          </w:p>
        </w:tc>
        <w:tc>
          <w:tcPr>
            <w:tcW w:type="dxa" w:w="2000"/>
            <w:tcMar>
              <w:top w:type="dxa" w:w="80"/>
              <w:left w:type="dxa" w:w="100"/>
              <w:bottom w:type="dxa" w:w="80"/>
              <w:right w:type="dxa" w:w="100"/>
            </w:tcMar>
            <w:vAlign w:val="center"/>
          </w:tcPr>
          <w:p>
            <w:r>
              <w:rPr>
                <w:b w:val="false"/>
                <w:bCs w:val="false"/>
                <w:color w:val="1A1A1A"/>
                <w:sz w:val="19"/>
                <w:szCs w:val="19"/>
              </w:rPr>
              <w:t xml:space="preserve">0 adjudicadas</w:t>
            </w:r>
          </w:p>
        </w:tc>
        <w:tc>
          <w:tcPr>
            <w:tcW w:type="dxa" w:w="2000"/>
            <w:tcMar>
              <w:top w:type="dxa" w:w="80"/>
              <w:left w:type="dxa" w:w="100"/>
              <w:bottom w:type="dxa" w:w="80"/>
              <w:right w:type="dxa" w:w="100"/>
            </w:tcMar>
            <w:vAlign w:val="center"/>
          </w:tcPr>
          <w:p>
            <w:r>
              <w:rPr>
                <w:b w:val="false"/>
                <w:bCs w:val="false"/>
                <w:color w:val="1A1A1A"/>
                <w:sz w:val="19"/>
                <w:szCs w:val="19"/>
              </w:rPr>
              <w:t xml:space="preserve">14 adjudicadas / 8 en exploración avanzada</w:t>
            </w:r>
          </w:p>
        </w:tc>
        <w:tc>
          <w:tcPr>
            <w:tcW w:type="dxa" w:w="2000"/>
            <w:tcMar>
              <w:top w:type="dxa" w:w="80"/>
              <w:left w:type="dxa" w:w="100"/>
              <w:bottom w:type="dxa" w:w="80"/>
              <w:right w:type="dxa" w:w="100"/>
            </w:tcMar>
            <w:vAlign w:val="center"/>
          </w:tcPr>
          <w:p>
            <w:r>
              <w:rPr>
                <w:b w:val="false"/>
                <w:bCs w:val="false"/>
                <w:color w:val="1A1A1A"/>
                <w:sz w:val="19"/>
                <w:szCs w:val="19"/>
              </w:rPr>
              <w:t xml:space="preserve">4 – 5 en construcción o producción</w:t>
            </w:r>
          </w:p>
        </w:tc>
      </w:tr>
      <w:tr>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Capacidad instalada de fundición-refinería nacional (t/año)</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0 (Colombia exporta concentrado sin fundir)</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Estudio de factibilidad concluido</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Primera planta piloto en construcción (30.000–50.000 t/año)</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Inversión extranjera directa movilizada (marco EE. UU.–Colombia + privados)</w:t>
            </w:r>
          </w:p>
        </w:tc>
        <w:tc>
          <w:tcPr>
            <w:tcW w:type="dxa" w:w="2000"/>
            <w:tcMar>
              <w:top w:type="dxa" w:w="80"/>
              <w:left w:type="dxa" w:w="100"/>
              <w:bottom w:type="dxa" w:w="80"/>
              <w:right w:type="dxa" w:w="100"/>
            </w:tcMar>
            <w:vAlign w:val="center"/>
          </w:tcPr>
          <w:p>
            <w:r>
              <w:rPr>
                <w:b w:val="false"/>
                <w:bCs w:val="false"/>
                <w:color w:val="1A1A1A"/>
                <w:sz w:val="19"/>
                <w:szCs w:val="19"/>
              </w:rPr>
              <w:t xml:space="preserve">USD 0 desembolsados (marco firmado sep-2026)</w:t>
            </w:r>
          </w:p>
        </w:tc>
        <w:tc>
          <w:tcPr>
            <w:tcW w:type="dxa" w:w="2000"/>
            <w:tcMar>
              <w:top w:type="dxa" w:w="80"/>
              <w:left w:type="dxa" w:w="100"/>
              <w:bottom w:type="dxa" w:w="80"/>
              <w:right w:type="dxa" w:w="100"/>
            </w:tcMar>
            <w:vAlign w:val="center"/>
          </w:tcPr>
          <w:p>
            <w:r>
              <w:rPr>
                <w:b w:val="false"/>
                <w:bCs w:val="false"/>
                <w:color w:val="1A1A1A"/>
                <w:sz w:val="19"/>
                <w:szCs w:val="19"/>
              </w:rPr>
              <w:t xml:space="preserve">USD 800 – 1.500 M comprometidos</w:t>
            </w:r>
          </w:p>
        </w:tc>
        <w:tc>
          <w:tcPr>
            <w:tcW w:type="dxa" w:w="2000"/>
            <w:tcMar>
              <w:top w:type="dxa" w:w="80"/>
              <w:left w:type="dxa" w:w="100"/>
              <w:bottom w:type="dxa" w:w="80"/>
              <w:right w:type="dxa" w:w="100"/>
            </w:tcMar>
            <w:vAlign w:val="center"/>
          </w:tcPr>
          <w:p>
            <w:r>
              <w:rPr>
                <w:b w:val="false"/>
                <w:bCs w:val="false"/>
                <w:color w:val="1A1A1A"/>
                <w:sz w:val="19"/>
                <w:szCs w:val="19"/>
              </w:rPr>
              <w:t xml:space="preserve">USD 3.000 – 5.000 M comprometidos / desembolsados</w:t>
            </w:r>
          </w:p>
        </w:tc>
      </w:tr>
      <w:tr>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Empleos formales directos e indirectos del sector cobre</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~2.000</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8.000 – 12.000</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18.000 – 25.000</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 de proyectos con plan de cierre y garantía financiera desde el diseño</w:t>
            </w:r>
          </w:p>
        </w:tc>
        <w:tc>
          <w:tcPr>
            <w:tcW w:type="dxa" w:w="2000"/>
            <w:tcMar>
              <w:top w:type="dxa" w:w="80"/>
              <w:left w:type="dxa" w:w="100"/>
              <w:bottom w:type="dxa" w:w="80"/>
              <w:right w:type="dxa" w:w="100"/>
            </w:tcMar>
            <w:vAlign w:val="center"/>
          </w:tcPr>
          <w:p>
            <w:r>
              <w:rPr>
                <w:b w:val="false"/>
                <w:bCs w:val="false"/>
                <w:color w:val="1A1A1A"/>
                <w:sz w:val="19"/>
                <w:szCs w:val="19"/>
              </w:rPr>
              <w:t xml:space="preserve">Sin obligación uniforme</w:t>
            </w:r>
          </w:p>
        </w:tc>
        <w:tc>
          <w:tcPr>
            <w:tcW w:type="dxa" w:w="2000"/>
            <w:tcMar>
              <w:top w:type="dxa" w:w="80"/>
              <w:left w:type="dxa" w:w="100"/>
              <w:bottom w:type="dxa" w:w="80"/>
              <w:right w:type="dxa" w:w="100"/>
            </w:tcMar>
            <w:vAlign w:val="center"/>
          </w:tcPr>
          <w:p>
            <w:r>
              <w:rPr>
                <w:b w:val="false"/>
                <w:bCs w:val="false"/>
                <w:color w:val="1A1A1A"/>
                <w:sz w:val="19"/>
                <w:szCs w:val="19"/>
              </w:rPr>
              <w:t xml:space="preserve">100% de nuevos contratos</w:t>
            </w:r>
          </w:p>
        </w:tc>
        <w:tc>
          <w:tcPr>
            <w:tcW w:type="dxa" w:w="2000"/>
            <w:tcMar>
              <w:top w:type="dxa" w:w="80"/>
              <w:left w:type="dxa" w:w="100"/>
              <w:bottom w:type="dxa" w:w="80"/>
              <w:right w:type="dxa" w:w="100"/>
            </w:tcMar>
            <w:vAlign w:val="center"/>
          </w:tcPr>
          <w:p>
            <w:r>
              <w:rPr>
                <w:b w:val="false"/>
                <w:bCs w:val="false"/>
                <w:color w:val="1A1A1A"/>
                <w:sz w:val="19"/>
                <w:szCs w:val="19"/>
              </w:rPr>
              <w:t xml:space="preserve">100% de nuevos contratos + retrofit de existentes</w:t>
            </w:r>
          </w:p>
        </w:tc>
      </w:tr>
      <w:tr>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Incidentes ambientales mayores (relaves, vertimientos)</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0 reportados</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Meta: 0</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Meta: 0</w:t>
            </w:r>
          </w:p>
        </w:tc>
      </w:tr>
      <w:tr>
        <w:tc>
          <w:tcPr>
            <w:tcW w:type="dxa" w:w="2000"/>
            <w:tcMar>
              <w:top w:type="dxa" w:w="80"/>
              <w:left w:type="dxa" w:w="100"/>
              <w:bottom w:type="dxa" w:w="80"/>
              <w:right w:type="dxa" w:w="100"/>
            </w:tcMar>
            <w:vAlign w:val="center"/>
          </w:tcPr>
          <w:p>
            <w:r>
              <w:rPr>
                <w:b w:val="false"/>
                <w:bCs w:val="false"/>
                <w:color w:val="1A1A1A"/>
                <w:sz w:val="19"/>
                <w:szCs w:val="19"/>
              </w:rPr>
              <w:t xml:space="preserve">Regalías generadas al Sistema General de Regalías (SGR)</w:t>
            </w:r>
          </w:p>
        </w:tc>
        <w:tc>
          <w:tcPr>
            <w:tcW w:type="dxa" w:w="2000"/>
            <w:tcMar>
              <w:top w:type="dxa" w:w="80"/>
              <w:left w:type="dxa" w:w="100"/>
              <w:bottom w:type="dxa" w:w="80"/>
              <w:right w:type="dxa" w:w="100"/>
            </w:tcMar>
            <w:vAlign w:val="center"/>
          </w:tcPr>
          <w:p>
            <w:r>
              <w:rPr>
                <w:b w:val="false"/>
                <w:bCs w:val="false"/>
                <w:color w:val="1A1A1A"/>
                <w:sz w:val="19"/>
                <w:szCs w:val="19"/>
              </w:rPr>
              <w:t xml:space="preserve">Marginal (una operación activa)</w:t>
            </w:r>
          </w:p>
        </w:tc>
        <w:tc>
          <w:tcPr>
            <w:tcW w:type="dxa" w:w="2000"/>
            <w:tcMar>
              <w:top w:type="dxa" w:w="80"/>
              <w:left w:type="dxa" w:w="100"/>
              <w:bottom w:type="dxa" w:w="80"/>
              <w:right w:type="dxa" w:w="100"/>
            </w:tcMar>
            <w:vAlign w:val="center"/>
          </w:tcPr>
          <w:p>
            <w:r>
              <w:rPr>
                <w:b w:val="false"/>
                <w:bCs w:val="false"/>
                <w:color w:val="1A1A1A"/>
                <w:sz w:val="19"/>
                <w:szCs w:val="19"/>
              </w:rPr>
              <w:t xml:space="preserve">Incremento del 150–250% frente a 2026</w:t>
            </w:r>
          </w:p>
        </w:tc>
        <w:tc>
          <w:tcPr>
            <w:tcW w:type="dxa" w:w="2000"/>
            <w:tcMar>
              <w:top w:type="dxa" w:w="80"/>
              <w:left w:type="dxa" w:w="100"/>
              <w:bottom w:type="dxa" w:w="80"/>
              <w:right w:type="dxa" w:w="100"/>
            </w:tcMar>
            <w:vAlign w:val="center"/>
          </w:tcPr>
          <w:p>
            <w:r>
              <w:rPr>
                <w:b w:val="false"/>
                <w:bCs w:val="false"/>
                <w:color w:val="1A1A1A"/>
                <w:sz w:val="19"/>
                <w:szCs w:val="19"/>
              </w:rPr>
              <w:t xml:space="preserve">Incremento del 400–600% frente a 2026</w:t>
            </w:r>
          </w:p>
        </w:tc>
      </w:tr>
    </w:tbl>
    <w:p>
      <w:pPr>
        <w:pStyle w:val="Heading1"/>
        <w:pBdr>
          <w:bottom w:val="single" w:color="B5651D" w:sz="12" w:space="4"/>
        </w:pBdr>
        <w:spacing w:after="200" w:before="400"/>
      </w:pPr>
      <w:r>
        <w:rPr>
          <w:b/>
          <w:bCs/>
          <w:color w:val="1F3864"/>
          <w:sz w:val="30"/>
          <w:szCs w:val="30"/>
        </w:rPr>
        <w:t xml:space="preserve">12. Hoja de ruta 2026–2030</w:t>
      </w:r>
    </w:p>
    <w:p>
      <w:pPr>
        <w:spacing w:after="160" w:line="276"/>
        <w:jc w:val="both"/>
      </w:pPr>
      <w:r>
        <w:rPr>
          <w:b w:val="false"/>
          <w:bCs w:val="false"/>
          <w:i w:val="false"/>
          <w:iCs w:val="false"/>
          <w:color w:val="1A1A1A"/>
          <w:sz w:val="21"/>
          <w:szCs w:val="21"/>
        </w:rPr>
        <w:t xml:space="preserve">La ejecución se organiza en cuatro fases secuenciales pero con traslapes deliberados, de forma que la maduración regulatoria de la Fase 1 no bloquee el inicio de los estudios de infraestructura de la Fase 2:</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260"/>
      </w:tblGrid>
      <w:tr>
        <w:tc>
          <w:tcPr>
            <w:tcW w:type="dxa" w:w="2000"/>
            <w:shd w:fill="1F3864" w:val="clear"/>
            <w:tcMar>
              <w:top w:type="dxa" w:w="80"/>
              <w:left w:type="dxa" w:w="100"/>
              <w:bottom w:type="dxa" w:w="80"/>
              <w:right w:type="dxa" w:w="100"/>
            </w:tcMar>
            <w:vAlign w:val="center"/>
          </w:tcPr>
          <w:p>
            <w:r>
              <w:rPr>
                <w:b/>
                <w:bCs/>
                <w:color w:val="FFFFFF"/>
                <w:sz w:val="19"/>
                <w:szCs w:val="19"/>
              </w:rPr>
              <w:t xml:space="preserve">Fase / periodo</w:t>
            </w:r>
          </w:p>
        </w:tc>
        <w:tc>
          <w:tcPr>
            <w:tcW w:type="dxa" w:w="2000"/>
            <w:shd w:fill="1F3864" w:val="clear"/>
            <w:tcMar>
              <w:top w:type="dxa" w:w="80"/>
              <w:left w:type="dxa" w:w="100"/>
              <w:bottom w:type="dxa" w:w="80"/>
              <w:right w:type="dxa" w:w="100"/>
            </w:tcMar>
            <w:vAlign w:val="center"/>
          </w:tcPr>
          <w:p>
            <w:r>
              <w:rPr>
                <w:b/>
                <w:bCs/>
                <w:color w:val="FFFFFF"/>
                <w:sz w:val="19"/>
                <w:szCs w:val="19"/>
              </w:rPr>
              <w:t xml:space="preserve">Objetivo central</w:t>
            </w:r>
          </w:p>
        </w:tc>
        <w:tc>
          <w:tcPr>
            <w:tcW w:type="dxa" w:w="2000"/>
            <w:shd w:fill="1F3864" w:val="clear"/>
            <w:tcMar>
              <w:top w:type="dxa" w:w="80"/>
              <w:left w:type="dxa" w:w="100"/>
              <w:bottom w:type="dxa" w:w="80"/>
              <w:right w:type="dxa" w:w="100"/>
            </w:tcMar>
            <w:vAlign w:val="center"/>
          </w:tcPr>
          <w:p>
            <w:r>
              <w:rPr>
                <w:b/>
                <w:bCs/>
                <w:color w:val="FFFFFF"/>
                <w:sz w:val="19"/>
                <w:szCs w:val="19"/>
              </w:rPr>
              <w:t xml:space="preserve">Hitos verificables</w:t>
            </w:r>
          </w:p>
        </w:tc>
      </w:tr>
      <w:tr>
        <w:tc>
          <w:tcPr>
            <w:tcW w:type="dxa" w:w="2000"/>
            <w:tcMar>
              <w:top w:type="dxa" w:w="80"/>
              <w:left w:type="dxa" w:w="100"/>
              <w:bottom w:type="dxa" w:w="80"/>
              <w:right w:type="dxa" w:w="100"/>
            </w:tcMar>
            <w:vAlign w:val="center"/>
          </w:tcPr>
          <w:p>
            <w:r>
              <w:rPr>
                <w:b/>
                <w:bCs/>
                <w:color w:val="1A1A1A"/>
                <w:sz w:val="19"/>
                <w:szCs w:val="19"/>
              </w:rPr>
              <w:t xml:space="preserve">Fase 1
2026 – 2027</w:t>
            </w:r>
          </w:p>
        </w:tc>
        <w:tc>
          <w:tcPr>
            <w:tcW w:type="dxa" w:w="2000"/>
            <w:tcMar>
              <w:top w:type="dxa" w:w="80"/>
              <w:left w:type="dxa" w:w="100"/>
              <w:bottom w:type="dxa" w:w="80"/>
              <w:right w:type="dxa" w:w="100"/>
            </w:tcMar>
            <w:vAlign w:val="center"/>
          </w:tcPr>
          <w:p>
            <w:r>
              <w:rPr>
                <w:b w:val="false"/>
                <w:bCs w:val="false"/>
                <w:color w:val="1A1A1A"/>
                <w:sz w:val="19"/>
                <w:szCs w:val="19"/>
              </w:rPr>
              <w:t xml:space="preserve">Cerrar la incertidumbre regulatoria y sentar las reglas de juego ambientales y financieras</w:t>
            </w:r>
          </w:p>
        </w:tc>
        <w:tc>
          <w:tcPr>
            <w:tcW w:type="dxa" w:w="2000"/>
            <w:tcMar>
              <w:top w:type="dxa" w:w="80"/>
              <w:left w:type="dxa" w:w="100"/>
              <w:bottom w:type="dxa" w:w="80"/>
              <w:right w:type="dxa" w:w="100"/>
            </w:tcMar>
            <w:vAlign w:val="center"/>
          </w:tcPr>
          <w:p>
            <w:r>
              <w:rPr>
                <w:b w:val="false"/>
                <w:bCs w:val="false"/>
                <w:color w:val="1A1A1A"/>
                <w:sz w:val="19"/>
                <w:szCs w:val="19"/>
              </w:rPr>
              <w:t xml:space="preserve">Reglamentación de garantías financieras de cierre obligatorias · Resolución de la situación de Quebradona (Res. 855/2025) · Adjudicación de las 14 Áreas Estratégicas Mineras · Operacionalización del marco EE. UU.–Colombia de minerales críticos (plazo de 6 meses ya comprometido)</w:t>
            </w:r>
          </w:p>
        </w:tc>
      </w:tr>
      <w:tr>
        <w:tc>
          <w:tcPr>
            <w:tcW w:type="dxa" w:w="2000"/>
            <w:shd w:fill="F2F2F2" w:val="clear"/>
            <w:tcMar>
              <w:top w:type="dxa" w:w="80"/>
              <w:left w:type="dxa" w:w="100"/>
              <w:bottom w:type="dxa" w:w="80"/>
              <w:right w:type="dxa" w:w="100"/>
            </w:tcMar>
            <w:vAlign w:val="center"/>
          </w:tcPr>
          <w:p>
            <w:r>
              <w:rPr>
                <w:b/>
                <w:bCs/>
                <w:color w:val="1A1A1A"/>
                <w:sz w:val="19"/>
                <w:szCs w:val="19"/>
              </w:rPr>
              <w:t xml:space="preserve">Fase 2
2027 – 2028</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Construir la infraestructura habilitante</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Estudio de factibilidad de fundición-refinería nacional · Ampliación de capacidad portuaria en el Caribe (Barranquilla, Santa Marta, Cartagena) para concentrado y cátodo · Conexión eléctrica y vial de los corredores mineros de Antioquia, Cesar, La Guajira y Tolima · Primeros desembolsos DFC/EXIM/IFC</w:t>
            </w:r>
          </w:p>
        </w:tc>
      </w:tr>
      <w:tr>
        <w:tc>
          <w:tcPr>
            <w:tcW w:type="dxa" w:w="2000"/>
            <w:tcMar>
              <w:top w:type="dxa" w:w="80"/>
              <w:left w:type="dxa" w:w="100"/>
              <w:bottom w:type="dxa" w:w="80"/>
              <w:right w:type="dxa" w:w="100"/>
            </w:tcMar>
            <w:vAlign w:val="center"/>
          </w:tcPr>
          <w:p>
            <w:r>
              <w:rPr>
                <w:b/>
                <w:bCs/>
                <w:color w:val="1A1A1A"/>
                <w:sz w:val="19"/>
                <w:szCs w:val="19"/>
              </w:rPr>
              <w:t xml:space="preserve">Fase 3
2028 – 2029</w:t>
            </w:r>
          </w:p>
        </w:tc>
        <w:tc>
          <w:tcPr>
            <w:tcW w:type="dxa" w:w="2000"/>
            <w:tcMar>
              <w:top w:type="dxa" w:w="80"/>
              <w:left w:type="dxa" w:w="100"/>
              <w:bottom w:type="dxa" w:w="80"/>
              <w:right w:type="dxa" w:w="100"/>
            </w:tcMar>
            <w:vAlign w:val="center"/>
          </w:tcPr>
          <w:p>
            <w:r>
              <w:rPr>
                <w:b w:val="false"/>
                <w:bCs w:val="false"/>
                <w:color w:val="1A1A1A"/>
                <w:sz w:val="19"/>
                <w:szCs w:val="19"/>
              </w:rPr>
              <w:t xml:space="preserve">Entrada en producción y primeros embarques</w:t>
            </w:r>
          </w:p>
        </w:tc>
        <w:tc>
          <w:tcPr>
            <w:tcW w:type="dxa" w:w="2000"/>
            <w:tcMar>
              <w:top w:type="dxa" w:w="80"/>
              <w:left w:type="dxa" w:w="100"/>
              <w:bottom w:type="dxa" w:w="80"/>
              <w:right w:type="dxa" w:w="100"/>
            </w:tcMar>
            <w:vAlign w:val="center"/>
          </w:tcPr>
          <w:p>
            <w:r>
              <w:rPr>
                <w:b w:val="false"/>
                <w:bCs w:val="false"/>
                <w:color w:val="1A1A1A"/>
                <w:sz w:val="19"/>
                <w:szCs w:val="19"/>
              </w:rPr>
              <w:t xml:space="preserve">2–3 proyectos nuevos en producción comercial · Primeros embarques de cátodo bajo el marco de minerales críticos · Piloto de fundición en construcción · Auditoría ESG independiente (Copper Mark / IRMA) en el 100% de operaciones a gran escala</w:t>
            </w:r>
          </w:p>
        </w:tc>
      </w:tr>
      <w:tr>
        <w:tc>
          <w:tcPr>
            <w:tcW w:type="dxa" w:w="2000"/>
            <w:shd w:fill="F2F2F2" w:val="clear"/>
            <w:tcMar>
              <w:top w:type="dxa" w:w="80"/>
              <w:left w:type="dxa" w:w="100"/>
              <w:bottom w:type="dxa" w:w="80"/>
              <w:right w:type="dxa" w:w="100"/>
            </w:tcMar>
            <w:vAlign w:val="center"/>
          </w:tcPr>
          <w:p>
            <w:r>
              <w:rPr>
                <w:b/>
                <w:bCs/>
                <w:color w:val="1A1A1A"/>
                <w:sz w:val="19"/>
                <w:szCs w:val="19"/>
              </w:rPr>
              <w:t xml:space="preserve">Fase 4
2029 – 2030</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Consolidar y explorar la siguiente frontera</w:t>
            </w:r>
          </w:p>
        </w:tc>
        <w:tc>
          <w:tcPr>
            <w:tcW w:type="dxa" w:w="2000"/>
            <w:shd w:fill="F2F2F2" w:val="clear"/>
            <w:tcMar>
              <w:top w:type="dxa" w:w="80"/>
              <w:left w:type="dxa" w:w="100"/>
              <w:bottom w:type="dxa" w:w="80"/>
              <w:right w:type="dxa" w:w="100"/>
            </w:tcMar>
            <w:vAlign w:val="center"/>
          </w:tcPr>
          <w:p>
            <w:r>
              <w:rPr>
                <w:b w:val="false"/>
                <w:bCs w:val="false"/>
                <w:color w:val="1A1A1A"/>
                <w:sz w:val="19"/>
                <w:szCs w:val="19"/>
              </w:rPr>
              <w:t xml:space="preserve">Evaluación integral de metas 2030 · Exploración formal de níquel, grafito y tierras raras asociadas · Balance de regalías reinvertidas en comunidades · Diseño del siguiente ciclo de política minera para el periodo 2030–2034</w:t>
            </w:r>
          </w:p>
        </w:tc>
      </w:tr>
    </w:tbl>
    <w:p>
      <w:pPr>
        <w:pStyle w:val="Heading1"/>
        <w:pBdr>
          <w:bottom w:val="single" w:color="B5651D" w:sz="12" w:space="4"/>
        </w:pBdr>
        <w:spacing w:after="200" w:before="400"/>
      </w:pPr>
      <w:r>
        <w:rPr>
          <w:b/>
          <w:bCs/>
          <w:color w:val="1F3864"/>
          <w:sz w:val="30"/>
          <w:szCs w:val="30"/>
        </w:rPr>
        <w:t xml:space="preserve">13. Riesgos y señales de alerta temprana</w:t>
      </w:r>
    </w:p>
    <w:p>
      <w:pPr>
        <w:pStyle w:val="ListParagraph"/>
        <w:numPr>
          <w:ilvl w:val="0"/>
          <w:numId w:val="2"/>
        </w:numPr>
        <w:spacing w:after="90"/>
      </w:pPr>
      <w:r>
        <w:rPr>
          <w:sz w:val="21"/>
          <w:szCs w:val="21"/>
        </w:rPr>
        <w:t xml:space="preserve">Riesgo regulatorio: nuevas declaratorias de zonas de reserva o protección después de otorgada la exploración (patrón ya visto con la Resolución 855 de 2025 sobre Quebradona). Señal de alerta: cualquier resolución ambiental que se emita sin coordinación previa con la ANM sobre áreas ya concesionadas.</w:t>
      </w:r>
    </w:p>
    <w:p>
      <w:pPr>
        <w:pStyle w:val="ListParagraph"/>
        <w:numPr>
          <w:ilvl w:val="0"/>
          <w:numId w:val="2"/>
        </w:numPr>
        <w:spacing w:after="90"/>
      </w:pPr>
      <w:r>
        <w:rPr>
          <w:sz w:val="21"/>
          <w:szCs w:val="21"/>
        </w:rPr>
        <w:t xml:space="preserve">Riesgo social: ausencia o debilidad de consulta previa real. Señal de alerta: oposición comunitaria organizada después de la adjudicación, no antes.</w:t>
      </w:r>
    </w:p>
    <w:p>
      <w:pPr>
        <w:pStyle w:val="ListParagraph"/>
        <w:numPr>
          <w:ilvl w:val="0"/>
          <w:numId w:val="2"/>
        </w:numPr>
        <w:spacing w:after="90"/>
      </w:pPr>
      <w:r>
        <w:rPr>
          <w:sz w:val="21"/>
          <w:szCs w:val="21"/>
        </w:rPr>
        <w:t xml:space="preserve">Riesgo de concentración de comprador: depender de un solo mercado de destino (EE. UU.) sin diversificar hacia otros compradores de cobre y minerales críticos. Señal de alerta: más del 80% de las exportaciones de cobre colombiano dirigidas a un solo país hacia 2030.</w:t>
      </w:r>
    </w:p>
    <w:p>
      <w:pPr>
        <w:pStyle w:val="ListParagraph"/>
        <w:numPr>
          <w:ilvl w:val="0"/>
          <w:numId w:val="2"/>
        </w:numPr>
        <w:spacing w:after="90"/>
      </w:pPr>
      <w:r>
        <w:rPr>
          <w:sz w:val="21"/>
          <w:szCs w:val="21"/>
        </w:rPr>
        <w:t xml:space="preserve">Riesgo ambiental: repetición de los patrones de Brasil o Perú por presión de tiempos de producción sobre el diseño de relaves. Señal de alerta: cualquier autorización de represa de relaves húmeda tradicional sin justificación técnica documentada frente a alternativas de pasta o filtrado.</w:t>
      </w:r>
    </w:p>
    <w:p>
      <w:pPr>
        <w:pStyle w:val="ListParagraph"/>
        <w:numPr>
          <w:ilvl w:val="0"/>
          <w:numId w:val="2"/>
        </w:numPr>
        <w:spacing w:after="90"/>
      </w:pPr>
      <w:r>
        <w:rPr>
          <w:sz w:val="21"/>
          <w:szCs w:val="21"/>
        </w:rPr>
        <w:t xml:space="preserve">Riesgo de precio: aunque el consenso apunta a precios sostenidos por el déficit estructural, una desaceleración abrupta de la demanda de IA o una sobre-oferta inesperada podría comprimir los márgenes de los nuevos proyectos. Señal de alerta: caída del precio del cobre por debajo de USD 8.000/t sostenida por más de dos trimestres.</w:t>
      </w:r>
    </w:p>
    <w:p>
      <w:pPr>
        <w:pStyle w:val="Heading1"/>
        <w:pBdr>
          <w:bottom w:val="single" w:color="B5651D" w:sz="12" w:space="4"/>
        </w:pBdr>
        <w:spacing w:after="200" w:before="400"/>
      </w:pPr>
      <w:r>
        <w:rPr>
          <w:b/>
          <w:bCs/>
          <w:color w:val="1F3864"/>
          <w:sz w:val="30"/>
          <w:szCs w:val="30"/>
        </w:rPr>
        <w:t xml:space="preserve">14. Conclusiones y llamado a la acción</w:t>
      </w:r>
    </w:p>
    <w:p>
      <w:pPr>
        <w:spacing w:after="160" w:line="276"/>
        <w:jc w:val="both"/>
      </w:pPr>
      <w:r>
        <w:rPr>
          <w:b w:val="false"/>
          <w:bCs w:val="false"/>
          <w:i w:val="false"/>
          <w:iCs w:val="false"/>
          <w:color w:val="1A1A1A"/>
          <w:sz w:val="21"/>
          <w:szCs w:val="21"/>
        </w:rPr>
        <w:t xml:space="preserve">Colombia tiene, por primera vez en dos décadas, una convergencia simultánea de tres factores que rara vez coinciden: un gobierno con voluntad política explícita de impulsar la minería, un marco bilateral firmado con Estados Unidos que compromete financiamiento conjunto con fecha límite (marzo de 2027), y un mercado global del cobre en déficit estructural con precios sostenidos. Ninguno de estos tres factores es permanente: el plazo de seis meses del marco bilateral vence en pocos meses, la ventana de inversión global en minerales críticos está siendo disputada activamente por Perú, Chile y otros países, y la voluntad política de un gobierno tiene, por definición, un horizonte de cuatro años.</w:t>
      </w:r>
    </w:p>
    <w:p>
      <w:pPr>
        <w:spacing w:after="160" w:line="276"/>
        <w:jc w:val="both"/>
      </w:pPr>
      <w:r>
        <w:rPr>
          <w:b w:val="false"/>
          <w:bCs w:val="false"/>
          <w:i w:val="false"/>
          <w:iCs w:val="false"/>
          <w:color w:val="1A1A1A"/>
          <w:sz w:val="21"/>
          <w:szCs w:val="21"/>
        </w:rPr>
        <w:t xml:space="preserve">La recomendación central de este documento es actuar sobre las secciones 2 y 6 —resolver la incertidumbre regulatoria y arrancar la infraestructura habilitante— dentro de los próximos doce meses, exigiendo desde el primer contrato las salvaguardas de la sección 4 y 10, para que el crecimiento del sector cuprífero colombiano sea, al mismo tiempo, rápido, medible con las métricas de la sección 11, y —a diferencia de Brumadinho, Mariana o Cerro de Pasco— seguro para las personas y estable para el ecosistema en el que se produce.</w:t>
      </w:r>
    </w:p>
    <w:p>
      <w:r>
        <w:br w:type="page"/>
      </w:r>
    </w:p>
    <w:p>
      <w:pPr>
        <w:pStyle w:val="Heading1"/>
        <w:pBdr>
          <w:bottom w:val="single" w:color="B5651D" w:sz="12" w:space="4"/>
        </w:pBdr>
        <w:spacing w:after="200" w:before="400"/>
      </w:pPr>
      <w:r>
        <w:rPr>
          <w:b/>
          <w:bCs/>
          <w:color w:val="1F3864"/>
          <w:sz w:val="30"/>
          <w:szCs w:val="30"/>
        </w:rPr>
        <w:t xml:space="preserve">15. Fuentes consultadas</w:t>
      </w:r>
    </w:p>
    <w:p>
      <w:pPr>
        <w:spacing w:after="60"/>
      </w:pPr>
      <w:r>
        <w:rPr>
          <w:i/>
          <w:iCs/>
          <w:color w:val="595959"/>
          <w:sz w:val="17"/>
          <w:szCs w:val="17"/>
        </w:rPr>
        <w:t xml:space="preserve">• Infobae — Posesión de Abelardo de la Espriella (agosto 2026): https://www.infobae.com/colombia/2026/08/06/posesion-de-abelardo-de-la-espriella-en-vivo-gobierno-electo-aclara-polemica-por-la-invitacion-de-11-paises-europeos/</w:t>
      </w:r>
    </w:p>
    <w:p>
      <w:pPr>
        <w:spacing w:after="60"/>
      </w:pPr>
      <w:r>
        <w:rPr>
          <w:i/>
          <w:iCs/>
          <w:color w:val="595959"/>
          <w:sz w:val="17"/>
          <w:szCs w:val="17"/>
        </w:rPr>
        <w:t xml:space="preserve">• Wikipedia — 2026 Colombian presidential election: https://en.wikipedia.org/wiki/2026_Colombian_presidential_election</w:t>
      </w:r>
    </w:p>
    <w:p>
      <w:pPr>
        <w:spacing w:after="60"/>
      </w:pPr>
      <w:r>
        <w:rPr>
          <w:i/>
          <w:iCs/>
          <w:color w:val="595959"/>
          <w:sz w:val="17"/>
          <w:szCs w:val="17"/>
        </w:rPr>
        <w:t xml:space="preserve">• ABC7 — Abelardo De la Espriella jura como presidente de Colombia: https://abc7.com/post/conservador-abelardo-de-la-espriella-jura-como-presidente-colombia-promete-combatir-a-grupos-ilegales/19652800/</w:t>
      </w:r>
    </w:p>
    <w:p>
      <w:pPr>
        <w:spacing w:after="60"/>
      </w:pPr>
      <w:r>
        <w:rPr>
          <w:i/>
          <w:iCs/>
          <w:color w:val="595959"/>
          <w:sz w:val="17"/>
          <w:szCs w:val="17"/>
        </w:rPr>
        <w:t xml:space="preserve">• GlobalSecurity.org — Secretary Rubio and Colombian Foreign Minister Bula sign arrangements on critical minerals (sep-2026): https://www.globalsecurity.org/military/library/news/2026/09/mil-260908-state02.htm</w:t>
      </w:r>
    </w:p>
    <w:p>
      <w:pPr>
        <w:spacing w:after="60"/>
      </w:pPr>
      <w:r>
        <w:rPr>
          <w:i/>
          <w:iCs/>
          <w:color w:val="595959"/>
          <w:sz w:val="17"/>
          <w:szCs w:val="17"/>
        </w:rPr>
        <w:t xml:space="preserve">• Mining.com.au — US, Colombia sign critical minerals framework: https://mining.com.au/us-colombia-sign-critical-minerals-framework/</w:t>
      </w:r>
    </w:p>
    <w:p>
      <w:pPr>
        <w:spacing w:after="60"/>
      </w:pPr>
      <w:r>
        <w:rPr>
          <w:i/>
          <w:iCs/>
          <w:color w:val="595959"/>
          <w:sz w:val="17"/>
          <w:szCs w:val="17"/>
        </w:rPr>
        <w:t xml:space="preserve">• Trade.gov — Colombia Critical Minerals Mining Opportunities: https://www.trade.gov/market-intelligence/colombia-critical-minerals-mining-opportunities</w:t>
      </w:r>
    </w:p>
    <w:p>
      <w:pPr>
        <w:spacing w:after="60"/>
      </w:pPr>
      <w:r>
        <w:rPr>
          <w:i/>
          <w:iCs/>
          <w:color w:val="595959"/>
          <w:sz w:val="17"/>
          <w:szCs w:val="17"/>
        </w:rPr>
        <w:t xml:space="preserve">• El Colombiano — ANM prorroga exploración Quebradona AngloGold Ashanti: https://www.elcolombiano.com/negocios/anm-prorroga-exploracion-quebradona-anglogold-ashanti-cobre-LF40108276</w:t>
      </w:r>
    </w:p>
    <w:p>
      <w:pPr>
        <w:spacing w:after="60"/>
      </w:pPr>
      <w:r>
        <w:rPr>
          <w:i/>
          <w:iCs/>
          <w:color w:val="595959"/>
          <w:sz w:val="17"/>
          <w:szCs w:val="17"/>
        </w:rPr>
        <w:t xml:space="preserve">• Reporte Minero (Chile) — Colombia frena avance de Quebradona: https://www.reporteminero.cl/noticia/noticias/2025/10/colombia-anglogold-proyecto-quebradona-anm</w:t>
      </w:r>
    </w:p>
    <w:p>
      <w:pPr>
        <w:spacing w:after="60"/>
      </w:pPr>
      <w:r>
        <w:rPr>
          <w:i/>
          <w:iCs/>
          <w:color w:val="595959"/>
          <w:sz w:val="17"/>
          <w:szCs w:val="17"/>
        </w:rPr>
        <w:t xml:space="preserve">• AngloGold Ashanti — Greenfields projects, Colombia: https://www.anglogoldashanti.com/portfolio/americas/colombia/</w:t>
      </w:r>
    </w:p>
    <w:p>
      <w:pPr>
        <w:spacing w:after="60"/>
      </w:pPr>
      <w:r>
        <w:rPr>
          <w:i/>
          <w:iCs/>
          <w:color w:val="595959"/>
          <w:sz w:val="17"/>
          <w:szCs w:val="17"/>
        </w:rPr>
        <w:t xml:space="preserve">• ANM — Ronda minera con 14 Áreas Estratégicas: https://www.anm.gov.co/gobierno-nacional-abre-ronda-minera-con-14-areas-estrategicas-para-impulsar-la-transicion</w:t>
      </w:r>
    </w:p>
    <w:p>
      <w:pPr>
        <w:spacing w:after="60"/>
      </w:pPr>
      <w:r>
        <w:rPr>
          <w:i/>
          <w:iCs/>
          <w:color w:val="595959"/>
          <w:sz w:val="17"/>
          <w:szCs w:val="17"/>
        </w:rPr>
        <w:t xml:space="preserve">• Rumbo Minero — Colombia lanza ronda minera para cobre, oro y polimetálicos: https://www.rumbominero.com/colombia/colombia-lanza-ronda-minera-para-proyectos-de-oro-cobre/</w:t>
      </w:r>
    </w:p>
    <w:p>
      <w:pPr>
        <w:spacing w:after="60"/>
      </w:pPr>
      <w:r>
        <w:rPr>
          <w:i/>
          <w:iCs/>
          <w:color w:val="595959"/>
          <w:sz w:val="17"/>
          <w:szCs w:val="17"/>
        </w:rPr>
        <w:t xml:space="preserve">• ANM — Ronda minera Cobre: https://www.anm.gov.co/ronda-minera-cobre</w:t>
      </w:r>
    </w:p>
    <w:p>
      <w:pPr>
        <w:spacing w:after="60"/>
      </w:pPr>
      <w:r>
        <w:rPr>
          <w:i/>
          <w:iCs/>
          <w:color w:val="595959"/>
          <w:sz w:val="17"/>
          <w:szCs w:val="17"/>
        </w:rPr>
        <w:t xml:space="preserve">• DFC — dfc.gov (estrategia y comunicados de prensa): https://www.dfc.gov/</w:t>
      </w:r>
    </w:p>
    <w:p>
      <w:pPr>
        <w:spacing w:after="60"/>
      </w:pPr>
      <w:r>
        <w:rPr>
          <w:i/>
          <w:iCs/>
          <w:color w:val="595959"/>
          <w:sz w:val="17"/>
          <w:szCs w:val="17"/>
        </w:rPr>
        <w:t xml:space="preserve">• InvestorNews — Follow the Money: U.S. Government Funding for Critical Minerals Companies (2023–2026): https://investornews.com/market-opinion/follow-the-money-u-s-government-funding-for-critical-minerals-companies-2023-2026/</w:t>
      </w:r>
    </w:p>
    <w:p>
      <w:pPr>
        <w:spacing w:after="60"/>
      </w:pPr>
      <w:r>
        <w:rPr>
          <w:i/>
          <w:iCs/>
          <w:color w:val="595959"/>
          <w:sz w:val="17"/>
          <w:szCs w:val="17"/>
        </w:rPr>
        <w:t xml:space="preserve">• CNBC — Why Nvidia's AI boom needs Dutch chip equipment maker ASML: https://www.cnbc.com/2026/01/29/-ai-boom-nvidia-asml-dutch-chip-equipment-maker-lithography-.html</w:t>
      </w:r>
    </w:p>
    <w:p>
      <w:pPr>
        <w:spacing w:after="60"/>
      </w:pPr>
      <w:r>
        <w:rPr>
          <w:i/>
          <w:iCs/>
          <w:color w:val="595959"/>
          <w:sz w:val="17"/>
          <w:szCs w:val="17"/>
        </w:rPr>
        <w:t xml:space="preserve">• ASML — EUV lithography systems: https://www.asml.com/en/products/euv-lithography-systems</w:t>
      </w:r>
    </w:p>
    <w:p>
      <w:pPr>
        <w:spacing w:after="60"/>
      </w:pPr>
      <w:r>
        <w:rPr>
          <w:i/>
          <w:iCs/>
          <w:color w:val="595959"/>
          <w:sz w:val="17"/>
          <w:szCs w:val="17"/>
        </w:rPr>
        <w:t xml:space="preserve">• The HDS Mit University Herald — ASML High-NA EUV en Veldhoven (ago-2026): https://www.thehdsmituniversalherald.co.in/2026/08/netherlands-technology-asml-deploys.html</w:t>
      </w:r>
    </w:p>
    <w:p>
      <w:pPr>
        <w:spacing w:after="60"/>
      </w:pPr>
      <w:r>
        <w:rPr>
          <w:i/>
          <w:iCs/>
          <w:color w:val="595959"/>
          <w:sz w:val="17"/>
          <w:szCs w:val="17"/>
        </w:rPr>
        <w:t xml:space="preserve">• Yahoo Finance / Zacks — TSMC advanced packaging push: https://finance.yahoo.com/sectors/technology/articles/tsms-advanced-packaging-push-unlock-133200784.html</w:t>
      </w:r>
    </w:p>
    <w:p>
      <w:pPr>
        <w:spacing w:after="60"/>
      </w:pPr>
      <w:r>
        <w:rPr>
          <w:i/>
          <w:iCs/>
          <w:color w:val="595959"/>
          <w:sz w:val="17"/>
          <w:szCs w:val="17"/>
        </w:rPr>
        <w:t xml:space="preserve">• Exponential Industry — TSMC CoWoS &amp; SoIC: The AI Supply Bottleneck: https://exponentialindustry.com/blog/2026-08-10-tsmc-cowos-soic-ai-advanced-packaging-bottleneck/</w:t>
      </w:r>
    </w:p>
    <w:p>
      <w:pPr>
        <w:spacing w:after="60"/>
      </w:pPr>
      <w:r>
        <w:rPr>
          <w:i/>
          <w:iCs/>
          <w:color w:val="595959"/>
          <w:sz w:val="17"/>
          <w:szCs w:val="17"/>
        </w:rPr>
        <w:t xml:space="preserve">• BigGo Finance — TSMC's equipment demand surges 90%: https://finance.biggo.com/news/4ddf34c2-ffa8-4c6c-b885-494b082dc711</w:t>
      </w:r>
    </w:p>
    <w:p>
      <w:pPr>
        <w:spacing w:after="60"/>
      </w:pPr>
      <w:r>
        <w:rPr>
          <w:i/>
          <w:iCs/>
          <w:color w:val="595959"/>
          <w:sz w:val="17"/>
          <w:szCs w:val="17"/>
        </w:rPr>
        <w:t xml:space="preserve">• Andersen Institute — China's Export Controls: Critical Minerals and Strategic Pressure Points: https://anderseninstitute.org/chinas-export-control-architecture-and-its-use-of-critical-minerals-as-strategic-pressure-points/</w:t>
      </w:r>
    </w:p>
    <w:p>
      <w:pPr>
        <w:spacing w:after="60"/>
      </w:pPr>
      <w:r>
        <w:rPr>
          <w:i/>
          <w:iCs/>
          <w:color w:val="595959"/>
          <w:sz w:val="17"/>
          <w:szCs w:val="17"/>
        </w:rPr>
        <w:t xml:space="preserve">• Discovery Alert — China's Rare Earth Export Controls: What's at Stake in 2026: https://discoveryalert.com/china-rare-earth-export-controls-critical-minerals-trade-2026/</w:t>
      </w:r>
    </w:p>
    <w:p>
      <w:pPr>
        <w:spacing w:after="60"/>
      </w:pPr>
      <w:r>
        <w:rPr>
          <w:i/>
          <w:iCs/>
          <w:color w:val="595959"/>
          <w:sz w:val="17"/>
          <w:szCs w:val="17"/>
        </w:rPr>
        <w:t xml:space="preserve">• Rare Earth Exchanges — China's 2026 Export Controls Redraw the Global Supply Chain Map: https://rareearthexchanges.com/news/chinas-2026-export-controls-redraw-the-global-supply-chain-map/</w:t>
      </w:r>
    </w:p>
    <w:p>
      <w:pPr>
        <w:spacing w:after="60"/>
      </w:pPr>
      <w:r>
        <w:rPr>
          <w:i/>
          <w:iCs/>
          <w:color w:val="595959"/>
          <w:sz w:val="17"/>
          <w:szCs w:val="17"/>
        </w:rPr>
        <w:t xml:space="preserve">• Carbon Credits — Data Centers' Copper Hunger: How AI Is Driving a Looming Supply Crunch: https://carboncredits.com/data-centers-copper-hunger-how-ai-is-driving-a-looming-supply-crunch/</w:t>
      </w:r>
    </w:p>
    <w:p>
      <w:pPr>
        <w:spacing w:after="60"/>
      </w:pPr>
      <w:r>
        <w:rPr>
          <w:i/>
          <w:iCs/>
          <w:color w:val="595959"/>
          <w:sz w:val="17"/>
          <w:szCs w:val="17"/>
        </w:rPr>
        <w:t xml:space="preserve">• US Funds — AI Data Centers Could Consume Half a Million Tons of Copper Annually by 2030: https://www.usfunds.com/resource/ai-data-centers-could-consume-half-a-million-tons-of-copper-annually-by-2030/</w:t>
      </w:r>
    </w:p>
    <w:p>
      <w:pPr>
        <w:spacing w:after="60"/>
      </w:pPr>
      <w:r>
        <w:rPr>
          <w:i/>
          <w:iCs/>
          <w:color w:val="595959"/>
          <w:sz w:val="17"/>
          <w:szCs w:val="17"/>
        </w:rPr>
        <w:t xml:space="preserve">• S&amp;P Global — Copper in the Age of AI (enero 2026): https://www.spglobal.com/content/dam/spglobal/global-assets/en/special-reports/copper-in-the-age-of-ai/Copper%20in%20the%20Age%20of%20AI_Full%20Report_January%202026.pdf</w:t>
      </w:r>
    </w:p>
    <w:p>
      <w:pPr>
        <w:spacing w:after="60"/>
      </w:pPr>
      <w:r>
        <w:rPr>
          <w:i/>
          <w:iCs/>
          <w:color w:val="595959"/>
          <w:sz w:val="17"/>
          <w:szCs w:val="17"/>
        </w:rPr>
        <w:t xml:space="preserve">• Enline Energy — Why the AI Data Center Boom Is the Biggest Grid Story of 2026: https://enline.energy/articles/ai-data-center-grid-capacity-2026</w:t>
      </w:r>
    </w:p>
    <w:p>
      <w:pPr>
        <w:spacing w:after="60"/>
      </w:pPr>
      <w:r>
        <w:rPr>
          <w:i/>
          <w:iCs/>
          <w:color w:val="595959"/>
          <w:sz w:val="17"/>
          <w:szCs w:val="17"/>
        </w:rPr>
        <w:t xml:space="preserve">• Just2Trade — Copper Price Forecast 2026–2030: https://j2t.com/solutions/blogview/copper-price-forecast/</w:t>
      </w:r>
    </w:p>
    <w:p>
      <w:pPr>
        <w:spacing w:after="60"/>
      </w:pPr>
      <w:r>
        <w:rPr>
          <w:i/>
          <w:iCs/>
          <w:color w:val="595959"/>
          <w:sz w:val="17"/>
          <w:szCs w:val="17"/>
        </w:rPr>
        <w:t xml:space="preserve">• Wood Mackenzie — Soaring copper demand an obstacle to future growth: https://www.woodmac.com/horizons/soaring-copper-demand-obstacle-to-future-growth/</w:t>
      </w:r>
    </w:p>
    <w:p>
      <w:pPr>
        <w:spacing w:after="60"/>
      </w:pPr>
      <w:r>
        <w:rPr>
          <w:i/>
          <w:iCs/>
          <w:color w:val="595959"/>
          <w:sz w:val="17"/>
          <w:szCs w:val="17"/>
        </w:rPr>
        <w:t xml:space="preserve">• The Conversation — Brumadinho dam collapse: mining industry needs radical change: https://theconversation.com/brumadinho-dam-collapse-mining-industry-needs-radical-change-to-avoid-future-disasters-112808</w:t>
      </w:r>
    </w:p>
    <w:p>
      <w:pPr>
        <w:spacing w:after="60"/>
      </w:pPr>
      <w:r>
        <w:rPr>
          <w:i/>
          <w:iCs/>
          <w:color w:val="595959"/>
          <w:sz w:val="17"/>
          <w:szCs w:val="17"/>
        </w:rPr>
        <w:t xml:space="preserve">• Mongabay — Scientists now know how the Brumadinho dam disaster happened: https://news.mongabay.com/2024/02/scientists-now-know-how-the-brumadinho-dam-disaster-happened-and-the-lessons-to-learn/</w:t>
      </w:r>
    </w:p>
    <w:p>
      <w:pPr>
        <w:spacing w:after="60"/>
      </w:pPr>
      <w:r>
        <w:rPr>
          <w:i/>
          <w:iCs/>
          <w:color w:val="595959"/>
          <w:sz w:val="17"/>
          <w:szCs w:val="17"/>
        </w:rPr>
        <w:t xml:space="preserve">• MiningWatch Canada — What Do Mine Tailings Dam Disasters Teach Us?: https://miningwatch.ca/blog/2020/11/5/what-do-mine-tailings-dam-disasters-teach-us</w:t>
      </w:r>
    </w:p>
    <w:p>
      <w:pPr>
        <w:spacing w:after="60"/>
      </w:pPr>
      <w:r>
        <w:rPr>
          <w:i/>
          <w:iCs/>
          <w:color w:val="595959"/>
          <w:sz w:val="17"/>
          <w:szCs w:val="17"/>
        </w:rPr>
        <w:t xml:space="preserve">• Mongabay — Lawsuit demands accountability for Cerro de Pasco mining pollution (2026): https://news.mongabay.com/2026/06/lawsuit-demands-accountability-for-cerro-de-pasco-mining-pollution-in-peru/</w:t>
      </w:r>
    </w:p>
    <w:p>
      <w:pPr>
        <w:spacing w:after="60"/>
      </w:pPr>
      <w:r>
        <w:rPr>
          <w:i/>
          <w:iCs/>
          <w:color w:val="595959"/>
          <w:sz w:val="17"/>
          <w:szCs w:val="17"/>
        </w:rPr>
        <w:t xml:space="preserve">• Peru Support Group — IACHR finds Peru guilty of failing to control pollution at La Oroya (2024): https://perusupportgroup.org.uk/2024/03/iachr-finds-peru-guilty-of-failing-to-control-pollution-at-la-oroya/</w:t>
      </w:r>
    </w:p>
    <w:p>
      <w:pPr>
        <w:spacing w:after="60"/>
      </w:pPr>
      <w:r>
        <w:rPr>
          <w:i/>
          <w:iCs/>
          <w:color w:val="595959"/>
          <w:sz w:val="17"/>
          <w:szCs w:val="17"/>
        </w:rPr>
        <w:t xml:space="preserve">• AIDA — Protecting the health of La Oroya's residents from toxic pollution: https://aida-americas.org/en/protecting-health-la-oroyas-residents-toxic-pollution</w:t>
      </w:r>
    </w:p>
    <w:p>
      <w:pPr>
        <w:spacing w:before="300"/>
      </w:pPr>
      <w:r>
        <w:rPr>
          <w:i/>
          <w:iCs/>
          <w:color w:val="595959"/>
          <w:sz w:val="18"/>
          <w:szCs w:val="18"/>
        </w:rPr>
        <w:t xml:space="preserve">Nota metodológica: las cifras de inversión movilizable de la sección 9 y las metas intermedias de la sección 11 son estimaciones razonadas construidas por extrapolación de los datos de proyectos individuales citados en las fuentes anteriores; no constituyen cifras oficiales del Gobierno de Colombia ni de la ANM, y deben validarse con esas entidades antes de circular el documento como posición oficial.</w:t>
      </w:r>
    </w:p>
    <w:sectPr>
      <w:headerReference w:type="default" r:id="rId7"/>
      <w:footerReference w:type="default" r:id="rId8"/>
      <w:pgSz w:w="12240" w:h="15840" w:orient="portrait"/>
      <w:pgMar w:top="1350" w:right="1250" w:bottom="13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Página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Colombia y el Cobre del Futuro · 2026–2030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2026-09-14T21:57:57.778Z</dcterms:created>
  <dcterms:modified xsi:type="dcterms:W3CDTF">2026-09-14T21:57:57.786Z</dcterms:modified>
</cp:coreProperties>
</file>

<file path=docProps/custom.xml><?xml version="1.0" encoding="utf-8"?>
<Properties xmlns="http://schemas.openxmlformats.org/officeDocument/2006/custom-properties" xmlns:vt="http://schemas.openxmlformats.org/officeDocument/2006/docPropsVTypes"/>
</file>