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b/>
          <w:bCs/>
          <w:color w:val="1565C0"/>
          <w:sz w:val="40"/>
          <w:szCs w:val="40"/>
        </w:rPr>
        <w:t xml:space="preserve">PROTOCOLO DE DESARROLLO Y MARCO ÉTICO</w:t>
      </w:r>
    </w:p>
    <w:p>
      <w:pPr>
        <w:spacing w:after="400"/>
        <w:jc w:val="center"/>
      </w:pPr>
      <w:r>
        <w:rPr>
          <w:b/>
          <w:bCs/>
          <w:color w:val="C62828"/>
          <w:sz w:val="32"/>
          <w:szCs w:val="32"/>
        </w:rPr>
        <w:t xml:space="preserve">ESCUDO ANTI-ESTAFAS</w:t>
      </w:r>
    </w:p>
    <w:p>
      <w:pPr>
        <w:spacing w:after="1200"/>
        <w:jc w:val="center"/>
      </w:pPr>
      <w:r>
        <w:rPr>
          <w:i/>
          <w:iCs/>
          <w:color w:val="555555"/>
          <w:sz w:val="24"/>
          <w:szCs w:val="24"/>
        </w:rPr>
        <w:t xml:space="preserve">Sistema de detección y prevención de fraude telefónico por ingeniería social — WhatsApp, banca digital y suplantación de entidades en Colombia</w:t>
      </w:r>
    </w:p>
    <w:p>
      <w:pPr>
        <w:spacing w:after="100"/>
        <w:jc w:val="center"/>
      </w:pPr>
      <w:r>
        <w:rPr>
          <w:b/>
          <w:bCs/>
          <w:sz w:val="22"/>
          <w:szCs w:val="22"/>
        </w:rPr>
        <w:t xml:space="preserve">Documento preparado para revisión de comité de ética institucional</w:t>
      </w:r>
    </w:p>
    <w:p>
      <w:pPr>
        <w:spacing w:after="40"/>
        <w:jc w:val="center"/>
      </w:pPr>
      <w:r>
        <w:rPr>
          <w:sz w:val="22"/>
          <w:szCs w:val="22"/>
        </w:rPr>
        <w:t xml:space="preserve">Barranquilla, Atlántico — Colombia</w:t>
      </w:r>
    </w:p>
    <w:p>
      <w:pPr>
        <w:spacing w:after="40"/>
        <w:jc w:val="center"/>
      </w:pPr>
      <w:r>
        <w:rPr>
          <w:sz w:val="22"/>
          <w:szCs w:val="22"/>
        </w:rPr>
        <w:t xml:space="preserve">11 de julio de 2026</w:t>
      </w:r>
    </w:p>
    <w:p>
      <w:pPr>
        <w:jc w:val="center"/>
      </w:pPr>
      <w:r>
        <w:rPr>
          <w:color w:val="555555"/>
          <w:sz w:val="20"/>
          <w:szCs w:val="20"/>
        </w:rPr>
        <w:t xml:space="preserve">Versión 1.0</w:t>
      </w:r>
    </w:p>
    <w:p>
      <w:pPr>
        <w:sectPr>
          <w:pgSz w:w="12240" w:h="15840" w:orient="portrait"/>
          <w:pgMar w:top="1440" w:right="1440" w:bottom="1440" w:left="1440" w:header="708" w:footer="708" w:gutter="0"/>
          <w:pgNumType/>
          <w:docGrid w:linePitch="360"/>
        </w:sectPr>
      </w:pPr>
    </w:p>
    <w:p>
      <w:pPr>
        <w:pStyle w:val="Heading1"/>
        <w:spacing w:after="200" w:before="400"/>
      </w:pPr>
      <w:r>
        <w:t xml:space="preserve">Estatus de este documento</w:t>
      </w:r>
    </w:p>
    <w:p>
      <w:pPr>
        <w:pBdr>
          <w:top w:val="single" w:color="E65100" w:sz="6"/>
          <w:bottom w:val="single" w:color="E65100" w:sz="6"/>
          <w:left w:val="single" w:color="E65100" w:sz="6"/>
          <w:right w:val="single" w:color="E65100" w:sz="6"/>
        </w:pBdr>
        <w:shd w:fill="FFF3E0" w:val="clear"/>
        <w:spacing w:after="400" w:before="200"/>
      </w:pPr>
      <w:r>
        <w:rPr>
          <w:i/>
          <w:iCs/>
          <w:sz w:val="20"/>
          <w:szCs w:val="20"/>
        </w:rPr>
        <w:t xml:space="preserve">IMPORTANTE: Este documento es una declaración de principios y protocolo técnico autodeclarados por el equipo de desarrollo del proyecto. No constituye, por sí mismo, un aval ético institucional ya otorgado por un comité de bioética, comité de ética en investigación o entidad reguladora. Se redactó específicamente para ser sometido a esa revisión externa antes de cualquier distribución pública masiva de la aplicación. Toda referencia a "cumplimiento legal" o "diseño ético" en este texto describe el estado actual de diseño del proyecto, sujeto a validación por un abogado y por el comité correspondiente.</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1. Resumen ejecutivo</w:t>
      </w:r>
    </w:p>
    <w:p>
      <w:pPr>
        <w:spacing w:after="160"/>
        <w:jc w:val="both"/>
      </w:pPr>
      <w:r>
        <w:t xml:space="preserve">Escudo Anti-Estafas es un sistema de protección compuesto por una aplicación Android y un backend de reportes comunitarios, diseñado para detectar y alertar sobre el patrón de fraude telefónico más reportado en Colombia en 2026: el secuestro de cuentas de WhatsApp mediante ingeniería social, en el cual la víctima es inducida por teléfono a compartir el código de verificación (OTP) que llega por SMS.</w:t>
      </w:r>
    </w:p>
    <w:p>
      <w:pPr>
        <w:spacing w:after="160"/>
        <w:jc w:val="both"/>
      </w:pPr>
      <w:r>
        <w:t xml:space="preserve">El proyecto nace de un incidente real: un intento de estafa contra una mujer de 54 años en Colombia, madre del desarrollador principal, mediante una llamada que utilizó la técnica de distracción conocida coloquialmente como "papel y lápiz" para impedir que la víctima leyera la advertencia emergente de WhatsApp.</w:t>
      </w:r>
    </w:p>
    <w:p>
      <w:pPr>
        <w:spacing w:after="160"/>
        <w:jc w:val="both"/>
      </w:pPr>
      <w:r>
        <w:t xml:space="preserve">La innovación técnica central del sistema no requiere escuchar ni analizar el contenido de las llamadas: correlaciona dos señales normales e inofensivas por separado (una llamada telefónica activa y la llegada de un SMS con forma de código de verificación) que, ocurriendo dentro de una ventana de 60 segundos, constituyen la firma técnica exacta del ataque.</w:t>
      </w:r>
    </w:p>
    <w:p>
      <w:pPr>
        <w:spacing w:after="160"/>
        <w:jc w:val="both"/>
      </w:pPr>
      <w:r>
        <w:t xml:space="preserve">Este documento reúne el marco ético, el marco legal, la arquitectura técnica, la metodología de validación en dispositivos reales y la hoja de ruta del proyecto, con el propósito de someterlo a revisión formal antes de cualquier distribución pública.</w:t>
      </w:r>
    </w:p>
    <w:p>
      <w:pPr>
        <w:pStyle w:val="Heading1"/>
        <w:spacing w:after="200" w:before="400"/>
      </w:pPr>
      <w:r>
        <w:t xml:space="preserve">2. Contexto y motivación</w:t>
      </w:r>
    </w:p>
    <w:p>
      <w:pPr>
        <w:pStyle w:val="Heading2"/>
        <w:spacing w:after="150" w:before="300"/>
      </w:pPr>
      <w:r>
        <w:t xml:space="preserve">2.1 El incidente que originó el proyecto</w:t>
      </w:r>
    </w:p>
    <w:p>
      <w:pPr>
        <w:spacing w:after="160"/>
        <w:jc w:val="both"/>
      </w:pPr>
      <w:r>
        <w:t xml:space="preserve">El 11 de julio de 2026, la madre del desarrollador (54 años) recibió múltiples llamadas de un número desconocido cuyo interlocutor, mediante presión psicológica y urgencia artificial, intentó inducirla a compartir el código de verificación de WhatsApp que le había llegado por SMS. El atacante empleó la técnica de pedirle "papel y lápiz" para anotar información — una instrucción que en realidad busca que la víctima aparte la mirada de la pantalla justo cuando aparece la advertencia del sistema. La víctima no completó la acción, pero el intento evidenció cuán cerca estuvo de tener éxito.</w:t>
      </w:r>
    </w:p>
    <w:p>
      <w:pPr>
        <w:pStyle w:val="Heading2"/>
        <w:spacing w:after="150" w:before="300"/>
      </w:pPr>
      <w:r>
        <w:t xml:space="preserve">2.2 Escala del problema</w:t>
      </w:r>
    </w:p>
    <w:p>
      <w:pPr>
        <w:spacing w:after="160"/>
        <w:jc w:val="both"/>
      </w:pPr>
      <w:r>
        <w:t xml:space="preserve">Este no es un caso aislado. La Policía Nacional de Colombia, a través del Centro Cibernético Policial, reportó cerca de 62.000 denuncias de delitos por medios digitales en 2025 y ha emitido alertas públicas específicas sobre la variante de "falsa oferta de empleo por WhatsApp" como vector de secuestro de cuentas. A nivel global, la Federal Trade Commission de Estados Unidos reportó 470 millones de dólares en pérdidas por estafas basadas en mensajes de texto solo en 2024, cifra que la propia agencia reconoce como subestimada por el subregistro de denuncias.</w:t>
      </w:r>
    </w:p>
    <w:p>
      <w:pPr>
        <w:pStyle w:val="Heading2"/>
        <w:spacing w:after="150" w:before="300"/>
      </w:pPr>
      <w:r>
        <w:t xml:space="preserve">2.3 Por qué la trazabilidad legal actual es insuficiente</w:t>
      </w:r>
    </w:p>
    <w:p>
      <w:pPr>
        <w:spacing w:after="160"/>
        <w:jc w:val="both"/>
      </w:pPr>
      <w:r>
        <w:t xml:space="preserve">El vector de ataque se sostiene en una asimetría temporal: el atacante opera con una SIM prepago de bajo costo, frecuentemente registrada con documento de identidad ajeno, mientras que el proceso de investigación de la Fiscalía General de la Nación toma semanas — tiempo durante el cual el acceso no autorizado y cualquier pérdida financiera asociada ya se han consumado. Esta ventana de impunidad práctica es la que el proyecto busca cerrar mediante detección técnica en tiempo real, sin sustituir el proceso legal formal.</w:t>
      </w:r>
    </w:p>
    <w:p>
      <w:pPr>
        <w:pStyle w:val="Heading1"/>
        <w:spacing w:after="200" w:before="400"/>
      </w:pPr>
      <w:r>
        <w:t xml:space="preserve">3. Marco ético</w:t>
      </w:r>
    </w:p>
    <w:p>
      <w:pPr>
        <w:spacing w:after="160"/>
        <w:jc w:val="both"/>
      </w:pPr>
      <w:r>
        <w:t xml:space="preserve">El diseño del sistema se rige por cuatro principios explícitos, verificables en el código fuente y no solo declarados en este documento:</w:t>
      </w:r>
    </w:p>
    <w:p>
      <w:pPr>
        <w:pStyle w:val="Heading2"/>
        <w:spacing w:after="150" w:before="300"/>
      </w:pPr>
      <w:r>
        <w:t xml:space="preserve">3.1 Privacidad por diseño</w:t>
      </w:r>
    </w:p>
    <w:p>
      <w:pPr>
        <w:spacing w:after="160"/>
        <w:jc w:val="both"/>
      </w:pPr>
      <w:r>
        <w:t xml:space="preserve">El análisis de contenido de llamadas y mensajes ocurre exclusivamente en el dispositivo del usuario. Ningún contenido de conversación, transcripción o texto de SMS sale del teléfono en ningún momento. El único dato que puede transmitirse al backend es el número telefónico, y únicamente en dos circunstancias explícitas: consulta automática de reputación en cada llamada entrante (para poder bloquear antes de que timbre) y reporte manual iniciado por el usuario.</w:t>
      </w:r>
    </w:p>
    <w:p>
      <w:pPr>
        <w:pStyle w:val="Heading2"/>
        <w:spacing w:after="150" w:before="300"/>
      </w:pPr>
      <w:r>
        <w:t xml:space="preserve">3.2 No vigilantismo — respeto al debido proceso</w:t>
      </w:r>
    </w:p>
    <w:p>
      <w:pPr>
        <w:spacing w:after="160"/>
        <w:jc w:val="both"/>
      </w:pPr>
      <w:r>
        <w:t xml:space="preserve">El sistema fue diseñado deliberadamente sin capacidad de "sancionar", contactar, geolocalizar o tomar represalias contra los números identificados como sospechosos. Durante el desarrollo, el equipo evaluó y rechazó explícitamente propuestas de funciones que hubieran implicado suplantar autoridad legal (enviar mensajes simulando una "sanción oficial") o intentar geolocalización de terceros sin las facultades legales para hacerlo. Ambas capacidades habrían constituido, respectivamente, un posible delito de usurpación de funciones públicas y un acceso no autorizado a datos de telecomunicaciones. La única acción posible del sistema sobre un número sospechoso es informar al propio usuario o, en casos que superan un umbral de reportes comunitarios, rechazar la llamada entrante — nunca actuar contra el tercero.</w:t>
      </w:r>
    </w:p>
    <w:p>
      <w:pPr>
        <w:pStyle w:val="Heading2"/>
        <w:spacing w:after="150" w:before="300"/>
      </w:pPr>
      <w:r>
        <w:t xml:space="preserve">3.3 Transparencia técnica verificable</w:t>
      </w:r>
    </w:p>
    <w:p>
      <w:pPr>
        <w:spacing w:after="160"/>
        <w:jc w:val="both"/>
      </w:pPr>
      <w:r>
        <w:t xml:space="preserve">Cada garantía de privacidad del sistema está atada a una ausencia verificable de permisos en el manifiesto de la aplicación Android, auditable por cualquier tercero con el comando "grep uses-permission" sobre el código fuente público. La aplicación no solicita ni utiliza permisos de grabación de audio, acceso a contactos, geolocalización, ni lectura del historial de mensajes — solo los siete permisos mínimos necesarios para su función declarada.</w:t>
      </w:r>
    </w:p>
    <w:p>
      <w:pPr>
        <w:pStyle w:val="Heading2"/>
        <w:spacing w:after="150" w:before="300"/>
      </w:pPr>
      <w:r>
        <w:t xml:space="preserve">3.4 Protección a la población vulnerable sin estigmatización</w:t>
      </w:r>
    </w:p>
    <w:p>
      <w:pPr>
        <w:spacing w:after="160"/>
        <w:jc w:val="both"/>
      </w:pPr>
      <w:r>
        <w:t xml:space="preserve">El proyecto incorpora, con respaldo en literatura académica revisada, el principio de que la susceptibilidad a este tipo de fraude no es indicador de falta de inteligencia o de alfabetización digital, sino el resultado esperado de técnicas de persuasión psicológica que funcionan independientemente de la edad o el nivel educativo de la víctima. Este principio se refleja tanto en el contenido educativo del proyecto como en el trato hacia los usuarios potenciales, evitando cualquier comunicación que culpabilice a la víctima.</w:t>
      </w:r>
    </w:p>
    <w:p>
      <w:pPr>
        <w:pStyle w:val="Heading1"/>
        <w:spacing w:after="200" w:before="400"/>
      </w:pPr>
      <w:r>
        <w:t xml:space="preserve">4. Marco legal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c>
          <w:tcPr>
            <w:tcW w:type="dxa" w:w="2200"/>
            <w:shd w:fill="1565C0" w:val="clear"/>
            <w:tcMar>
              <w:top w:type="dxa" w:w="80"/>
              <w:left w:type="dxa" w:w="120"/>
              <w:bottom w:type="dxa" w:w="80"/>
              <w:right w:type="dxa" w:w="120"/>
            </w:tcMar>
          </w:tcPr>
          <w:p>
            <w:r>
              <w:rPr>
                <w:b/>
                <w:bCs/>
                <w:color w:val="FFFFFF"/>
                <w:sz w:val="20"/>
                <w:szCs w:val="20"/>
              </w:rPr>
              <w:t xml:space="preserve">Norma</w:t>
            </w:r>
          </w:p>
        </w:tc>
        <w:tc>
          <w:tcPr>
            <w:tcW w:type="dxa" w:w="3600"/>
            <w:shd w:fill="1565C0" w:val="clear"/>
            <w:tcMar>
              <w:top w:type="dxa" w:w="80"/>
              <w:left w:type="dxa" w:w="120"/>
              <w:bottom w:type="dxa" w:w="80"/>
              <w:right w:type="dxa" w:w="120"/>
            </w:tcMar>
          </w:tcPr>
          <w:p>
            <w:r>
              <w:rPr>
                <w:b/>
                <w:bCs/>
                <w:color w:val="FFFFFF"/>
                <w:sz w:val="20"/>
                <w:szCs w:val="20"/>
              </w:rPr>
              <w:t xml:space="preserve">Aplicación al proyecto</w:t>
            </w:r>
          </w:p>
        </w:tc>
        <w:tc>
          <w:tcPr>
            <w:tcW w:type="dxa" w:w="3600"/>
            <w:shd w:fill="1565C0" w:val="clear"/>
            <w:tcMar>
              <w:top w:type="dxa" w:w="80"/>
              <w:left w:type="dxa" w:w="120"/>
              <w:bottom w:type="dxa" w:w="80"/>
              <w:right w:type="dxa" w:w="120"/>
            </w:tcMar>
          </w:tcPr>
          <w:p>
            <w:r>
              <w:rPr>
                <w:b/>
                <w:bCs/>
                <w:color w:val="FFFFFF"/>
                <w:sz w:val="20"/>
                <w:szCs w:val="20"/>
              </w:rPr>
              <w:t xml:space="preserve">Estado</w:t>
            </w:r>
          </w:p>
        </w:tc>
      </w:tr>
      <w:tr>
        <w:tc>
          <w:tcPr>
            <w:tcW w:type="dxa" w:w="2200"/>
            <w:tcMar>
              <w:top w:type="dxa" w:w="80"/>
              <w:left w:type="dxa" w:w="120"/>
              <w:bottom w:type="dxa" w:w="80"/>
              <w:right w:type="dxa" w:w="120"/>
            </w:tcMar>
          </w:tcPr>
          <w:p>
            <w:r>
              <w:rPr>
                <w:b w:val="false"/>
                <w:bCs w:val="false"/>
                <w:sz w:val="20"/>
                <w:szCs w:val="20"/>
              </w:rPr>
              <w:t xml:space="preserve">Ley 1581 de 2012 (Habeas Data)</w:t>
            </w:r>
          </w:p>
        </w:tc>
        <w:tc>
          <w:tcPr>
            <w:tcW w:type="dxa" w:w="3600"/>
            <w:tcMar>
              <w:top w:type="dxa" w:w="80"/>
              <w:left w:type="dxa" w:w="120"/>
              <w:bottom w:type="dxa" w:w="80"/>
              <w:right w:type="dxa" w:w="120"/>
            </w:tcMar>
          </w:tcPr>
          <w:p>
            <w:r>
              <w:rPr>
                <w:b w:val="false"/>
                <w:bCs w:val="false"/>
                <w:sz w:val="20"/>
                <w:szCs w:val="20"/>
              </w:rPr>
              <w:t xml:space="preserve">Regula el tratamiento de datos personales; el número telefónico reportado constituye dato personal sujeto a esta ley</w:t>
            </w:r>
          </w:p>
        </w:tc>
        <w:tc>
          <w:tcPr>
            <w:tcW w:type="dxa" w:w="3600"/>
            <w:tcMar>
              <w:top w:type="dxa" w:w="80"/>
              <w:left w:type="dxa" w:w="120"/>
              <w:bottom w:type="dxa" w:w="80"/>
              <w:right w:type="dxa" w:w="120"/>
            </w:tcMar>
          </w:tcPr>
          <w:p>
            <w:r>
              <w:rPr>
                <w:b w:val="false"/>
                <w:bCs w:val="false"/>
                <w:sz w:val="20"/>
                <w:szCs w:val="20"/>
              </w:rPr>
              <w:t xml:space="preserve">Diseño conforme — pendiente registro RNBD ante SIC si el volumen escala</w:t>
            </w:r>
          </w:p>
        </w:tc>
      </w:tr>
      <w:tr>
        <w:tc>
          <w:tcPr>
            <w:tcW w:type="dxa" w:w="2200"/>
            <w:tcMar>
              <w:top w:type="dxa" w:w="80"/>
              <w:left w:type="dxa" w:w="120"/>
              <w:bottom w:type="dxa" w:w="80"/>
              <w:right w:type="dxa" w:w="120"/>
            </w:tcMar>
          </w:tcPr>
          <w:p>
            <w:r>
              <w:rPr>
                <w:b w:val="false"/>
                <w:bCs w:val="false"/>
                <w:sz w:val="20"/>
                <w:szCs w:val="20"/>
              </w:rPr>
              <w:t xml:space="preserve">Ley 1273 de 2009 (Delitos Informáticos)</w:t>
            </w:r>
          </w:p>
        </w:tc>
        <w:tc>
          <w:tcPr>
            <w:tcW w:type="dxa" w:w="3600"/>
            <w:tcMar>
              <w:top w:type="dxa" w:w="80"/>
              <w:left w:type="dxa" w:w="120"/>
              <w:bottom w:type="dxa" w:w="80"/>
              <w:right w:type="dxa" w:w="120"/>
            </w:tcMar>
          </w:tcPr>
          <w:p>
            <w:r>
              <w:rPr>
                <w:b w:val="false"/>
                <w:bCs w:val="false"/>
                <w:sz w:val="20"/>
                <w:szCs w:val="20"/>
              </w:rPr>
              <w:t xml:space="preserve">Tipifica el acceso abusivo a sistemas informáticos; sustenta la denuncia penal de las víctimas y delimita lo que el propio sistema no puede hacer (no intentar acceso a datos de operadoras)</w:t>
            </w:r>
          </w:p>
        </w:tc>
        <w:tc>
          <w:tcPr>
            <w:tcW w:type="dxa" w:w="3600"/>
            <w:tcMar>
              <w:top w:type="dxa" w:w="80"/>
              <w:left w:type="dxa" w:w="120"/>
              <w:bottom w:type="dxa" w:w="80"/>
              <w:right w:type="dxa" w:w="120"/>
            </w:tcMar>
          </w:tcPr>
          <w:p>
            <w:r>
              <w:rPr>
                <w:b w:val="false"/>
                <w:bCs w:val="false"/>
                <w:sz w:val="20"/>
                <w:szCs w:val="20"/>
              </w:rPr>
              <w:t xml:space="preserve">Referencia normativa para la guía de usuario y límites de diseño</w:t>
            </w:r>
          </w:p>
        </w:tc>
      </w:tr>
      <w:tr>
        <w:tc>
          <w:tcPr>
            <w:tcW w:type="dxa" w:w="2200"/>
            <w:tcMar>
              <w:top w:type="dxa" w:w="80"/>
              <w:left w:type="dxa" w:w="120"/>
              <w:bottom w:type="dxa" w:w="80"/>
              <w:right w:type="dxa" w:w="120"/>
            </w:tcMar>
          </w:tcPr>
          <w:p>
            <w:r>
              <w:rPr>
                <w:b w:val="false"/>
                <w:bCs w:val="false"/>
                <w:sz w:val="20"/>
                <w:szCs w:val="20"/>
              </w:rPr>
              <w:t xml:space="preserve">Código Penal, Art. 246 y 269I/269J</w:t>
            </w:r>
          </w:p>
        </w:tc>
        <w:tc>
          <w:tcPr>
            <w:tcW w:type="dxa" w:w="3600"/>
            <w:tcMar>
              <w:top w:type="dxa" w:w="80"/>
              <w:left w:type="dxa" w:w="120"/>
              <w:bottom w:type="dxa" w:w="80"/>
              <w:right w:type="dxa" w:w="120"/>
            </w:tcMar>
          </w:tcPr>
          <w:p>
            <w:r>
              <w:rPr>
                <w:b w:val="false"/>
                <w:bCs w:val="false"/>
                <w:sz w:val="20"/>
                <w:szCs w:val="20"/>
              </w:rPr>
              <w:t xml:space="preserve">Tipifican la estafa y el hurto/transferencia no consentida por medios informáticos — el delito que el sistema busca prevenir</w:t>
            </w:r>
          </w:p>
        </w:tc>
        <w:tc>
          <w:tcPr>
            <w:tcW w:type="dxa" w:w="3600"/>
            <w:tcMar>
              <w:top w:type="dxa" w:w="80"/>
              <w:left w:type="dxa" w:w="120"/>
              <w:bottom w:type="dxa" w:w="80"/>
              <w:right w:type="dxa" w:w="120"/>
            </w:tcMar>
          </w:tcPr>
          <w:p>
            <w:r>
              <w:rPr>
                <w:b w:val="false"/>
                <w:bCs w:val="false"/>
                <w:sz w:val="20"/>
                <w:szCs w:val="20"/>
              </w:rPr>
              <w:t xml:space="preserve">Fundamento de la denuncia penal recomendada</w:t>
            </w:r>
          </w:p>
        </w:tc>
      </w:tr>
      <w:tr>
        <w:tc>
          <w:tcPr>
            <w:tcW w:type="dxa" w:w="2200"/>
            <w:tcMar>
              <w:top w:type="dxa" w:w="80"/>
              <w:left w:type="dxa" w:w="120"/>
              <w:bottom w:type="dxa" w:w="80"/>
              <w:right w:type="dxa" w:w="120"/>
            </w:tcMar>
          </w:tcPr>
          <w:p>
            <w:r>
              <w:rPr>
                <w:b w:val="false"/>
                <w:bCs w:val="false"/>
                <w:sz w:val="20"/>
                <w:szCs w:val="20"/>
              </w:rPr>
              <w:t xml:space="preserve">Código Penal, Art. 425</w:t>
            </w:r>
          </w:p>
        </w:tc>
        <w:tc>
          <w:tcPr>
            <w:tcW w:type="dxa" w:w="3600"/>
            <w:tcMar>
              <w:top w:type="dxa" w:w="80"/>
              <w:left w:type="dxa" w:w="120"/>
              <w:bottom w:type="dxa" w:w="80"/>
              <w:right w:type="dxa" w:w="120"/>
            </w:tcMar>
          </w:tcPr>
          <w:p>
            <w:r>
              <w:rPr>
                <w:b w:val="false"/>
                <w:bCs w:val="false"/>
                <w:sz w:val="20"/>
                <w:szCs w:val="20"/>
              </w:rPr>
              <w:t xml:space="preserve">Usurpación de funciones públicas — razón explícita por la que se descartó cualquier función de "sanción" simulada</w:t>
            </w:r>
          </w:p>
        </w:tc>
        <w:tc>
          <w:tcPr>
            <w:tcW w:type="dxa" w:w="3600"/>
            <w:tcMar>
              <w:top w:type="dxa" w:w="80"/>
              <w:left w:type="dxa" w:w="120"/>
              <w:bottom w:type="dxa" w:w="80"/>
              <w:right w:type="dxa" w:w="120"/>
            </w:tcMar>
          </w:tcPr>
          <w:p>
            <w:r>
              <w:rPr>
                <w:b w:val="false"/>
                <w:bCs w:val="false"/>
                <w:sz w:val="20"/>
                <w:szCs w:val="20"/>
              </w:rPr>
              <w:t xml:space="preserve">Límite de diseño respetado</w:t>
            </w:r>
          </w:p>
        </w:tc>
      </w:tr>
      <w:tr>
        <w:tc>
          <w:tcPr>
            <w:tcW w:type="dxa" w:w="2200"/>
            <w:tcMar>
              <w:top w:type="dxa" w:w="80"/>
              <w:left w:type="dxa" w:w="120"/>
              <w:bottom w:type="dxa" w:w="80"/>
              <w:right w:type="dxa" w:w="120"/>
            </w:tcMar>
          </w:tcPr>
          <w:p>
            <w:r>
              <w:rPr>
                <w:b w:val="false"/>
                <w:bCs w:val="false"/>
                <w:sz w:val="20"/>
                <w:szCs w:val="20"/>
              </w:rPr>
              <w:t xml:space="preserve">Ley 2573 de 2026</w:t>
            </w:r>
          </w:p>
        </w:tc>
        <w:tc>
          <w:tcPr>
            <w:tcW w:type="dxa" w:w="3600"/>
            <w:tcMar>
              <w:top w:type="dxa" w:w="80"/>
              <w:left w:type="dxa" w:w="120"/>
              <w:bottom w:type="dxa" w:w="80"/>
              <w:right w:type="dxa" w:w="120"/>
            </w:tcMar>
          </w:tcPr>
          <w:p>
            <w:r>
              <w:rPr>
                <w:b w:val="false"/>
                <w:bCs w:val="false"/>
                <w:sz w:val="20"/>
                <w:szCs w:val="20"/>
              </w:rPr>
              <w:t xml:space="preserve">Exige verificación biométrica robusta (OCR, NFC, cotejo facial, prueba de vida) para registro de líneas móviles — ataca la raíz de la SIM prepago fraudulenta</w:t>
            </w:r>
          </w:p>
        </w:tc>
        <w:tc>
          <w:tcPr>
            <w:tcW w:type="dxa" w:w="3600"/>
            <w:tcMar>
              <w:top w:type="dxa" w:w="80"/>
              <w:left w:type="dxa" w:w="120"/>
              <w:bottom w:type="dxa" w:w="80"/>
              <w:right w:type="dxa" w:w="120"/>
            </w:tcMar>
          </w:tcPr>
          <w:p>
            <w:r>
              <w:rPr>
                <w:b w:val="false"/>
                <w:bCs w:val="false"/>
                <w:sz w:val="20"/>
                <w:szCs w:val="20"/>
              </w:rPr>
              <w:t xml:space="preserve">Promulgada mayo 2026; entra en vigencia noviembre 2026 — el proyecto documenta esto para orientar su estrategia de incidencia, no para reclamar una norma inexistente</w:t>
            </w:r>
          </w:p>
        </w:tc>
      </w:tr>
    </w:tbl>
    <w:p>
      <w:pPr>
        <w:spacing w:after="200"/>
      </w:pPr>
    </w:p>
    <w:p>
      <w:pPr>
        <w:spacing w:after="160"/>
        <w:jc w:val="both"/>
      </w:pPr>
      <w:r>
        <w:t xml:space="preserve">Sobre la grabación de llamadas: en Colombia, quien participa en una conversación puede grabarla sin consentimiento previo de la otra parte (consentimiento de una sola parte), a diferencia de la interceptación de comunicaciones ajenas, que exige orden judicial. La versión actual del sistema no graba ni almacena audio de llamadas bajo ninguna circunstancia — reacciona únicamente a metadatos de estado de llamada y al texto plano de SMS ya recibidos por el propio usuario.</w:t>
      </w:r>
    </w:p>
    <w:p>
      <w:pPr>
        <w:pStyle w:val="Heading1"/>
        <w:spacing w:after="200" w:before="400"/>
      </w:pPr>
      <w:r>
        <w:t xml:space="preserve">5. Arquitectura técnica</w:t>
      </w:r>
    </w:p>
    <w:p>
      <w:pPr>
        <w:pStyle w:val="Heading2"/>
        <w:spacing w:after="150" w:before="300"/>
      </w:pPr>
      <w:r>
        <w:t xml:space="preserve">5.1 Innovación central: correlación de señales, no vigilancia de contenido</w:t>
      </w:r>
    </w:p>
    <w:p>
      <w:pPr>
        <w:spacing w:after="160"/>
        <w:jc w:val="both"/>
      </w:pPr>
      <w:r>
        <w:t xml:space="preserve">El sistema no necesita comprender lo que dice el atacante. Correlaciona dos eventos técnicos observables sin análisis semántico: (a) el teléfono tiene una llamada activa, detectada mediante el broadcast del sistema operativo ACTION_PHONE_STATE_CHANGED, que funciona independientemente de cuál tarjeta SIM esté en uso en dispositivos de doble SIM; y (b) llega un mensaje de texto cuyo contenido coincide con patrones estructurales de un código de verificación. Cuando ambos eventos ocurren dentro de una ventana de 60 segundos, se activa una alerta visual de pantalla completa que advierte al usuario antes de que comparta el código.</w:t>
      </w:r>
    </w:p>
    <w:p>
      <w:pPr>
        <w:pStyle w:val="Heading2"/>
        <w:spacing w:after="150" w:before="300"/>
      </w:pPr>
      <w:r>
        <w:t xml:space="preserve">5.2 Componentes del sistema</w:t>
      </w:r>
    </w:p>
    <w:p>
      <w:pPr>
        <w:pStyle w:val="ListParagraph"/>
        <w:numPr>
          <w:ilvl w:val="0"/>
          <w:numId w:val="2"/>
        </w:numPr>
        <w:spacing w:after="80"/>
      </w:pPr>
      <w:r>
        <w:t xml:space="preserve">Aplicación Android nativa (Kotlin): único framework con acceso a las APIs de screening de llamadas y overlay de alerta necesarias; iOS restringe estas capacidades por política de la plataforma.</w:t>
      </w:r>
    </w:p>
    <w:p>
      <w:pPr>
        <w:pStyle w:val="ListParagraph"/>
        <w:numPr>
          <w:ilvl w:val="0"/>
          <w:numId w:val="2"/>
        </w:numPr>
        <w:spacing w:after="80"/>
      </w:pPr>
      <w:r>
        <w:t xml:space="preserve">Backend de reportes comunitarios (Node.js/Express): base de reputación de números reportados por la comunidad de usuarios, con controles anti-abuso.</w:t>
      </w:r>
    </w:p>
    <w:p>
      <w:pPr>
        <w:pStyle w:val="ListParagraph"/>
        <w:numPr>
          <w:ilvl w:val="0"/>
          <w:numId w:val="2"/>
        </w:numPr>
        <w:spacing w:after="80"/>
      </w:pPr>
      <w:r>
        <w:t xml:space="preserve">Servicio de screening de llamadas (CallScreeningService): consulta la reputación del número entrante y puede rechazar automáticamente números que superan el umbral comunitario de sospecha.</w:t>
      </w:r>
    </w:p>
    <w:p>
      <w:pPr>
        <w:pStyle w:val="Heading2"/>
        <w:spacing w:after="150" w:before="300"/>
      </w:pPr>
      <w:r>
        <w:t xml:space="preserve">5.3 Restricciones técnicas verificables</w:t>
      </w:r>
    </w:p>
    <w:p>
      <w:pPr>
        <w:spacing w:after="160"/>
        <w:jc w:val="both"/>
      </w:pPr>
      <w:r>
        <w:t xml:space="preserve">La aplicación solicita únicamente siete permisos del sistema operativo, verificables directamente en el archivo de manifiesto: INTERNET, RECEIVE_SMS, READ_PHONE_STATE, FOREGROUND_SERVICE (y sus variantes), POST_NOTIFICATIONS y USE_FULL_SCREEN_INTENT. No solicita RECORD_AUDIO (grabación de audio), READ_CONTACTS (agenda de contactos), ACCESS_FINE_LOCATION/ACCESS_COARSE_LOCATION (geolocalización), READ_SMS (historial completo de mensajes) ni READ_CALL_LOG (historial de llamadas).</w:t>
      </w:r>
    </w:p>
    <w:p>
      <w:pPr>
        <w:pStyle w:val="Heading1"/>
        <w:spacing w:after="200" w:before="400"/>
      </w:pPr>
      <w:r>
        <w:t xml:space="preserve">6. Metodología de validación</w:t>
      </w:r>
    </w:p>
    <w:p>
      <w:pPr>
        <w:spacing w:after="160"/>
        <w:jc w:val="both"/>
      </w:pPr>
      <w:r>
        <w:t xml:space="preserve">El sistema fue validado mediante pruebas de campo en dispositivos físicos reales, no únicamente mediante compilación o pruebas simuladas, siguiendo el principio de que la verificación de software de seguridad debe ocurrir en las condiciones reales de uso.</w:t>
      </w:r>
    </w:p>
    <w:p>
      <w:pPr>
        <w:pStyle w:val="Heading2"/>
        <w:spacing w:after="150" w:before="300"/>
      </w:pPr>
      <w:r>
        <w:t xml:space="preserve">6.1 Dispositivos de prueba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400"/>
      </w:tblGrid>
      <w:tr>
        <w:tc>
          <w:tcPr>
            <w:tcW w:type="dxa" w:w="3000"/>
            <w:shd w:fill="1565C0" w:val="clear"/>
            <w:tcMar>
              <w:top w:type="dxa" w:w="80"/>
              <w:left w:type="dxa" w:w="120"/>
              <w:bottom w:type="dxa" w:w="80"/>
              <w:right w:type="dxa" w:w="120"/>
            </w:tcMar>
          </w:tcPr>
          <w:p>
            <w:r>
              <w:rPr>
                <w:b/>
                <w:bCs/>
                <w:color w:val="FFFFFF"/>
                <w:sz w:val="20"/>
                <w:szCs w:val="20"/>
              </w:rPr>
              <w:t xml:space="preserve">Dispositivo</w:t>
            </w:r>
          </w:p>
        </w:tc>
        <w:tc>
          <w:tcPr>
            <w:tcW w:type="dxa" w:w="3000"/>
            <w:shd w:fill="1565C0" w:val="clear"/>
            <w:tcMar>
              <w:top w:type="dxa" w:w="80"/>
              <w:left w:type="dxa" w:w="120"/>
              <w:bottom w:type="dxa" w:w="80"/>
              <w:right w:type="dxa" w:w="120"/>
            </w:tcMar>
          </w:tcPr>
          <w:p>
            <w:r>
              <w:rPr>
                <w:b/>
                <w:bCs/>
                <w:color w:val="FFFFFF"/>
                <w:sz w:val="20"/>
                <w:szCs w:val="20"/>
              </w:rPr>
              <w:t xml:space="preserve">Sistema operativo</w:t>
            </w:r>
          </w:p>
        </w:tc>
        <w:tc>
          <w:tcPr>
            <w:tcW w:type="dxa" w:w="3400"/>
            <w:shd w:fill="1565C0" w:val="clear"/>
            <w:tcMar>
              <w:top w:type="dxa" w:w="80"/>
              <w:left w:type="dxa" w:w="120"/>
              <w:bottom w:type="dxa" w:w="80"/>
              <w:right w:type="dxa" w:w="120"/>
            </w:tcMar>
          </w:tcPr>
          <w:p>
            <w:r>
              <w:rPr>
                <w:b/>
                <w:bCs/>
                <w:color w:val="FFFFFF"/>
                <w:sz w:val="20"/>
                <w:szCs w:val="20"/>
              </w:rPr>
              <w:t xml:space="preserve">Hallazgo relevante</w:t>
            </w:r>
          </w:p>
        </w:tc>
      </w:tr>
      <w:tr>
        <w:tc>
          <w:tcPr>
            <w:tcW w:type="dxa" w:w="3000"/>
            <w:tcMar>
              <w:top w:type="dxa" w:w="80"/>
              <w:left w:type="dxa" w:w="120"/>
              <w:bottom w:type="dxa" w:w="80"/>
              <w:right w:type="dxa" w:w="120"/>
            </w:tcMar>
          </w:tcPr>
          <w:p>
            <w:r>
              <w:rPr>
                <w:b w:val="false"/>
                <w:bCs w:val="false"/>
                <w:sz w:val="20"/>
                <w:szCs w:val="20"/>
              </w:rPr>
              <w:t xml:space="preserve">TECNO BG6 (Transsion/HiOS)</w:t>
            </w:r>
          </w:p>
        </w:tc>
        <w:tc>
          <w:tcPr>
            <w:tcW w:type="dxa" w:w="3000"/>
            <w:tcMar>
              <w:top w:type="dxa" w:w="80"/>
              <w:left w:type="dxa" w:w="120"/>
              <w:bottom w:type="dxa" w:w="80"/>
              <w:right w:type="dxa" w:w="120"/>
            </w:tcMar>
          </w:tcPr>
          <w:p>
            <w:r>
              <w:rPr>
                <w:b w:val="false"/>
                <w:bCs w:val="false"/>
                <w:sz w:val="20"/>
                <w:szCs w:val="20"/>
              </w:rPr>
              <w:t xml:space="preserve">Android 13, API 33</w:t>
            </w:r>
          </w:p>
        </w:tc>
        <w:tc>
          <w:tcPr>
            <w:tcW w:type="dxa" w:w="3400"/>
            <w:tcMar>
              <w:top w:type="dxa" w:w="80"/>
              <w:left w:type="dxa" w:w="120"/>
              <w:bottom w:type="dxa" w:w="80"/>
              <w:right w:type="dxa" w:w="120"/>
            </w:tcMar>
          </w:tcPr>
          <w:p>
            <w:r>
              <w:rPr>
                <w:b w:val="false"/>
                <w:bCs w:val="false"/>
                <w:sz w:val="20"/>
                <w:szCs w:val="20"/>
              </w:rPr>
              <w:t xml:space="preserve">Fabricante con gestión agresiva de batería que puede congelar procesos en segundo plano — motivó la incorporación del flujo de exención de optimización de batería</w:t>
            </w:r>
          </w:p>
        </w:tc>
      </w:tr>
      <w:tr>
        <w:tc>
          <w:tcPr>
            <w:tcW w:type="dxa" w:w="3000"/>
            <w:tcMar>
              <w:top w:type="dxa" w:w="80"/>
              <w:left w:type="dxa" w:w="120"/>
              <w:bottom w:type="dxa" w:w="80"/>
              <w:right w:type="dxa" w:w="120"/>
            </w:tcMar>
          </w:tcPr>
          <w:p>
            <w:r>
              <w:rPr>
                <w:b w:val="false"/>
                <w:bCs w:val="false"/>
                <w:sz w:val="20"/>
                <w:szCs w:val="20"/>
              </w:rPr>
              <w:t xml:space="preserve">Samsung Galaxy A05</w:t>
            </w:r>
          </w:p>
        </w:tc>
        <w:tc>
          <w:tcPr>
            <w:tcW w:type="dxa" w:w="3000"/>
            <w:tcMar>
              <w:top w:type="dxa" w:w="80"/>
              <w:left w:type="dxa" w:w="120"/>
              <w:bottom w:type="dxa" w:w="80"/>
              <w:right w:type="dxa" w:w="120"/>
            </w:tcMar>
          </w:tcPr>
          <w:p>
            <w:r>
              <w:rPr>
                <w:b w:val="false"/>
                <w:bCs w:val="false"/>
                <w:sz w:val="20"/>
                <w:szCs w:val="20"/>
              </w:rPr>
              <w:t xml:space="preserve">Android 15, API 35</w:t>
            </w:r>
          </w:p>
        </w:tc>
        <w:tc>
          <w:tcPr>
            <w:tcW w:type="dxa" w:w="3400"/>
            <w:tcMar>
              <w:top w:type="dxa" w:w="80"/>
              <w:left w:type="dxa" w:w="120"/>
              <w:bottom w:type="dxa" w:w="80"/>
              <w:right w:type="dxa" w:w="120"/>
            </w:tcMar>
          </w:tcPr>
          <w:p>
            <w:r>
              <w:rPr>
                <w:b w:val="false"/>
                <w:bCs w:val="false"/>
                <w:sz w:val="20"/>
                <w:szCs w:val="20"/>
              </w:rPr>
              <w:t xml:space="preserve">Confirmación en llamada real de la correlación técnica central; reveló una restricción de plataforma en Android 14+ sobre tipos de servicio en primer plano</w:t>
            </w:r>
          </w:p>
        </w:tc>
      </w:tr>
    </w:tbl>
    <w:p>
      <w:pPr>
        <w:spacing w:after="200"/>
      </w:pPr>
    </w:p>
    <w:p>
      <w:pPr>
        <w:pStyle w:val="Heading2"/>
        <w:spacing w:after="150" w:before="300"/>
      </w:pPr>
      <w:r>
        <w:t xml:space="preserve">6.2 Hallazgos técnicos y correcciones aplicadas</w:t>
      </w:r>
    </w:p>
    <w:p>
      <w:pPr>
        <w:spacing w:after="160"/>
        <w:jc w:val="both"/>
      </w:pPr>
      <w:r>
        <w:t xml:space="preserve">El proceso de validación en campo identificó y corrigió los siguientes defectos reales, no hipotéticos:</w:t>
      </w:r>
    </w:p>
    <w:p>
      <w:pPr>
        <w:pStyle w:val="ListParagraph"/>
        <w:numPr>
          <w:ilvl w:val="0"/>
          <w:numId w:val="2"/>
        </w:numPr>
        <w:spacing w:after="80"/>
      </w:pPr>
      <w:r>
        <w:t xml:space="preserve">Restricción de plataforma Android 14+: el tipo de servicio en primer plano inicialmente utilizado (phoneCall) requiere que la aplicación posea el rol de marcador telefónico predeterminado — un rol que este proyecto decidió explícitamente no solicitar por ser una capacidad excesiva para su propósito. Se corrigió utilizando el tipo de servicio apropiado (specialUse) sin comprometer la funcionalidad.</w:t>
      </w:r>
    </w:p>
    <w:p>
      <w:pPr>
        <w:pStyle w:val="ListParagraph"/>
        <w:numPr>
          <w:ilvl w:val="0"/>
          <w:numId w:val="2"/>
        </w:numPr>
        <w:spacing w:after="80"/>
      </w:pPr>
      <w:r>
        <w:t xml:space="preserve">Dependencia del SIM predeterminado: la detección inicial de estado de llamada solo cubría la línea telefónica configurada como predeterminada, dejando sin protección a usuarios de dispositivos de doble SIM — una configuración común en Colombia. Se corrigió mediante un mecanismo de detección a nivel de sistema operativo que cubre ambas líneas.</w:t>
      </w:r>
    </w:p>
    <w:p>
      <w:pPr>
        <w:pStyle w:val="ListParagraph"/>
        <w:numPr>
          <w:ilvl w:val="0"/>
          <w:numId w:val="2"/>
        </w:numPr>
        <w:spacing w:after="80"/>
      </w:pPr>
      <w:r>
        <w:t xml:space="preserve">Rigidez de los patrones de reconocimiento de código de verificación: los patrones iniciales exigían frases textuales específicas: se ampliaron para reconocer variantes más generales sin perder precisión.</w:t>
      </w:r>
    </w:p>
    <w:p>
      <w:pPr>
        <w:pStyle w:val="Heading2"/>
        <w:spacing w:after="150" w:before="300"/>
      </w:pPr>
      <w:r>
        <w:t xml:space="preserve">6.3 Confirmación de funcionamiento en condiciones reales</w:t>
      </w:r>
    </w:p>
    <w:p>
      <w:pPr>
        <w:spacing w:after="160"/>
        <w:jc w:val="both"/>
      </w:pPr>
      <w:r>
        <w:t xml:space="preserve">El 11 de julio de 2026 se registró evidencia técnica directa (mediante registro de sistema, no mediante inspección visual únicamente) de que el componente de detección de llamada activa se activó correctamente durante una llamada telefónica real entre dos dispositivos del equipo de desarrollo, confirmando que el mecanismo central de detección opera según lo diseñado en condiciones de uso reales.</w:t>
      </w:r>
    </w:p>
    <w:p>
      <w:pPr>
        <w:pStyle w:val="Heading2"/>
        <w:spacing w:after="150" w:before="300"/>
      </w:pPr>
      <w:r>
        <w:t xml:space="preserve">6.4 Limitación de plataforma identificada, no resuelta</w:t>
      </w:r>
    </w:p>
    <w:p>
      <w:pPr>
        <w:pBdr>
          <w:left w:val="single" w:color="1565C0" w:sz="12" w:space="8"/>
        </w:pBdr>
        <w:spacing w:after="200"/>
        <w:ind w:left="200"/>
      </w:pPr>
      <w:r>
        <w:rPr>
          <w:i/>
          <w:iCs/>
          <w:color w:val="555555"/>
          <w:sz w:val="20"/>
          <w:szCs w:val="20"/>
        </w:rPr>
        <w:t xml:space="preserve">Se identificó que los mensajes entregados mediante el protocolo RCS (Rich Communication Services), cada vez más común entre usuarios de Android modernos, no son detectables por el mecanismo actual, que depende del broadcast tradicional de SMS. Resolver esta limitación requeriría un mecanismo de permisos considerablemente más invasivo (acceso a notificaciones del sistema), cuya incorporación el equipo decidió no apresurar y sujetar a un análisis de proporcionalidad ética independiente antes de implementarse.</w:t>
      </w:r>
    </w:p>
    <w:p>
      <w:pPr>
        <w:pStyle w:val="Heading1"/>
        <w:spacing w:after="200" w:before="400"/>
      </w:pPr>
      <w:r>
        <w:t xml:space="preserve">7. Fundamento en investigación científica</w:t>
      </w:r>
    </w:p>
    <w:p>
      <w:pPr>
        <w:spacing w:after="160"/>
        <w:jc w:val="both"/>
      </w:pPr>
      <w:r>
        <w:t xml:space="preserve">El diseño del contenido educativo y la priorización de patrones de detección se apoyaron en literatura revisada por pares sobre psicología del fraude, no en supuestos. Los hallazgos más relevantes:</w:t>
      </w:r>
    </w:p>
    <w:p>
      <w:pPr>
        <w:pStyle w:val="ListParagraph"/>
        <w:numPr>
          <w:ilvl w:val="0"/>
          <w:numId w:val="2"/>
        </w:numPr>
        <w:spacing w:after="80"/>
      </w:pPr>
      <w:r>
        <w:t xml:space="preserve">La educación formal y la familiaridad tecnológica no protegen contra el fraude por ingeniería social; el exceso de confianza derivado de ellas puede constituir, paradójicamente, un factor de riesgo adicional.</w:t>
      </w:r>
    </w:p>
    <w:p>
      <w:pPr>
        <w:pStyle w:val="ListParagraph"/>
        <w:numPr>
          <w:ilvl w:val="0"/>
          <w:numId w:val="2"/>
        </w:numPr>
        <w:spacing w:after="80"/>
      </w:pPr>
      <w:r>
        <w:t xml:space="preserve">Los atacantes explotan sistemáticamente los mismos seis principios de persuasión documentados en la literatura de psicología social (autoridad, urgencia/escasez, reciprocidad, prueba social, simpatía y compromiso progresivo), adaptados a guiones culturalmente específicos de Colombia (suplantación de DIAN y Fiscalía, falsas ofertas de empleo, variante de "familiar en apuros").</w:t>
      </w:r>
    </w:p>
    <w:p>
      <w:pPr>
        <w:pStyle w:val="ListParagraph"/>
        <w:numPr>
          <w:ilvl w:val="0"/>
          <w:numId w:val="2"/>
        </w:numPr>
        <w:spacing w:after="80"/>
      </w:pPr>
      <w:r>
        <w:t xml:space="preserve">La técnica de distracción con "papel y lápiz" constituye manipulación de la atención visual, no manipulación de la confianza — el atacante no necesita convencer a la víctima de nada, solo desviar su mirada de la pantalla durante segundos críticos.</w:t>
      </w:r>
    </w:p>
    <w:p>
      <w:pPr>
        <w:pStyle w:val="ListParagraph"/>
        <w:numPr>
          <w:ilvl w:val="0"/>
          <w:numId w:val="2"/>
        </w:numPr>
        <w:spacing w:after="80"/>
      </w:pPr>
      <w:r>
        <w:t xml:space="preserve">Existe evidencia de que los adultos mayores subreportan este tipo de incidentes por razones distintas al desconocimiento, lo cual refuerza el valor de un mecanismo de reporte comunitario de baja fricción.</w:t>
      </w:r>
    </w:p>
    <w:p>
      <w:pPr>
        <w:pStyle w:val="Heading1"/>
        <w:spacing w:after="200" w:before="400"/>
      </w:pPr>
      <w:r>
        <w:t xml:space="preserve">8. Estrategia de intervención en tres niveles</w:t>
      </w:r>
    </w:p>
    <w:p>
      <w:pPr>
        <w:spacing w:after="160"/>
        <w:jc w:val="both"/>
      </w:pPr>
      <w:r>
        <w:t xml:space="preserve">El proyecto reconoce que la detección técnica individual es insuficiente frente a un problema sistémico, y por ello articula tres niveles de intervención complementarios:</w:t>
      </w:r>
    </w:p>
    <w:p>
      <w:pPr>
        <w:pStyle w:val="Heading2"/>
        <w:spacing w:after="150" w:before="300"/>
      </w:pPr>
      <w:r>
        <w:t xml:space="preserve">8.1 Nivel individual: detección y alerta en tiempo real</w:t>
      </w:r>
    </w:p>
    <w:p>
      <w:pPr>
        <w:spacing w:after="160"/>
        <w:jc w:val="both"/>
      </w:pPr>
      <w:r>
        <w:t xml:space="preserve">El mecanismo técnico central descrito en la sección 5, que protege al usuario en el momento crítico del ataque.</w:t>
      </w:r>
    </w:p>
    <w:p>
      <w:pPr>
        <w:pStyle w:val="Heading2"/>
        <w:spacing w:after="150" w:before="300"/>
      </w:pPr>
      <w:r>
        <w:t xml:space="preserve">8.2 Nivel comunitario: paquete de denuncia acelerado</w:t>
      </w:r>
    </w:p>
    <w:p>
      <w:pPr>
        <w:spacing w:after="160"/>
        <w:jc w:val="both"/>
      </w:pPr>
      <w:r>
        <w:t xml:space="preserve">Cuando un número telefónico acumula reportes de tres o más usuarios distintos (umbral diseñado para prevenir el abuso del sistema por un solo actor malicioso), el backend genera automáticamente un documento formateado con el resumen de reportes, listo para adjuntarse como evidencia de respaldo en el portal "A Denunciar" de la Policía Nacional o en la denuncia virtual ante la Fiscalía (SPOA), reduciendo la fricción y el tiempo que hoy exige explicar el caso desde cero.</w:t>
      </w:r>
    </w:p>
    <w:p>
      <w:pPr>
        <w:pStyle w:val="Heading2"/>
        <w:spacing w:after="150" w:before="300"/>
      </w:pPr>
      <w:r>
        <w:t xml:space="preserve">8.3 Nivel sistémico: vigilancia de cumplimiento regulatorio</w:t>
      </w:r>
    </w:p>
    <w:p>
      <w:pPr>
        <w:spacing w:after="160"/>
        <w:jc w:val="both"/>
      </w:pPr>
      <w:r>
        <w:t xml:space="preserve">El proyecto identificó que Colombia ya cuenta con el marco normativo adecuado (Ley 2573 de 2026) para exigir verificación biométrica robusta en el registro de líneas móviles, vigente a partir de noviembre de 2026. En lugar de solicitar una norma inexistente, la estrategia del proyecto se orienta a que los datos agregados y anonimizados de reportes puedan servir como evidencia de cumplimiento o incumplimiento de esa norma por parte de los operadores, una vez entre en vigencia.</w:t>
      </w:r>
    </w:p>
    <w:p>
      <w:pPr>
        <w:pStyle w:val="Heading1"/>
        <w:spacing w:after="200" w:before="400"/>
      </w:pPr>
      <w:r>
        <w:t xml:space="preserve">9. Estado actual y hoja de ruta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c>
          <w:tcPr>
            <w:tcW w:type="dxa" w:w="2400"/>
            <w:shd w:fill="1565C0" w:val="clear"/>
            <w:tcMar>
              <w:top w:type="dxa" w:w="80"/>
              <w:left w:type="dxa" w:w="120"/>
              <w:bottom w:type="dxa" w:w="80"/>
              <w:right w:type="dxa" w:w="120"/>
            </w:tcMar>
          </w:tcPr>
          <w:p>
            <w:r>
              <w:rPr>
                <w:b/>
                <w:bCs/>
                <w:color w:val="FFFFFF"/>
                <w:sz w:val="20"/>
                <w:szCs w:val="20"/>
              </w:rPr>
              <w:t xml:space="preserve">Componente</w:t>
            </w:r>
          </w:p>
        </w:tc>
        <w:tc>
          <w:tcPr>
            <w:tcW w:type="dxa" w:w="2000"/>
            <w:shd w:fill="1565C0" w:val="clear"/>
            <w:tcMar>
              <w:top w:type="dxa" w:w="80"/>
              <w:left w:type="dxa" w:w="120"/>
              <w:bottom w:type="dxa" w:w="80"/>
              <w:right w:type="dxa" w:w="120"/>
            </w:tcMar>
          </w:tcPr>
          <w:p>
            <w:r>
              <w:rPr>
                <w:b/>
                <w:bCs/>
                <w:color w:val="FFFFFF"/>
                <w:sz w:val="20"/>
                <w:szCs w:val="20"/>
              </w:rPr>
              <w:t xml:space="preserve">Estado</w:t>
            </w:r>
          </w:p>
        </w:tc>
        <w:tc>
          <w:tcPr>
            <w:tcW w:type="dxa" w:w="5000"/>
            <w:shd w:fill="1565C0" w:val="clear"/>
            <w:tcMar>
              <w:top w:type="dxa" w:w="80"/>
              <w:left w:type="dxa" w:w="120"/>
              <w:bottom w:type="dxa" w:w="80"/>
              <w:right w:type="dxa" w:w="120"/>
            </w:tcMar>
          </w:tcPr>
          <w:p>
            <w:r>
              <w:rPr>
                <w:b/>
                <w:bCs/>
                <w:color w:val="FFFFFF"/>
                <w:sz w:val="20"/>
                <w:szCs w:val="20"/>
              </w:rPr>
              <w:t xml:space="preserve">Detalle</w:t>
            </w:r>
          </w:p>
        </w:tc>
      </w:tr>
      <w:tr>
        <w:tc>
          <w:tcPr>
            <w:tcW w:type="dxa" w:w="2400"/>
            <w:tcMar>
              <w:top w:type="dxa" w:w="80"/>
              <w:left w:type="dxa" w:w="120"/>
              <w:bottom w:type="dxa" w:w="80"/>
              <w:right w:type="dxa" w:w="120"/>
            </w:tcMar>
          </w:tcPr>
          <w:p>
            <w:r>
              <w:rPr>
                <w:b w:val="false"/>
                <w:bCs w:val="false"/>
                <w:sz w:val="20"/>
                <w:szCs w:val="20"/>
              </w:rPr>
              <w:t xml:space="preserve">Guía educativa</w:t>
            </w:r>
          </w:p>
        </w:tc>
        <w:tc>
          <w:tcPr>
            <w:tcW w:type="dxa" w:w="2000"/>
            <w:tcMar>
              <w:top w:type="dxa" w:w="80"/>
              <w:left w:type="dxa" w:w="120"/>
              <w:bottom w:type="dxa" w:w="80"/>
              <w:right w:type="dxa" w:w="120"/>
            </w:tcMar>
          </w:tcPr>
          <w:p>
            <w:r>
              <w:rPr>
                <w:b w:val="false"/>
                <w:bCs w:val="false"/>
                <w:sz w:val="20"/>
                <w:szCs w:val="20"/>
              </w:rPr>
              <w:t xml:space="preserve">Completo</w:t>
            </w:r>
          </w:p>
        </w:tc>
        <w:tc>
          <w:tcPr>
            <w:tcW w:type="dxa" w:w="5000"/>
            <w:tcMar>
              <w:top w:type="dxa" w:w="80"/>
              <w:left w:type="dxa" w:w="120"/>
              <w:bottom w:type="dxa" w:w="80"/>
              <w:right w:type="dxa" w:w="120"/>
            </w:tcMar>
          </w:tcPr>
          <w:p>
            <w:r>
              <w:rPr>
                <w:b w:val="false"/>
                <w:bCs w:val="false"/>
                <w:sz w:val="20"/>
                <w:szCs w:val="20"/>
              </w:rPr>
              <w:t xml:space="preserve">Contenido validado, listo para distribución</w:t>
            </w:r>
          </w:p>
        </w:tc>
      </w:tr>
      <w:tr>
        <w:tc>
          <w:tcPr>
            <w:tcW w:type="dxa" w:w="2400"/>
            <w:tcMar>
              <w:top w:type="dxa" w:w="80"/>
              <w:left w:type="dxa" w:w="120"/>
              <w:bottom w:type="dxa" w:w="80"/>
              <w:right w:type="dxa" w:w="120"/>
            </w:tcMar>
          </w:tcPr>
          <w:p>
            <w:r>
              <w:rPr>
                <w:b w:val="false"/>
                <w:bCs w:val="false"/>
                <w:sz w:val="20"/>
                <w:szCs w:val="20"/>
              </w:rPr>
              <w:t xml:space="preserve">Backend de reportes</w:t>
            </w:r>
          </w:p>
        </w:tc>
        <w:tc>
          <w:tcPr>
            <w:tcW w:type="dxa" w:w="2000"/>
            <w:tcMar>
              <w:top w:type="dxa" w:w="80"/>
              <w:left w:type="dxa" w:w="120"/>
              <w:bottom w:type="dxa" w:w="80"/>
              <w:right w:type="dxa" w:w="120"/>
            </w:tcMar>
          </w:tcPr>
          <w:p>
            <w:r>
              <w:rPr>
                <w:b w:val="false"/>
                <w:bCs w:val="false"/>
                <w:sz w:val="20"/>
                <w:szCs w:val="20"/>
              </w:rPr>
              <w:t xml:space="preserve">Completo y probado</w:t>
            </w:r>
          </w:p>
        </w:tc>
        <w:tc>
          <w:tcPr>
            <w:tcW w:type="dxa" w:w="5000"/>
            <w:tcMar>
              <w:top w:type="dxa" w:w="80"/>
              <w:left w:type="dxa" w:w="120"/>
              <w:bottom w:type="dxa" w:w="80"/>
              <w:right w:type="dxa" w:w="120"/>
            </w:tcMar>
          </w:tcPr>
          <w:p>
            <w:r>
              <w:rPr>
                <w:b w:val="false"/>
                <w:bCs w:val="false"/>
                <w:sz w:val="20"/>
                <w:szCs w:val="20"/>
              </w:rPr>
              <w:t xml:space="preserve">Endpoints de reporte, reputación y paquete de denuncia verificados en pruebas en vivo</w:t>
            </w:r>
          </w:p>
        </w:tc>
      </w:tr>
      <w:tr>
        <w:tc>
          <w:tcPr>
            <w:tcW w:type="dxa" w:w="2400"/>
            <w:tcMar>
              <w:top w:type="dxa" w:w="80"/>
              <w:left w:type="dxa" w:w="120"/>
              <w:bottom w:type="dxa" w:w="80"/>
              <w:right w:type="dxa" w:w="120"/>
            </w:tcMar>
          </w:tcPr>
          <w:p>
            <w:r>
              <w:rPr>
                <w:b w:val="false"/>
                <w:bCs w:val="false"/>
                <w:sz w:val="20"/>
                <w:szCs w:val="20"/>
              </w:rPr>
              <w:t xml:space="preserve">Aplicación Android</w:t>
            </w:r>
          </w:p>
        </w:tc>
        <w:tc>
          <w:tcPr>
            <w:tcW w:type="dxa" w:w="2000"/>
            <w:tcMar>
              <w:top w:type="dxa" w:w="80"/>
              <w:left w:type="dxa" w:w="120"/>
              <w:bottom w:type="dxa" w:w="80"/>
              <w:right w:type="dxa" w:w="120"/>
            </w:tcMar>
          </w:tcPr>
          <w:p>
            <w:r>
              <w:rPr>
                <w:b w:val="false"/>
                <w:bCs w:val="false"/>
                <w:sz w:val="20"/>
                <w:szCs w:val="20"/>
              </w:rPr>
              <w:t xml:space="preserve">Funcional, validado en campo</w:t>
            </w:r>
          </w:p>
        </w:tc>
        <w:tc>
          <w:tcPr>
            <w:tcW w:type="dxa" w:w="5000"/>
            <w:tcMar>
              <w:top w:type="dxa" w:w="80"/>
              <w:left w:type="dxa" w:w="120"/>
              <w:bottom w:type="dxa" w:w="80"/>
              <w:right w:type="dxa" w:w="120"/>
            </w:tcMar>
          </w:tcPr>
          <w:p>
            <w:r>
              <w:rPr>
                <w:b w:val="false"/>
                <w:bCs w:val="false"/>
                <w:sz w:val="20"/>
                <w:szCs w:val="20"/>
              </w:rPr>
              <w:t xml:space="preserve">Compilación limpia; correlación central confirmada en llamada telefónica real en dos dispositivos distintos</w:t>
            </w:r>
          </w:p>
        </w:tc>
      </w:tr>
      <w:tr>
        <w:tc>
          <w:tcPr>
            <w:tcW w:type="dxa" w:w="2400"/>
            <w:tcMar>
              <w:top w:type="dxa" w:w="80"/>
              <w:left w:type="dxa" w:w="120"/>
              <w:bottom w:type="dxa" w:w="80"/>
              <w:right w:type="dxa" w:w="120"/>
            </w:tcMar>
          </w:tcPr>
          <w:p>
            <w:r>
              <w:rPr>
                <w:b w:val="false"/>
                <w:bCs w:val="false"/>
                <w:sz w:val="20"/>
                <w:szCs w:val="20"/>
              </w:rPr>
              <w:t xml:space="preserve">Revisión legal formal</w:t>
            </w:r>
          </w:p>
        </w:tc>
        <w:tc>
          <w:tcPr>
            <w:tcW w:type="dxa" w:w="2000"/>
            <w:tcMar>
              <w:top w:type="dxa" w:w="80"/>
              <w:left w:type="dxa" w:w="120"/>
              <w:bottom w:type="dxa" w:w="80"/>
              <w:right w:type="dxa" w:w="120"/>
            </w:tcMar>
          </w:tcPr>
          <w:p>
            <w:r>
              <w:rPr>
                <w:b w:val="false"/>
                <w:bCs w:val="false"/>
                <w:sz w:val="20"/>
                <w:szCs w:val="20"/>
              </w:rPr>
              <w:t xml:space="preserve">Pendiente</w:t>
            </w:r>
          </w:p>
        </w:tc>
        <w:tc>
          <w:tcPr>
            <w:tcW w:type="dxa" w:w="5000"/>
            <w:tcMar>
              <w:top w:type="dxa" w:w="80"/>
              <w:left w:type="dxa" w:w="120"/>
              <w:bottom w:type="dxa" w:w="80"/>
              <w:right w:type="dxa" w:w="120"/>
            </w:tcMar>
          </w:tcPr>
          <w:p>
            <w:r>
              <w:rPr>
                <w:b w:val="false"/>
                <w:bCs w:val="false"/>
                <w:sz w:val="20"/>
                <w:szCs w:val="20"/>
              </w:rPr>
              <w:t xml:space="preserve">Requiere abogado especializado en protección de datos antes de distribución pública</w:t>
            </w:r>
          </w:p>
        </w:tc>
      </w:tr>
      <w:tr>
        <w:tc>
          <w:tcPr>
            <w:tcW w:type="dxa" w:w="2400"/>
            <w:tcMar>
              <w:top w:type="dxa" w:w="80"/>
              <w:left w:type="dxa" w:w="120"/>
              <w:bottom w:type="dxa" w:w="80"/>
              <w:right w:type="dxa" w:w="120"/>
            </w:tcMar>
          </w:tcPr>
          <w:p>
            <w:r>
              <w:rPr>
                <w:b w:val="false"/>
                <w:bCs w:val="false"/>
                <w:sz w:val="20"/>
                <w:szCs w:val="20"/>
              </w:rPr>
              <w:t xml:space="preserve">Revisión de comité de ética</w:t>
            </w:r>
          </w:p>
        </w:tc>
        <w:tc>
          <w:tcPr>
            <w:tcW w:type="dxa" w:w="2000"/>
            <w:tcMar>
              <w:top w:type="dxa" w:w="80"/>
              <w:left w:type="dxa" w:w="120"/>
              <w:bottom w:type="dxa" w:w="80"/>
              <w:right w:type="dxa" w:w="120"/>
            </w:tcMar>
          </w:tcPr>
          <w:p>
            <w:r>
              <w:rPr>
                <w:b w:val="false"/>
                <w:bCs w:val="false"/>
                <w:sz w:val="20"/>
                <w:szCs w:val="20"/>
              </w:rPr>
              <w:t xml:space="preserve">Pendiente — objeto de este documento</w:t>
            </w:r>
          </w:p>
        </w:tc>
        <w:tc>
          <w:tcPr>
            <w:tcW w:type="dxa" w:w="5000"/>
            <w:tcMar>
              <w:top w:type="dxa" w:w="80"/>
              <w:left w:type="dxa" w:w="120"/>
              <w:bottom w:type="dxa" w:w="80"/>
              <w:right w:type="dxa" w:w="120"/>
            </w:tcMar>
          </w:tcPr>
          <w:p>
            <w:r>
              <w:rPr>
                <w:b w:val="false"/>
                <w:bCs w:val="false"/>
                <w:sz w:val="20"/>
                <w:szCs w:val="20"/>
              </w:rPr>
              <w:t xml:space="preserve">Este protocolo se somete formalmente a esa instancia</w:t>
            </w:r>
          </w:p>
        </w:tc>
      </w:tr>
      <w:tr>
        <w:tc>
          <w:tcPr>
            <w:tcW w:type="dxa" w:w="2400"/>
            <w:tcMar>
              <w:top w:type="dxa" w:w="80"/>
              <w:left w:type="dxa" w:w="120"/>
              <w:bottom w:type="dxa" w:w="80"/>
              <w:right w:type="dxa" w:w="120"/>
            </w:tcMar>
          </w:tcPr>
          <w:p>
            <w:r>
              <w:rPr>
                <w:b w:val="false"/>
                <w:bCs w:val="false"/>
                <w:sz w:val="20"/>
                <w:szCs w:val="20"/>
              </w:rPr>
              <w:t xml:space="preserve">Detección de mensajería RCS</w:t>
            </w:r>
          </w:p>
        </w:tc>
        <w:tc>
          <w:tcPr>
            <w:tcW w:type="dxa" w:w="2000"/>
            <w:tcMar>
              <w:top w:type="dxa" w:w="80"/>
              <w:left w:type="dxa" w:w="120"/>
              <w:bottom w:type="dxa" w:w="80"/>
              <w:right w:type="dxa" w:w="120"/>
            </w:tcMar>
          </w:tcPr>
          <w:p>
            <w:r>
              <w:rPr>
                <w:b w:val="false"/>
                <w:bCs w:val="false"/>
                <w:sz w:val="20"/>
                <w:szCs w:val="20"/>
              </w:rPr>
              <w:t xml:space="preserve">Identificado, no implementado</w:t>
            </w:r>
          </w:p>
        </w:tc>
        <w:tc>
          <w:tcPr>
            <w:tcW w:type="dxa" w:w="5000"/>
            <w:tcMar>
              <w:top w:type="dxa" w:w="80"/>
              <w:left w:type="dxa" w:w="120"/>
              <w:bottom w:type="dxa" w:w="80"/>
              <w:right w:type="dxa" w:w="120"/>
            </w:tcMar>
          </w:tcPr>
          <w:p>
            <w:r>
              <w:rPr>
                <w:b w:val="false"/>
                <w:bCs w:val="false"/>
                <w:sz w:val="20"/>
                <w:szCs w:val="20"/>
              </w:rPr>
              <w:t xml:space="preserve">Requiere análisis de proporcionalidad ética independiente antes de proceder</w:t>
            </w:r>
          </w:p>
        </w:tc>
      </w:tr>
      <w:tr>
        <w:tc>
          <w:tcPr>
            <w:tcW w:type="dxa" w:w="2400"/>
            <w:tcMar>
              <w:top w:type="dxa" w:w="80"/>
              <w:left w:type="dxa" w:w="120"/>
              <w:bottom w:type="dxa" w:w="80"/>
              <w:right w:type="dxa" w:w="120"/>
            </w:tcMar>
          </w:tcPr>
          <w:p>
            <w:r>
              <w:rPr>
                <w:b w:val="false"/>
                <w:bCs w:val="false"/>
                <w:sz w:val="20"/>
                <w:szCs w:val="20"/>
              </w:rPr>
              <w:t xml:space="preserve">Publicación en tienda de aplicaciones</w:t>
            </w:r>
          </w:p>
        </w:tc>
        <w:tc>
          <w:tcPr>
            <w:tcW w:type="dxa" w:w="2000"/>
            <w:tcMar>
              <w:top w:type="dxa" w:w="80"/>
              <w:left w:type="dxa" w:w="120"/>
              <w:bottom w:type="dxa" w:w="80"/>
              <w:right w:type="dxa" w:w="120"/>
            </w:tcMar>
          </w:tcPr>
          <w:p>
            <w:r>
              <w:rPr>
                <w:b w:val="false"/>
                <w:bCs w:val="false"/>
                <w:sz w:val="20"/>
                <w:szCs w:val="20"/>
              </w:rPr>
              <w:t xml:space="preserve">No iniciada</w:t>
            </w:r>
          </w:p>
        </w:tc>
        <w:tc>
          <w:tcPr>
            <w:tcW w:type="dxa" w:w="5000"/>
            <w:tcMar>
              <w:top w:type="dxa" w:w="80"/>
              <w:left w:type="dxa" w:w="120"/>
              <w:bottom w:type="dxa" w:w="80"/>
              <w:right w:type="dxa" w:w="120"/>
            </w:tcMar>
          </w:tcPr>
          <w:p>
            <w:r>
              <w:rPr>
                <w:b w:val="false"/>
                <w:bCs w:val="false"/>
                <w:sz w:val="20"/>
                <w:szCs w:val="20"/>
              </w:rPr>
              <w:t xml:space="preserve">Sujeta a la finalización de los puntos anteriores</w:t>
            </w:r>
          </w:p>
        </w:tc>
      </w:tr>
    </w:tbl>
    <w:p>
      <w:pPr>
        <w:pStyle w:val="Heading1"/>
        <w:spacing w:after="200" w:before="400"/>
      </w:pPr>
      <w:r>
        <w:t xml:space="preserve">10. Declaración de principios del equipo de desarrollo</w:t>
      </w:r>
    </w:p>
    <w:p>
      <w:pPr>
        <w:spacing w:after="160"/>
        <w:jc w:val="both"/>
      </w:pPr>
      <w:r>
        <w:t xml:space="preserve">Quienes desarrollamos Escudo Anti-Estafas declaramos que:</w:t>
      </w:r>
    </w:p>
    <w:p>
      <w:pPr>
        <w:pStyle w:val="ListParagraph"/>
        <w:numPr>
          <w:ilvl w:val="0"/>
          <w:numId w:val="2"/>
        </w:numPr>
        <w:spacing w:after="80"/>
      </w:pPr>
      <w:r>
        <w:t xml:space="preserve">El propósito exclusivo del sistema es la protección de personas frente al fraude telefónico, sin fines de vigilancia, control social o beneficio derivado del uso indebido de datos personales.</w:t>
      </w:r>
    </w:p>
    <w:p>
      <w:pPr>
        <w:pStyle w:val="ListParagraph"/>
        <w:numPr>
          <w:ilvl w:val="0"/>
          <w:numId w:val="2"/>
        </w:numPr>
        <w:spacing w:after="80"/>
      </w:pPr>
      <w:r>
        <w:t xml:space="preserve">Nos comprometemos a mantener el principio de privacidad por diseño descrito en este documento como condición no negociable del proyecto, incluso frente a solicitudes futuras de funcionalidades que lo comprometan.</w:t>
      </w:r>
    </w:p>
    <w:p>
      <w:pPr>
        <w:pStyle w:val="ListParagraph"/>
        <w:numPr>
          <w:ilvl w:val="0"/>
          <w:numId w:val="2"/>
        </w:numPr>
        <w:spacing w:after="80"/>
      </w:pPr>
      <w:r>
        <w:t xml:space="preserve">Reconocemos los límites legales de nuestra capacidad de acción frente a los responsables del fraude, y hemos diseñado el sistema para operar exclusivamente dentro del debido proceso, canalizando la respuesta hacia las autoridades competentes.</w:t>
      </w:r>
    </w:p>
    <w:p>
      <w:pPr>
        <w:pStyle w:val="ListParagraph"/>
        <w:numPr>
          <w:ilvl w:val="0"/>
          <w:numId w:val="2"/>
        </w:numPr>
        <w:spacing w:after="80"/>
      </w:pPr>
      <w:r>
        <w:t xml:space="preserve">Sometemos voluntariamente este protocolo a la revisión de un comité de ética institucional y de asesoría legal formal antes de cualquier distribución pública a gran escala, y nos comprometemos a incorporar sus observaciones.</w:t>
      </w:r>
    </w:p>
    <w:p>
      <w:pPr>
        <w:spacing w:after="600"/>
      </w:pPr>
    </w:p>
    <w:p>
      <w:pPr>
        <w:spacing w:after="60"/>
      </w:pPr>
      <w:r>
        <w:rPr>
          <w:sz w:val="22"/>
          <w:szCs w:val="22"/>
        </w:rPr>
        <w:t xml:space="preserve">_______________________________</w:t>
      </w:r>
    </w:p>
    <w:p>
      <w:pPr>
        <w:spacing w:after="20"/>
      </w:pPr>
      <w:r>
        <w:rPr>
          <w:color w:val="555555"/>
          <w:sz w:val="20"/>
          <w:szCs w:val="20"/>
        </w:rPr>
        <w:t xml:space="preserve">Equipo de desarrollo — Escudo Anti-Estafas</w:t>
      </w:r>
    </w:p>
    <w:p>
      <w:r>
        <w:rPr>
          <w:color w:val="555555"/>
          <w:sz w:val="20"/>
          <w:szCs w:val="20"/>
        </w:rPr>
        <w:t xml:space="preserve">Barranquilla, Atlántico, Colombia — 11 de julio de 2026</w:t>
      </w:r>
    </w:p>
    <w:p>
      <w:r>
        <w:br w:type="page"/>
      </w:r>
    </w:p>
    <w:p>
      <w:pPr>
        <w:pStyle w:val="Heading1"/>
        <w:spacing w:after="200" w:before="400"/>
      </w:pPr>
      <w:r>
        <w:t xml:space="preserve">11. Espacio reservado para aval de comité de ética</w:t>
      </w:r>
    </w:p>
    <w:p>
      <w:pPr>
        <w:pBdr>
          <w:left w:val="single" w:color="1565C0" w:sz="12" w:space="8"/>
        </w:pBdr>
        <w:spacing w:after="200"/>
        <w:ind w:left="200"/>
      </w:pPr>
      <w:r>
        <w:rPr>
          <w:i/>
          <w:iCs/>
          <w:color w:val="555555"/>
          <w:sz w:val="20"/>
          <w:szCs w:val="20"/>
        </w:rPr>
        <w:t xml:space="preserve">Esta sección se deja intencionalmente en blanco para uso del comité de ética institucional o entidad revisora correspondiente, incluyendo observaciones, condiciones de aprobación y firma de sus miembros.</w:t>
      </w:r>
    </w:p>
    <w:p>
      <w:pPr>
        <w:spacing w:after="1000"/>
      </w:pPr>
    </w:p>
    <w:p>
      <w:pPr>
        <w:spacing w:after="800"/>
      </w:pPr>
      <w:r>
        <w:rPr>
          <w:b/>
          <w:bCs/>
          <w:sz w:val="22"/>
          <w:szCs w:val="22"/>
        </w:rPr>
        <w:t xml:space="preserve">Observaciones del comité:</w:t>
      </w:r>
    </w:p>
    <w:p>
      <w:pPr>
        <w:pBdr>
          <w:bottom w:val="single" w:color="999999" w:sz="4"/>
        </w:pBdr>
        <w:spacing w:after="400"/>
      </w:pPr>
    </w:p>
    <w:p>
      <w:pPr>
        <w:pBdr>
          <w:bottom w:val="single" w:color="999999" w:sz="4"/>
        </w:pBdr>
        <w:spacing w:after="400"/>
      </w:pPr>
    </w:p>
    <w:p>
      <w:pPr>
        <w:pBdr>
          <w:bottom w:val="single" w:color="999999" w:sz="4"/>
        </w:pBdr>
        <w:spacing w:after="800"/>
      </w:pPr>
    </w:p>
    <w:p>
      <w:pPr>
        <w:spacing w:after="600"/>
      </w:pPr>
      <w:r>
        <w:rPr>
          <w:sz w:val="22"/>
          <w:szCs w:val="22"/>
        </w:rPr>
        <w:t xml:space="preserve">Decisión:  ☐ Aprobado   ☐ Aprobado con condiciones   ☐ Requiere ajustes   ☐ No aprobado</w:t>
      </w:r>
    </w:p>
    <w:p>
      <w:pPr>
        <w:spacing w:after="60"/>
      </w:pPr>
      <w:r>
        <w:rPr>
          <w:sz w:val="22"/>
          <w:szCs w:val="22"/>
        </w:rPr>
        <w:t xml:space="preserve">_______________________________</w:t>
      </w:r>
    </w:p>
    <w:p>
      <w:pPr>
        <w:spacing w:after="20"/>
      </w:pPr>
      <w:r>
        <w:rPr>
          <w:color w:val="555555"/>
          <w:sz w:val="20"/>
          <w:szCs w:val="20"/>
        </w:rPr>
        <w:t xml:space="preserve">Firma y nombre del revisor / institución</w:t>
      </w:r>
    </w:p>
    <w:p>
      <w:r>
        <w:rPr>
          <w:color w:val="555555"/>
          <w:sz w:val="20"/>
          <w:szCs w:val="20"/>
        </w:rPr>
        <w:t xml:space="preserve">Fecha: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2026-07-11T21:39:40.871Z</dcterms:created>
  <dcterms:modified xsi:type="dcterms:W3CDTF">2026-07-11T21:39:40.871Z</dcterms:modified>
</cp:coreProperties>
</file>

<file path=docProps/custom.xml><?xml version="1.0" encoding="utf-8"?>
<Properties xmlns="http://schemas.openxmlformats.org/officeDocument/2006/custom-properties" xmlns:vt="http://schemas.openxmlformats.org/officeDocument/2006/docPropsVTypes"/>
</file>