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Modelo predictivo de inasistencia a citas médicas</w:t>
      </w:r>
    </w:p>
    <w:p>
      <w:r>
        <w:rPr>
          <w:rFonts w:ascii="Times New Roman" w:cs="Times New Roman" w:eastAsia="Times New Roman" w:hAnsi="Times New Roman"/>
        </w:rPr>
        <w:t xml:space="preserve">Especialización en Inteligencia Artificial Aplicada · Análisis de Datos 1</w:t>
      </w:r>
    </w:p>
    <w:p>
      <w:r>
        <w:rPr>
          <w:rFonts w:ascii="Times New Roman" w:cs="Times New Roman" w:eastAsia="Times New Roman" w:hAnsi="Times New Roman"/>
        </w:rPr>
        <w:t xml:space="preserve">Documentación técnica del proyecto: metodología, decisiones, resultados, limitaciones y recomendaciones</w:t>
      </w:r>
    </w:p>
    <w:p>
      <w:r>
        <w:br w:type="page"/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1. Resumen ejecutivo</w:t>
      </w:r>
    </w:p>
    <w:p>
      <w:r>
        <w:rPr>
          <w:rFonts w:ascii="Times New Roman" w:cs="Times New Roman" w:eastAsia="Times New Roman" w:hAnsi="Times New Roman"/>
        </w:rPr>
        <w:t xml:space="preserve">La inasistencia a citas desperdicia cupos de atención y alarga los tiempos de espera. Este proyecto construyó una herramienta que, </w:t>
      </w:r>
      <w:r>
        <w:rPr>
          <w:rFonts w:ascii="Times New Roman" w:cs="Times New Roman" w:eastAsia="Times New Roman" w:hAnsi="Times New Roman"/>
          <w:b/>
          <w:bCs/>
        </w:rPr>
        <w:t xml:space="preserve">el día anterior a las citas</w:t>
      </w:r>
      <w:r>
        <w:rPr>
          <w:rFonts w:ascii="Times New Roman" w:cs="Times New Roman" w:eastAsia="Times New Roman" w:hAnsi="Times New Roman"/>
        </w:rPr>
        <w:t xml:space="preserve">, ordena las citas del día siguiente según su probabilidad de inasistencia. Con esa lista, la IPS puede priorizar las llamadas de confirmación y planear el sobreagendamiento.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Resultados principales (evaluación única en julio de 2026, datos nunca vistos por el modelo):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Modelo elegido:</w:t>
      </w:r>
      <w:r>
        <w:rPr>
          <w:rFonts w:ascii="Times New Roman" w:cs="Times New Roman" w:eastAsia="Times New Roman" w:hAnsi="Times New Roman"/>
        </w:rPr>
        <w:t xml:space="preserve"> LightGBM (gradient boosting), con 45 variables construidas a partir de agendamiento, RIPS, programas de riesgo cardiovascular, gestantes, medicamentos y calendario.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AUC = 0,682.</w:t>
      </w:r>
      <w:r>
        <w:rPr>
          <w:rFonts w:ascii="Times New Roman" w:cs="Times New Roman" w:eastAsia="Times New Roman" w:hAnsi="Times New Roman"/>
        </w:rPr>
        <w:t xml:space="preserve"> Esto significa que, si se toma al azar una cita a la que el paciente faltó y una a la que asistió, el modelo le da más riesgo a la primera el 68 % de las veces.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Precisión en el 10 % de mayor riesgo de cada día: 57,5 %</w:t>
      </w:r>
      <w:r>
        <w:rPr>
          <w:rFonts w:ascii="Times New Roman" w:cs="Times New Roman" w:eastAsia="Times New Roman" w:hAnsi="Times New Roman"/>
        </w:rPr>
        <w:t xml:space="preserve">, frente a 31 % si se llamara al azar (1,8 veces mejor). Llamando al 30 % de mayor riesgo se cubre el 47 % de todas las inasistencias.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Probabilidades bien calibradas:</w:t>
      </w:r>
      <w:r>
        <w:rPr>
          <w:rFonts w:ascii="Times New Roman" w:cs="Times New Roman" w:eastAsia="Times New Roman" w:hAnsi="Times New Roman"/>
        </w:rPr>
        <w:t xml:space="preserve"> error de calibración de 0,012 en validación y una diferencia entre la tasa predicha y la real de ±1 punto porcentual (pp) por mes. Por eso pueden usarse para planear el sobreagendamiento.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Estable en producción simulada:</w:t>
      </w:r>
      <w:r>
        <w:rPr>
          <w:rFonts w:ascii="Times New Roman" w:cs="Times New Roman" w:eastAsia="Times New Roman" w:hAnsi="Times New Roman"/>
        </w:rPr>
        <w:t xml:space="preserve"> aplicado a agosto y septiembre (después del entrenamiento), mantuvo una AUC de 0,69.</w:t>
      </w:r>
    </w:p>
    <w:p>
      <w:r>
        <w:rPr>
          <w:rFonts w:ascii="Times New Roman" w:cs="Times New Roman" w:eastAsia="Times New Roman" w:hAnsi="Times New Roman"/>
        </w:rPr>
        <w:t xml:space="preserve">Un hallazgo central del proyecto fue que </w:t>
      </w:r>
      <w:r>
        <w:rPr>
          <w:rFonts w:ascii="Times New Roman" w:cs="Times New Roman" w:eastAsia="Times New Roman" w:hAnsi="Times New Roman"/>
          <w:b/>
          <w:bCs/>
        </w:rPr>
        <w:t xml:space="preserve">la variable objetivo tenía errores sistemáticos de registro</w:t>
      </w:r>
      <w:r>
        <w:rPr>
          <w:rFonts w:ascii="Times New Roman" w:cs="Times New Roman" w:eastAsia="Times New Roman" w:hAnsi="Times New Roman"/>
        </w:rPr>
        <w:t xml:space="preserve">: días sin reporte en RIPS, procedimientos que no aparecen en el RIPS de consultas, un cambio de codificación de la agenda en abril y citas "huérfanas". Corregirlos bajó las métricas "aparentes" (la AUC pasó de 0,705 a 0,68), pero el modelo resultante mide comportamiento real de los pacientes y no fallas de registro.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2. Problema y objetivo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Problema.</w:t>
      </w:r>
      <w:r>
        <w:rPr>
          <w:rFonts w:ascii="Times New Roman" w:cs="Times New Roman" w:eastAsia="Times New Roman" w:hAnsi="Times New Roman"/>
        </w:rPr>
        <w:t xml:space="preserve"> Una parte importante de las citas agendadas no se cumple. Sin anticipar qué citas tienen más riesgo, las acciones de recordatorio se reparten de forma uniforme y el sobreagendamiento se hace a ciegas.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Objetivo.</w:t>
      </w:r>
      <w:r>
        <w:rPr>
          <w:rFonts w:ascii="Times New Roman" w:cs="Times New Roman" w:eastAsia="Times New Roman" w:hAnsi="Times New Roman"/>
        </w:rPr>
        <w:t xml:space="preserve"> Entregar una herramienta que cada día genere la lista de citas de mañana ordenada por probabilidad de inasistencia, respetando cuatro reglas: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b/>
          <w:bCs/>
        </w:rPr>
        <w:t xml:space="preserve">Momento de predicción:</w:t>
      </w:r>
      <w:r>
        <w:rPr>
          <w:rFonts w:ascii="Times New Roman" w:cs="Times New Roman" w:eastAsia="Times New Roman" w:hAnsi="Times New Roman"/>
        </w:rPr>
        <w:t xml:space="preserve"> el día anterior a la cita (D-1). Ninguna variable usa información de la fecha de la cita o posterior.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b/>
          <w:bCs/>
        </w:rPr>
        <w:t xml:space="preserve">Validación temporal:</w:t>
      </w:r>
      <w:r>
        <w:rPr>
          <w:rFonts w:ascii="Times New Roman" w:cs="Times New Roman" w:eastAsia="Times New Roman" w:hAnsi="Times New Roman"/>
        </w:rPr>
        <w:t xml:space="preserve"> entrenar con el pasado y evaluar con el futuro; nunca con una partición aleatoria.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b/>
          <w:bCs/>
        </w:rPr>
        <w:t xml:space="preserve">Test único:</w:t>
      </w:r>
      <w:r>
        <w:rPr>
          <w:rFonts w:ascii="Times New Roman" w:cs="Times New Roman" w:eastAsia="Times New Roman" w:hAnsi="Times New Roman"/>
        </w:rPr>
        <w:t xml:space="preserve"> julio de 2026 se usa una sola vez, al final.</w:t>
      </w:r>
    </w:p>
    <w:p>
      <w:pPr>
        <w:pStyle w:val="ListParagraph"/>
        <w:numPr>
          <w:ilvl w:val="0"/>
          <w:numId w:val="3"/>
        </w:numPr>
      </w:pPr>
      <w:r>
        <w:rPr>
          <w:rFonts w:ascii="Times New Roman" w:cs="Times New Roman" w:eastAsia="Times New Roman" w:hAnsi="Times New Roman"/>
          <w:b/>
          <w:bCs/>
        </w:rPr>
        <w:t xml:space="preserve">Superar la meta de referencia</w:t>
      </w:r>
      <w:r>
        <w:rPr>
          <w:rFonts w:ascii="Times New Roman" w:cs="Times New Roman" w:eastAsia="Times New Roman" w:hAnsi="Times New Roman"/>
        </w:rPr>
        <w:t xml:space="preserve">, recalculada sobre la etiqueta limpia (ver sección 5.1).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3.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9"/>
        <w:gridCol w:w="3773"/>
        <w:gridCol w:w="3628"/>
      </w:tblGrid>
      <w:tr>
        <w:trPr>
          <w:tblHeader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Fuente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Registros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Uso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agendamiento.xlsx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576.252 citas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Base: una fila por cita agendada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RIPS.xlsx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290.150 atenciones (consultas, 02-ene a 12-sep-2026)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Variable objetivo (asistencia) e historial clínico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RCV.xlsx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21.003 pacientes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Programa de riesgo cardiovascular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Gestantes.xlsx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784 registros de FUM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Gestante activa en la fecha de la cita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Medicamentos.xlsx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175.948 fórmulas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Número de medicamentos en los 90 días previos</w:t>
            </w:r>
          </w:p>
        </w:tc>
      </w:tr>
      <w:tr>
        <w:trPr>
          <w:tblHeader w:val="false"/>
        </w:trPr>
        <w:tc>
          <w:tcPr>
            <w:tcW w:type="dxa" w:w="19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DimCalendario_Colombia_2026</w:t>
            </w:r>
          </w:p>
        </w:tc>
        <w:tc>
          <w:tcPr>
            <w:tcW w:type="dxa" w:w="37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365 días</w:t>
            </w:r>
          </w:p>
        </w:tc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Festivos, puentes, inicio y fin de mes</w:t>
            </w:r>
          </w:p>
        </w:tc>
      </w:tr>
    </w:tbl>
    <w:p>
      <w:pPr>
        <w:spacing w:after="120"/>
      </w:pPr>
    </w:p>
    <w:p>
      <w:r>
        <w:rPr>
          <w:rFonts w:ascii="Times New Roman" w:cs="Times New Roman" w:eastAsia="Times New Roman" w:hAnsi="Times New Roman"/>
          <w:b/>
          <w:bCs/>
        </w:rPr>
        <w:t xml:space="preserve">Dataset final:</w:t>
      </w:r>
      <w:r>
        <w:rPr>
          <w:rFonts w:ascii="Times New Roman" w:cs="Times New Roman" w:eastAsia="Times New Roman" w:hAnsi="Times New Roman"/>
        </w:rPr>
        <w:t xml:space="preserve"> 337.375 citas de 66.306 pacientes, con 45 variables. Partición temporal: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5"/>
        <w:gridCol w:w="2649"/>
        <w:gridCol w:w="1236"/>
        <w:gridCol w:w="2120"/>
      </w:tblGrid>
      <w:tr>
        <w:trPr>
          <w:tblHeader/>
        </w:trPr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Partición</w:t>
            </w:r>
          </w:p>
        </w:tc>
        <w:tc>
          <w:tcPr>
            <w:tcW w:type="dxa" w:w="2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1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Citas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Inasistencia</w:t>
            </w:r>
          </w:p>
        </w:tc>
      </w:tr>
      <w:tr>
        <w:trPr>
          <w:tblHeader w:val="false"/>
        </w:trPr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2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02-ene a 31-may</w:t>
            </w:r>
          </w:p>
        </w:tc>
        <w:tc>
          <w:tcPr>
            <w:tcW w:type="dxa" w:w="1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211.402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32,0 %</w:t>
            </w:r>
          </w:p>
        </w:tc>
      </w:tr>
      <w:tr>
        <w:trPr>
          <w:tblHeader w:val="false"/>
        </w:trPr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Validación</w:t>
            </w:r>
          </w:p>
        </w:tc>
        <w:tc>
          <w:tcPr>
            <w:tcW w:type="dxa" w:w="2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junio</w:t>
            </w:r>
          </w:p>
        </w:tc>
        <w:tc>
          <w:tcPr>
            <w:tcW w:type="dxa" w:w="1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38.719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33,5 %</w:t>
            </w:r>
          </w:p>
        </w:tc>
      </w:tr>
      <w:tr>
        <w:trPr>
          <w:tblHeader w:val="false"/>
        </w:trPr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Test</w:t>
            </w:r>
          </w:p>
        </w:tc>
        <w:tc>
          <w:tcPr>
            <w:tcW w:type="dxa" w:w="2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julio</w:t>
            </w:r>
          </w:p>
        </w:tc>
        <w:tc>
          <w:tcPr>
            <w:tcW w:type="dxa" w:w="1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41.148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31,2 %</w:t>
            </w:r>
          </w:p>
        </w:tc>
      </w:tr>
      <w:tr>
        <w:trPr>
          <w:tblHeader w:val="false"/>
        </w:trPr>
        <w:tc>
          <w:tcPr>
            <w:tcW w:type="dxa" w:w="3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Producción simulada</w:t>
            </w:r>
          </w:p>
        </w:tc>
        <w:tc>
          <w:tcPr>
            <w:tcW w:type="dxa" w:w="264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01-ago a 11-sep</w:t>
            </w:r>
          </w:p>
        </w:tc>
        <w:tc>
          <w:tcPr>
            <w:tcW w:type="dxa" w:w="12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46.106</w:t>
            </w:r>
          </w:p>
        </w:tc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30,6 %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4. Metodología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4.1 Momento de predicción y prevención de fuga de información</w:t>
      </w:r>
    </w:p>
    <w:p>
      <w:r>
        <w:rPr>
          <w:rFonts w:ascii="Times New Roman" w:cs="Times New Roman" w:eastAsia="Times New Roman" w:hAnsi="Times New Roman"/>
        </w:rPr>
        <w:t xml:space="preserve">El modelo se usa en D-1. En ese momento: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Las citas asignadas para el mismo día (lead time = 0) todavía no existen, así que se excluyen de la población.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Lo que ocurre en D-1 aún no se conoce. Por eso el historial, los medicamentos y los diagnósticos se calculan </w:t>
      </w:r>
      <w:r>
        <w:rPr>
          <w:rFonts w:ascii="Times New Roman" w:cs="Times New Roman" w:eastAsia="Times New Roman" w:hAnsi="Times New Roman"/>
          <w:b/>
          <w:bCs/>
        </w:rPr>
        <w:t xml:space="preserve">solo con información hasta D-2</w:t>
      </w:r>
      <w:r>
        <w:rPr>
          <w:rFonts w:ascii="Times New Roman" w:cs="Times New Roman" w:eastAsia="Times New Roman" w:hAnsi="Times New Roman"/>
        </w:rPr>
        <w:t xml:space="preserve">, usando </w:t>
      </w:r>
      <w:r>
        <w:rPr>
          <w:rFonts w:ascii="Consolas" w:cs="Consolas" w:eastAsia="Consolas" w:hAnsi="Consolas"/>
          <w:sz w:val="20"/>
          <w:szCs w:val="20"/>
        </w:rPr>
        <w:t xml:space="preserve">pd.merge_asof</w:t>
      </w:r>
      <w:r>
        <w:rPr>
          <w:rFonts w:ascii="Times New Roman" w:cs="Times New Roman" w:eastAsia="Times New Roman" w:hAnsi="Times New Roman"/>
        </w:rPr>
        <w:t xml:space="preserve"> ("el último valor conocido antes de una fecha"). Una prueba automática verifica que ninguna cita use información a menos de 2 días.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No se usa el diagnóstico de la cita (</w:t>
      </w:r>
      <w:r>
        <w:rPr>
          <w:rFonts w:ascii="Consolas" w:cs="Consolas" w:eastAsia="Consolas" w:hAnsi="Consolas"/>
          <w:sz w:val="20"/>
          <w:szCs w:val="20"/>
        </w:rPr>
        <w:t xml:space="preserve">dx_ppal</w:t>
      </w:r>
      <w:r>
        <w:rPr>
          <w:rFonts w:ascii="Times New Roman" w:cs="Times New Roman" w:eastAsia="Times New Roman" w:hAnsi="Times New Roman"/>
        </w:rPr>
        <w:t xml:space="preserve">), que solo existe si el paciente asistió.</w:t>
      </w:r>
    </w:p>
    <w:p>
      <w:r>
        <w:rPr>
          <w:rFonts w:ascii="Times New Roman" w:cs="Times New Roman" w:eastAsia="Times New Roman" w:hAnsi="Times New Roman"/>
        </w:rPr>
        <w:t xml:space="preserve">Todas las funciones de limpieza y de variables están en un solo módulo (</w:t>
      </w:r>
      <w:r>
        <w:rPr>
          <w:rFonts w:ascii="Consolas" w:cs="Consolas" w:eastAsia="Consolas" w:hAnsi="Consolas"/>
          <w:sz w:val="20"/>
          <w:szCs w:val="20"/>
        </w:rPr>
        <w:t xml:space="preserve">funciones_inasistencia.py</w:t>
      </w:r>
      <w:r>
        <w:rPr>
          <w:rFonts w:ascii="Times New Roman" w:cs="Times New Roman" w:eastAsia="Times New Roman" w:hAnsi="Times New Roman"/>
        </w:rPr>
        <w:t xml:space="preserve">), que usan tanto el entrenamiento como la herramienta diaria. En la prueba, las variables calculadas en producción coincidieron con las de entrenamiento en 99,5–100 % de los casos, y las probabilidades en 0,9999 de correlación (verificado en dos fechas de prueba).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4.2 Construcción y auditoría de la variable objetivo</w:t>
      </w:r>
    </w:p>
    <w:p>
      <w:r>
        <w:rPr>
          <w:rFonts w:ascii="Times New Roman" w:cs="Times New Roman" w:eastAsia="Times New Roman" w:hAnsi="Times New Roman"/>
        </w:rPr>
        <w:t xml:space="preserve">La agenda no dice si el paciente asistió. Se considera que asistió si RIPS tiene una atención del </w:t>
      </w:r>
      <w:r>
        <w:rPr>
          <w:rFonts w:ascii="Times New Roman" w:cs="Times New Roman" w:eastAsia="Times New Roman" w:hAnsi="Times New Roman"/>
          <w:b/>
          <w:bCs/>
        </w:rPr>
        <w:t xml:space="preserve">mismo paciente, el mismo día y el mismo servicio</w:t>
      </w:r>
      <w:r>
        <w:rPr>
          <w:rFonts w:ascii="Times New Roman" w:cs="Times New Roman" w:eastAsia="Times New Roman" w:hAnsi="Times New Roman"/>
        </w:rPr>
        <w:t xml:space="preserve"> (los dos últimos dígitos del código CUPS: 890</w:t>
      </w:r>
      <w:r>
        <w:rPr>
          <w:rFonts w:ascii="Times New Roman" w:cs="Times New Roman" w:eastAsia="Times New Roman" w:hAnsi="Times New Roman"/>
          <w:b/>
          <w:bCs/>
        </w:rPr>
        <w:t xml:space="preserve">2</w:t>
      </w:r>
      <w:r>
        <w:rPr>
          <w:rFonts w:ascii="Times New Roman" w:cs="Times New Roman" w:eastAsia="Times New Roman" w:hAnsi="Times New Roman"/>
        </w:rPr>
        <w:t xml:space="preserve">01 / 890</w:t>
      </w:r>
      <w:r>
        <w:rPr>
          <w:rFonts w:ascii="Times New Roman" w:cs="Times New Roman" w:eastAsia="Times New Roman" w:hAnsi="Times New Roman"/>
          <w:b/>
          <w:bCs/>
        </w:rPr>
        <w:t xml:space="preserve">3</w:t>
      </w:r>
      <w:r>
        <w:rPr>
          <w:rFonts w:ascii="Times New Roman" w:cs="Times New Roman" w:eastAsia="Times New Roman" w:hAnsi="Times New Roman"/>
        </w:rPr>
        <w:t xml:space="preserve">01 = medicina general). La relación entre especialidad y servicio se aprendió de los días sin ambigüedad (1 cita y 1 atención).</w:t>
      </w:r>
    </w:p>
    <w:p>
      <w:r>
        <w:rPr>
          <w:rFonts w:ascii="Times New Roman" w:cs="Times New Roman" w:eastAsia="Times New Roman" w:hAnsi="Times New Roman"/>
        </w:rPr>
        <w:t xml:space="preserve">La auditoría (Fase 1) encontró y corrigió siete fuentes de error: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1"/>
        <w:gridCol w:w="4297"/>
        <w:gridCol w:w="4062"/>
      </w:tblGrid>
      <w:tr>
        <w:trPr>
          <w:tblHeader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Tema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Hallazgo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Decisión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Pico de abril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Falla de reporte en RIPS, no Semana Santa: Armenia no cambió y el volumen de RIPS cayó de ~1.600 a menos de 250 atenciones diarias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Excluir días-departamento con asistencia anómala (z robusto &lt; −4). Se detectaron 24: 28-feb, 1–7 abr, 13-jul, 10–15 ago y Armenia 2–11 sep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PyP–Enfermería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Desde abril agenda sobre todo procedimientos (ECG, citología), que no están en el RIPS de consultas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Clasificar cada cita como Consulta o Procedimiento y excluir los procedimientos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Terapias y servicios no reportados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Asistencia &lt; 25 % (fisioterapia, fonoaudiología, terapias respiratoria y ocupacional, higiene oral); auxiliar de salud oral con registro inestable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Excluir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Cambio de codificación (abril)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Crónicos, salud mental, salud pública, etc. pasan a codificarse como procedimiento dentro de medicina general / PyP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Crear un </w:t>
            </w:r>
            <w:r>
              <w:rPr>
                <w:rFonts w:ascii="Times New Roman" w:cs="Times New Roman" w:eastAsia="Times New Roman" w:hAnsi="Times New Roman"/>
                <w:i/>
                <w:iCs/>
                <w:sz w:val="19"/>
                <w:szCs w:val="19"/>
              </w:rPr>
              <w:t xml:space="preserve">servicio homologado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 (especialidad + procedimiento agendado)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Citas huérfanas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Las citas que quedaron con el código viejo después de abril casi nunca aparecen en RIPS (2,8 % de asistencia vs. 64 %)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Excluir los 13 códigos descontinuados desde el 1 de abril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Reprogramaciones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La IPS no dispone de un reporte de canceladas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Una cita sin atención en RIPS se considera reprogramada si el paciente pidió otra del mismo servicio antes de su fecha. Se excluye</w:t>
            </w:r>
          </w:p>
        </w:tc>
      </w:tr>
      <w:tr>
        <w:trPr>
          <w:tblHeader w:val="false"/>
        </w:trPr>
        <w:tc>
          <w:tcPr>
            <w:tcW w:type="dxa" w:w="100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Rezago de RIPS</w:t>
            </w:r>
          </w:p>
        </w:tc>
        <w:tc>
          <w:tcPr>
            <w:tcW w:type="dxa" w:w="42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hay rezago sistemático (relación RIPS/agenda estable)</w:t>
            </w:r>
          </w:p>
        </w:tc>
        <w:tc>
          <w:tcPr>
            <w:tcW w:type="dxa" w:w="40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usan datos hasta el 11-sep. Agosto y septiembre sirven como producción simulada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Inasistencia semanal por departamento con la etiqueta sin corregir: los picos corresponden a fallas de reporte, no a comportamiento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Efecto de cada regla sobre el número de citas: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2"/>
        <w:gridCol w:w="1074"/>
        <w:gridCol w:w="1534"/>
      </w:tblGrid>
      <w:tr>
        <w:trPr>
          <w:tblHeader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Paso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Citas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Eliminadas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Agendamiento original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576.252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 duplicados exactos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574.730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1.522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 fecha de asignación, especialidad y hora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567.212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7.518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Una cita por paciente-día-servicio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516.498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50.714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Dentro de la ventana con RIPS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483.541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32.957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Asignadas al menos 1 día antes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442.516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41.025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Solo consultas (sin procedimientos)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399.008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43.508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 terapias ni servicios no reportados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381.955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17.053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 citas huérfanas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378.598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3.357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 días sin reporte en RIPS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359.677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18.921</w:t>
            </w:r>
          </w:p>
        </w:tc>
      </w:tr>
      <w:tr>
        <w:trPr>
          <w:tblHeader w:val="false"/>
        </w:trPr>
        <w:tc>
          <w:tcPr>
            <w:tcW w:type="dxa" w:w="67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Sin posibles reprogramaciones</w:t>
            </w:r>
          </w:p>
        </w:tc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337.375</w:t>
            </w:r>
          </w:p>
        </w:tc>
        <w:tc>
          <w:tcPr>
            <w:tcW w:type="dxa" w:w="15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22.302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4.3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5"/>
        <w:gridCol w:w="8005"/>
      </w:tblGrid>
      <w:tr>
        <w:trPr>
          <w:tblHeader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Grupo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Variables principales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Agendamiento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lead time (días y rangos), hora (cíclica y franja), primera vez / control, servicio homologado, familia de servicio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Sociodemográficas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edad y curso de vida (Res. 3280/2018), sexo, nivel y tipo de usuario, régimen, sede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Calendario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día de la semana, festivos, días previos y posteriores a festivo, puentes, primer día hábil del mes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Historial (hasta D-2)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citas previas, inasistencias previas, tasa histórica suavizada, estado de la última cita, días desde la última cita, sin historial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Historial por servicio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 mismo, pero solo en el servicio de la cita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Clínicas (hasta D-2)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programa RCV, diabetes, gestante activa, medicamentos en 90 días, diagnósticos CIE-10 previos, atenciones en 90 días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Carga de agenda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otras citas el mismo día y en los 7 días anteriores y siguientes (ya agendadas en D-1)</w:t>
            </w:r>
          </w:p>
        </w:tc>
      </w:tr>
      <w:tr>
        <w:trPr>
          <w:tblHeader w:val="false"/>
        </w:trPr>
        <w:tc>
          <w:tcPr>
            <w:tcW w:type="dxa" w:w="13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Interacciones</w:t>
            </w:r>
          </w:p>
        </w:tc>
        <w:tc>
          <w:tcPr>
            <w:tcW w:type="dxa" w:w="80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familia de servicio × lead time, curso de vida × tipo de cita</w:t>
            </w:r>
          </w:p>
        </w:tc>
      </w:tr>
    </w:tbl>
    <w:p>
      <w:pPr>
        <w:spacing w:after="120"/>
      </w:pPr>
    </w:p>
    <w:p>
      <w:r>
        <w:rPr>
          <w:rFonts w:ascii="Times New Roman" w:cs="Times New Roman" w:eastAsia="Times New Roman" w:hAnsi="Times New Roman"/>
        </w:rPr>
        <w:t xml:space="preserve">La </w:t>
      </w:r>
      <w:r>
        <w:rPr>
          <w:rFonts w:ascii="Times New Roman" w:cs="Times New Roman" w:eastAsia="Times New Roman" w:hAnsi="Times New Roman"/>
          <w:b/>
          <w:bCs/>
        </w:rPr>
        <w:t xml:space="preserve">tasa histórica suavizada</w:t>
      </w:r>
      <w:r>
        <w:rPr>
          <w:rFonts w:ascii="Times New Roman" w:cs="Times New Roman" w:eastAsia="Times New Roman" w:hAnsi="Times New Roman"/>
        </w:rPr>
        <w:t xml:space="preserve"> resuelve el "arranque en frío": parte del promedio general de entrenamiento y se acerca a la tasa propia del paciente a medida que acumula citas, con la fórmula (inasistencias + 3 × promedio) / (citas + 3).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4.4 Análisis exploratorio (solo con datos de entrenamiento)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8"/>
        <w:gridCol w:w="3178"/>
        <w:gridCol w:w="2979"/>
        <w:gridCol w:w="885"/>
      </w:tblGrid>
      <w:tr>
        <w:trPr>
          <w:tblHeader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Hipótesis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Efecto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Veredicto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Más lead time → más inasistencia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36,5 % (&gt;90 días) vs. 30,1 % (1–7 días)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Moderado (6,4 pp), inestable en junio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confirma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 jóvenes faltan más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42,7 % (18–28 años) vs. 25,5 % (60+)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Grande (17,2 pp)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confirma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 crónicos faltan menos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24,6 % (programas RCV) vs. 36,7 % (sin programa)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Grande (12,1 pp)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confirma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Lunes y sábado → más inasistencia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33,1 % vs. 31,6 %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Pequeño (1,5 pp)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confirma</w:t>
            </w:r>
          </w:p>
        </w:tc>
      </w:tr>
      <w:tr>
        <w:trPr>
          <w:tblHeader w:val="false"/>
        </w:trPr>
        <w:tc>
          <w:tcPr>
            <w:tcW w:type="dxa" w:w="2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Puentes festivos → más inasistencia</w:t>
            </w:r>
          </w:p>
        </w:tc>
        <w:tc>
          <w:tcPr>
            <w:tcW w:type="dxa" w:w="31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35,9 % vs. 32,0 %</w:t>
            </w:r>
          </w:p>
        </w:tc>
        <w:tc>
          <w:tcPr>
            <w:tcW w:type="dxa" w:w="297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Moderado (3,9 pp), solo el 1,7 % de las citas</w:t>
            </w:r>
          </w:p>
        </w:tc>
        <w:tc>
          <w:tcPr>
            <w:tcW w:type="dxa" w:w="8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 confirma</w:t>
            </w:r>
          </w:p>
        </w:tc>
      </w:tr>
    </w:tbl>
    <w:p>
      <w:pPr>
        <w:spacing w:after="120"/>
      </w:pPr>
    </w:p>
    <w:p>
      <w:r>
        <w:rPr>
          <w:rFonts w:ascii="Times New Roman" w:cs="Times New Roman" w:eastAsia="Times New Roman" w:hAnsi="Times New Roman"/>
        </w:rPr>
        <w:t xml:space="preserve">Otras conclusiones: faltar a la última cita eleva la inasistencia (39,6 % vs. 28,9 %). Las relaciones de persona e historial (edad, programa, tipo de usuario, estado de la última cita) son estables mes a mes, mientras que las de agenda y calendario (lead time, día, hora, sede) son pequeñas e inestables. Se eliminaron 12 variables redundantes (correlación de Spearman &gt; 0,8), sin señal o con codificación inestable.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01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Tasa de inasistencia por categoría con intervalo de confianza del 95 % (entrenamiento)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4.5 Medidas técnicas y selección de variables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Validación cruzada temporal</w:t>
      </w:r>
      <w:r>
        <w:rPr>
          <w:rFonts w:ascii="Times New Roman" w:cs="Times New Roman" w:eastAsia="Times New Roman" w:hAnsi="Times New Roman"/>
        </w:rPr>
        <w:t xml:space="preserve"> con ventana creciente (ene–feb → mar, …, ene–may → jun). La validación aleatoria sobreestimó la AUC (0,682 vs. 0,668) porque "ve el futuro".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Estandarización:</w:t>
      </w:r>
      <w:r>
        <w:rPr>
          <w:rFonts w:ascii="Times New Roman" w:cs="Times New Roman" w:eastAsia="Times New Roman" w:hAnsi="Times New Roman"/>
        </w:rPr>
        <w:t xml:space="preserve"> necesaria para la regresión logística. Sin ella, el optimizador no converge en 3.000 iteraciones; con ella, converge en unas 100. No es necesaria para los árboles.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Regularización:</w:t>
      </w:r>
      <w:r>
        <w:rPr>
          <w:rFonts w:ascii="Times New Roman" w:cs="Times New Roman" w:eastAsia="Times New Roman" w:hAnsi="Times New Roman"/>
        </w:rPr>
        <w:t xml:space="preserve"> en la logística casi no cambia la AUC (hay datos de sobra), pero se mantiene para estabilizar los coeficientes. En los árboles se ajusta con los hiperparámetros.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Variables v2 por bloques:</w:t>
      </w:r>
      <w:r>
        <w:rPr>
          <w:rFonts w:ascii="Times New Roman" w:cs="Times New Roman" w:eastAsia="Times New Roman" w:hAnsi="Times New Roman"/>
        </w:rPr>
        <w:t xml:space="preserve"> entraron el historial por servicio (+0,0025 de AUC), la carga de agenda (+0,0054) y las interacciones (+0,0027 en la logística). Las reprogramaciones previas no aportaron y no entraron.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Desbalance (32 %):</w:t>
      </w:r>
      <w:r>
        <w:rPr>
          <w:rFonts w:ascii="Times New Roman" w:cs="Times New Roman" w:eastAsia="Times New Roman" w:hAnsi="Times New Roman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class_weight="balanced"</w:t>
      </w:r>
      <w:r>
        <w:rPr>
          <w:rFonts w:ascii="Times New Roman" w:cs="Times New Roman" w:eastAsia="Times New Roman" w:hAnsi="Times New Roman"/>
        </w:rPr>
        <w:t xml:space="preserve"> no mejoró el ordenamiento y </w:t>
      </w:r>
      <w:r>
        <w:rPr>
          <w:rFonts w:ascii="Times New Roman" w:cs="Times New Roman" w:eastAsia="Times New Roman" w:hAnsi="Times New Roman"/>
          <w:b/>
          <w:bCs/>
        </w:rPr>
        <w:t xml:space="preserve">infló las probabilidades</w:t>
      </w:r>
      <w:r>
        <w:rPr>
          <w:rFonts w:ascii="Times New Roman" w:cs="Times New Roman" w:eastAsia="Times New Roman" w:hAnsi="Times New Roman"/>
        </w:rPr>
        <w:t xml:space="preserve"> (48 % predicho vs. 34 % real). No se balanceó ni se usó SMOTE.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Calibración:</w:t>
      </w:r>
      <w:r>
        <w:rPr>
          <w:rFonts w:ascii="Times New Roman" w:cs="Times New Roman" w:eastAsia="Times New Roman" w:hAnsi="Times New Roman"/>
        </w:rPr>
        <w:t xml:space="preserve"> la calibración isotónica empeoró el Brier y la AUC. El modelo ya estaba bien calibrado, así que no se calibró.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4.6 Métricas de negocio</w:t>
      </w:r>
    </w:p>
    <w:p>
      <w:r>
        <w:rPr>
          <w:rFonts w:ascii="Times New Roman" w:cs="Times New Roman" w:eastAsia="Times New Roman" w:hAnsi="Times New Roman"/>
        </w:rPr>
        <w:t xml:space="preserve">Se supone una capacidad de llamadas equivalente al </w:t>
      </w:r>
      <w:r>
        <w:rPr>
          <w:rFonts w:ascii="Times New Roman" w:cs="Times New Roman" w:eastAsia="Times New Roman" w:hAnsi="Times New Roman"/>
          <w:b/>
          <w:bCs/>
        </w:rPr>
        <w:t xml:space="preserve">10 % de las citas diarias</w:t>
      </w:r>
      <w:r>
        <w:rPr>
          <w:rFonts w:ascii="Times New Roman" w:cs="Times New Roman" w:eastAsia="Times New Roman" w:hAnsi="Times New Roman"/>
        </w:rPr>
        <w:t xml:space="preserve"> (~180 de ~1.800), más un escenario del 30 % con mensajes automáticos. Por eso la métrica principal es la </w:t>
      </w:r>
      <w:r>
        <w:rPr>
          <w:rFonts w:ascii="Times New Roman" w:cs="Times New Roman" w:eastAsia="Times New Roman" w:hAnsi="Times New Roman"/>
          <w:b/>
          <w:bCs/>
        </w:rPr>
        <w:t xml:space="preserve">precisión en el top 10 % de cada día</w:t>
      </w:r>
      <w:r>
        <w:rPr>
          <w:rFonts w:ascii="Times New Roman" w:cs="Times New Roman" w:eastAsia="Times New Roman" w:hAnsi="Times New Roman"/>
        </w:rPr>
        <w:t xml:space="preserve">, y se complementa con recall, especificidad, F1, AUC, PR-AUC y Brier.</w:t>
      </w:r>
    </w:p>
    <w:p>
      <w:r>
        <w:rPr>
          <w:rFonts w:ascii="Times New Roman" w:cs="Times New Roman" w:eastAsia="Times New Roman" w:hAnsi="Times New Roman"/>
        </w:rPr>
        <w:t xml:space="preserve">Con los supuestos de costo (cupo perdido de $45.000, llamada de $2.500 y 25 % de efectividad de la llamada), llamar es rentable desde un riesgo del 22 %. El límite real es, entonces, la capacidad y no el costo. Estos supuestos están en </w:t>
      </w:r>
      <w:r>
        <w:rPr>
          <w:rFonts w:ascii="Consolas" w:cs="Consolas" w:eastAsia="Consolas" w:hAnsi="Consolas"/>
          <w:sz w:val="20"/>
          <w:szCs w:val="20"/>
        </w:rPr>
        <w:t xml:space="preserve">modelos/config_negocio.json</w:t>
      </w:r>
      <w:r>
        <w:rPr>
          <w:rFonts w:ascii="Times New Roman" w:cs="Times New Roman" w:eastAsia="Times New Roman" w:hAnsi="Times New Roman"/>
        </w:rPr>
        <w:t xml:space="preserve"> y deben reemplazarse por los valores reales de la IPS.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5. Resultados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5.1 Comparación de modelos (validación cruzada temporal, enero–junio)</w:t>
      </w:r>
    </w:p>
    <w:p>
      <w:r>
        <w:rPr>
          <w:rFonts w:ascii="Times New Roman" w:cs="Times New Roman" w:eastAsia="Times New Roman" w:hAnsi="Times New Roman"/>
        </w:rPr>
        <w:t xml:space="preserve">La meta original (AUC 0,705) se midió con la etiqueta sin corregir. Con el mismo protocolo sobre la etiqueta limpia, la </w:t>
      </w:r>
      <w:r>
        <w:rPr>
          <w:rFonts w:ascii="Times New Roman" w:cs="Times New Roman" w:eastAsia="Times New Roman" w:hAnsi="Times New Roman"/>
          <w:b/>
          <w:bCs/>
        </w:rPr>
        <w:t xml:space="preserve">meta recalculada es AUC 0,671 y precisión@10 % de 60,4 %</w:t>
      </w:r>
      <w:r>
        <w:rPr>
          <w:rFonts w:ascii="Times New Roman" w:cs="Times New Roman" w:eastAsia="Times New Roman" w:hAnsi="Times New Roman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1364"/>
        <w:gridCol w:w="856"/>
        <w:gridCol w:w="856"/>
        <w:gridCol w:w="1042"/>
        <w:gridCol w:w="856"/>
        <w:gridCol w:w="1364"/>
        <w:gridCol w:w="856"/>
      </w:tblGrid>
      <w:tr>
        <w:trPr>
          <w:tblHeader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AUC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PR-AUC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Brier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Precisión@10%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Recall@10%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Especificidad@10%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F1@10%</w:t>
            </w:r>
          </w:p>
        </w:tc>
      </w:tr>
      <w:tr>
        <w:trPr>
          <w:tblHeader w:val="false"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Línea base (tasa histórica)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0,588 ± 0,013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0,413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0,220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0,490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0,148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0,924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0,227</w:t>
            </w:r>
          </w:p>
        </w:tc>
      </w:tr>
      <w:tr>
        <w:trPr>
          <w:tblHeader w:val="false"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Regresión logística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0,655 ± 0,006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0,480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0,234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0,571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0,172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0,936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0,265</w:t>
            </w:r>
          </w:p>
        </w:tc>
      </w:tr>
      <w:tr>
        <w:trPr>
          <w:tblHeader w:val="false"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0,670 ± 0,010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0,506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0,203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0,598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0,181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0,940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0,277</w:t>
            </w:r>
          </w:p>
        </w:tc>
      </w:tr>
      <w:tr>
        <w:trPr>
          <w:tblHeader w:val="false"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HistGradientBoosting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0,678 ± 0,008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0,514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0,616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0,186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0,943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0,286</w:t>
            </w:r>
          </w:p>
        </w:tc>
      </w:tr>
      <w:tr>
        <w:trPr>
          <w:tblHeader w:val="false"/>
        </w:trPr>
        <w:tc>
          <w:tcPr>
            <w:tcW w:type="dxa" w:w="21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LightGBM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0,679 ± 0,008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0,517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0,201</w:t>
            </w:r>
          </w:p>
        </w:tc>
        <w:tc>
          <w:tcPr>
            <w:tcW w:type="dxa" w:w="10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0,623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0,188</w:t>
            </w:r>
          </w:p>
        </w:tc>
        <w:tc>
          <w:tcPr>
            <w:tcW w:type="dxa" w:w="13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0,944</w:t>
            </w:r>
          </w:p>
        </w:tc>
        <w:tc>
          <w:tcPr>
            <w:tcW w:type="dxa" w:w="8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0,289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1514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Comparación de modelos: AUC, precisión y recall en el top 10 % diario</w:t>
      </w:r>
    </w:p>
    <w:p>
      <w:r>
        <w:rPr>
          <w:rFonts w:ascii="Times New Roman" w:cs="Times New Roman" w:eastAsia="Times New Roman" w:hAnsi="Times New Roman"/>
        </w:rPr>
        <w:t xml:space="preserve">LightGBM y HistGradientBoosting son equivalentes: su diferencia está dentro de la variación entre folds. Se eligió LightGBM por su AUC media más alta y su velocidad. Ambos superan la meta recalculada.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5.2 Evaluación única en test (julio de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86"/>
        <w:gridCol w:w="3585"/>
        <w:gridCol w:w="2389"/>
      </w:tblGrid>
      <w:tr>
        <w:trPr>
          <w:tblHeader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Validación cruzada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Test (julio)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AUC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0,679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0,682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PR-AUC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0,517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0,490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Brier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0,201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0,196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Precisión@10%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0,623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0,575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Recall@10%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0,188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0,184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Especificidad@10%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0,944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0,938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Precisión@30%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0,505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0,485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Recall@30%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0,458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0,465</w:t>
            </w:r>
          </w:p>
        </w:tc>
      </w:tr>
      <w:tr>
        <w:trPr>
          <w:tblHeader w:val="false"/>
        </w:trPr>
        <w:tc>
          <w:tcPr>
            <w:tcW w:type="dxa" w:w="33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Especificidad@30%</w:t>
            </w:r>
          </w:p>
        </w:tc>
        <w:tc>
          <w:tcPr>
            <w:tcW w:type="dxa" w:w="35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0,778</w:t>
            </w:r>
          </w:p>
        </w:tc>
        <w:tc>
          <w:tcPr>
            <w:tcW w:type="dxa" w:w="23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0,776</w:t>
            </w:r>
          </w:p>
        </w:tc>
      </w:tr>
    </w:tbl>
    <w:p>
      <w:pPr>
        <w:spacing w:after="120"/>
      </w:pPr>
    </w:p>
    <w:p>
      <w:r>
        <w:rPr>
          <w:rFonts w:ascii="Times New Roman" w:cs="Times New Roman" w:eastAsia="Times New Roman" w:hAnsi="Times New Roman"/>
        </w:rPr>
        <w:t xml:space="preserve">La AUC en test es igual a la de validación, así que </w:t>
      </w:r>
      <w:r>
        <w:rPr>
          <w:rFonts w:ascii="Times New Roman" w:cs="Times New Roman" w:eastAsia="Times New Roman" w:hAnsi="Times New Roman"/>
          <w:b/>
          <w:bCs/>
        </w:rPr>
        <w:t xml:space="preserve">no hay sobreajuste</w:t>
      </w:r>
      <w:r>
        <w:rPr>
          <w:rFonts w:ascii="Times New Roman" w:cs="Times New Roman" w:eastAsia="Times New Roman" w:hAnsi="Times New Roman"/>
        </w:rPr>
        <w:t xml:space="preserve">. La precisión baja un poco porque julio tuvo menos inasistencia (31,2 %), y la precisión depende de la tasa base.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Curva ROC, curva precisión–recall y calibración en test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Ganancia acumulada y lift en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6"/>
        <w:gridCol w:w="2425"/>
        <w:gridCol w:w="909"/>
        <w:gridCol w:w="874"/>
        <w:gridCol w:w="3536"/>
      </w:tblGrid>
      <w:tr>
        <w:trPr>
          <w:tblHeader/>
        </w:trPr>
        <w:tc>
          <w:tcPr>
            <w:tcW w:type="dxa" w:w="1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Capacidad diaria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Inasistencias capturadas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Precisión</w:t>
            </w:r>
          </w:p>
        </w:tc>
        <w:tc>
          <w:tcPr>
            <w:tcW w:type="dxa" w:w="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Lift</w:t>
            </w:r>
          </w:p>
        </w:tc>
        <w:tc>
          <w:tcPr>
            <w:tcW w:type="dxa" w:w="3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Beneficio neto en julio (supuestos)</w:t>
            </w:r>
          </w:p>
        </w:tc>
      </w:tr>
      <w:tr>
        <w:trPr>
          <w:tblHeader w:val="false"/>
        </w:trPr>
        <w:tc>
          <w:tcPr>
            <w:tcW w:type="dxa" w:w="1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5 %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10,2 %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64,3 %</w:t>
            </w:r>
          </w:p>
        </w:tc>
        <w:tc>
          <w:tcPr>
            <w:tcW w:type="dxa" w:w="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2,06</w:t>
            </w:r>
          </w:p>
        </w:tc>
        <w:tc>
          <w:tcPr>
            <w:tcW w:type="dxa" w:w="3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$9,7 millones</w:t>
            </w:r>
          </w:p>
        </w:tc>
      </w:tr>
      <w:tr>
        <w:trPr>
          <w:tblHeader w:val="false"/>
        </w:trPr>
        <w:tc>
          <w:tcPr>
            <w:tcW w:type="dxa" w:w="1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10 %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18,4 %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57,5 %</w:t>
            </w:r>
          </w:p>
        </w:tc>
        <w:tc>
          <w:tcPr>
            <w:tcW w:type="dxa" w:w="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1,84</w:t>
            </w:r>
          </w:p>
        </w:tc>
        <w:tc>
          <w:tcPr>
            <w:tcW w:type="dxa" w:w="3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$16,3 millones</w:t>
            </w:r>
          </w:p>
        </w:tc>
      </w:tr>
      <w:tr>
        <w:trPr>
          <w:tblHeader w:val="false"/>
        </w:trPr>
        <w:tc>
          <w:tcPr>
            <w:tcW w:type="dxa" w:w="1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20 %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33,7 %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52,6 %</w:t>
            </w:r>
          </w:p>
        </w:tc>
        <w:tc>
          <w:tcPr>
            <w:tcW w:type="dxa" w:w="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1,69</w:t>
            </w:r>
          </w:p>
        </w:tc>
        <w:tc>
          <w:tcPr>
            <w:tcW w:type="dxa" w:w="3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$28,1 millones</w:t>
            </w:r>
          </w:p>
        </w:tc>
      </w:tr>
      <w:tr>
        <w:trPr>
          <w:tblHeader w:val="false"/>
        </w:trPr>
        <w:tc>
          <w:tcPr>
            <w:tcW w:type="dxa" w:w="161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30 %</w:t>
            </w:r>
          </w:p>
        </w:tc>
        <w:tc>
          <w:tcPr>
            <w:tcW w:type="dxa" w:w="24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46,5 %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48,5 %</w:t>
            </w:r>
          </w:p>
        </w:tc>
        <w:tc>
          <w:tcPr>
            <w:tcW w:type="dxa" w:w="8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1,55</w:t>
            </w:r>
          </w:p>
        </w:tc>
        <w:tc>
          <w:tcPr>
            <w:tcW w:type="dxa" w:w="35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$36,5 millones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5.3 Equidad</w:t>
      </w:r>
    </w:p>
    <w:p>
      <w:r>
        <w:rPr>
          <w:rFonts w:ascii="Times New Roman" w:cs="Times New Roman" w:eastAsia="Times New Roman" w:hAnsi="Times New Roman"/>
        </w:rPr>
        <w:t xml:space="preserve">Entre sedes, regímenes y sexos, la AUC (0,68 ± 0,01) y la calibración (brecha ≤ 2,3 pp) son parecidas. Por curso de vida, la AUC dentro de cada grupo es menor (0,62–0,66), algo esperable al comparar pacientes parecidos entre sí, pero la calibración es buena (≤ 3,2 pp). El único grupo con una brecha relevante es </w:t>
      </w:r>
      <w:r>
        <w:rPr>
          <w:rFonts w:ascii="Times New Roman" w:cs="Times New Roman" w:eastAsia="Times New Roman" w:hAnsi="Times New Roman"/>
          <w:b/>
          <w:bCs/>
        </w:rPr>
        <w:t xml:space="preserve">Especialistas: el modelo predice 29,8 % y la tasa real es 23,7 %</w:t>
      </w:r>
      <w:r>
        <w:rPr>
          <w:rFonts w:ascii="Times New Roman" w:cs="Times New Roman" w:eastAsia="Times New Roman" w:hAnsi="Times New Roman"/>
        </w:rPr>
        <w:t xml:space="preserve">. Coincide con la tendencia a la baja de algunas especialidades (dermatología) y se corrige con reentrenamientos periódicos.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5.4 Interpretabilidad</w:t>
      </w:r>
    </w:p>
    <w:p>
      <w:r>
        <w:rPr>
          <w:rFonts w:ascii="Times New Roman" w:cs="Times New Roman" w:eastAsia="Times New Roman" w:hAnsi="Times New Roman"/>
        </w:rPr>
        <w:t xml:space="preserve">Las diez variables más influyentes (importancia por permutación en validación):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2340"/>
        <w:gridCol w:w="6153"/>
      </w:tblGrid>
      <w:tr>
        <w:trPr>
          <w:tblHeader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Interpretación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programa_rcv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 pacientes de programas crónicos son más cumplidos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edad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Jóvenes (12–28) faltan más; adultos mayores, menos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servicio_homologado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Salud mental y nutrición faltan más; crónicos y medicina general, menos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tasa_inasistencia_suavizada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Quien ha faltado antes, tiende a volver a faltar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familia_x_lead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El efecto del tiempo de espera depende del servicio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dias_desde_ultima_cita_esp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Los pacientes frecuentes en el servicio son más cumplidos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lead_time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Más días entre la asignación y la cita, más riesgo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n_otras_citas_mismo_dia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Quien viene a varias citas el mismo día suele asistir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estado_ultima_cita_esp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Faltar a la última cita del mismo servicio eleva el riesgo</w:t>
            </w:r>
          </w:p>
        </w:tc>
      </w:tr>
      <w:tr>
        <w:trPr>
          <w:tblHeader w:val="false"/>
        </w:trPr>
        <w:tc>
          <w:tcPr>
            <w:tcW w:type="dxa" w:w="8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n_citas_proximos_7d</w:t>
            </w:r>
          </w:p>
        </w:tc>
        <w:tc>
          <w:tcPr>
            <w:tcW w:type="dxa" w:w="6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Otras citas en la semana siguiente (tratamiento activo)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Importancia por permutación (validación: junio)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Errores del modelo.</w:t>
      </w:r>
      <w:r>
        <w:rPr>
          <w:rFonts w:ascii="Times New Roman" w:cs="Times New Roman" w:eastAsia="Times New Roman" w:hAnsi="Times New Roman"/>
        </w:rPr>
        <w:t xml:space="preserve"> Los falsos negativos (faltaron, pero el modelo les dio riesgo bajo) son pacientes algo mayores y con buen historial: son inasistencias ocasionales, difíciles de anticipar por naturaleza. El desempeño es menor en pacientes sin historial (AUC de 0,64 vs. 0,68).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5.5 Monitoreo en producción simulada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4"/>
        <w:gridCol w:w="873"/>
        <w:gridCol w:w="1167"/>
        <w:gridCol w:w="1685"/>
        <w:gridCol w:w="873"/>
        <w:gridCol w:w="1685"/>
        <w:gridCol w:w="873"/>
      </w:tblGrid>
      <w:tr>
        <w:trPr>
          <w:tblHeader/>
        </w:trPr>
        <w:tc>
          <w:tcPr>
            <w:tcW w:type="dxa" w:w="2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Mes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Citas</w:t>
            </w:r>
          </w:p>
        </w:tc>
        <w:tc>
          <w:tcPr>
            <w:tcW w:type="dxa" w:w="1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Tasa real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Tasa predicha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AUC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Precisión@10%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Julio (test)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41.148</w:t>
            </w:r>
          </w:p>
        </w:tc>
        <w:tc>
          <w:tcPr>
            <w:tcW w:type="dxa" w:w="1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31,2 %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32,3 %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0,682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57,5 %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Agosto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30.350</w:t>
            </w:r>
          </w:p>
        </w:tc>
        <w:tc>
          <w:tcPr>
            <w:tcW w:type="dxa" w:w="1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31,6 %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30,6 %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0,692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60,9 %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Septiembre (1–11)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15.756</w:t>
            </w:r>
          </w:p>
        </w:tc>
        <w:tc>
          <w:tcPr>
            <w:tcW w:type="dxa" w:w="11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28,8 %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29,6 %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0,694</w:t>
            </w:r>
          </w:p>
        </w:tc>
        <w:tc>
          <w:tcPr>
            <w:tcW w:type="dxa" w:w="16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57,5 %</w:t>
            </w:r>
          </w:p>
        </w:tc>
        <w:tc>
          <w:tcPr>
            <w:tcW w:type="dxa" w:w="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Tasa real vs. predicha por semana en producción simulada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6. Herramienta predictiva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Uso diario (el día anterior a las citas):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Desde la terminal: </w:t>
      </w:r>
      <w:r>
        <w:rPr>
          <w:rFonts w:ascii="Consolas" w:cs="Consolas" w:eastAsia="Consolas" w:hAnsi="Consolas"/>
          <w:sz w:val="20"/>
          <w:szCs w:val="20"/>
        </w:rPr>
        <w:t xml:space="preserve">python prediccion_diaria.py --fecha AAAA-MM-DD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</w:rPr>
        <w:t xml:space="preserve">Con interfaz web: </w:t>
      </w:r>
      <w:r>
        <w:rPr>
          <w:rFonts w:ascii="Consolas" w:cs="Consolas" w:eastAsia="Consolas" w:hAnsi="Consolas"/>
          <w:sz w:val="20"/>
          <w:szCs w:val="20"/>
        </w:rPr>
        <w:t xml:space="preserve">streamlit run app_streamlit.py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Qué hace:</w:t>
      </w:r>
      <w:r>
        <w:rPr>
          <w:rFonts w:ascii="Times New Roman" w:cs="Times New Roman" w:eastAsia="Times New Roman" w:hAnsi="Times New Roman"/>
        </w:rPr>
        <w:t xml:space="preserve"> carga el modelo guardado (</w:t>
      </w:r>
      <w:r>
        <w:rPr>
          <w:rFonts w:ascii="Consolas" w:cs="Consolas" w:eastAsia="Consolas" w:hAnsi="Consolas"/>
          <w:sz w:val="20"/>
          <w:szCs w:val="20"/>
        </w:rPr>
        <w:t xml:space="preserve">modelos/modelo_inasistencia.joblib</w:t>
      </w:r>
      <w:r>
        <w:rPr>
          <w:rFonts w:ascii="Times New Roman" w:cs="Times New Roman" w:eastAsia="Times New Roman" w:hAnsi="Times New Roman"/>
        </w:rPr>
        <w:t xml:space="preserve">). Usa solo la información disponible en D-1 (agenda asignada hasta D-1; RIPS y medicamentos hasta D-2) y calcula las variables con las mismas funciones del entrenamiento. Luego genera </w:t>
      </w:r>
      <w:r>
        <w:rPr>
          <w:rFonts w:ascii="Consolas" w:cs="Consolas" w:eastAsia="Consolas" w:hAnsi="Consolas"/>
          <w:sz w:val="20"/>
          <w:szCs w:val="20"/>
        </w:rPr>
        <w:t xml:space="preserve">salidas/prediccion_AAAA-MM-DD.xlsx</w:t>
      </w:r>
      <w:r>
        <w:rPr>
          <w:rFonts w:ascii="Times New Roman" w:cs="Times New Roman" w:eastAsia="Times New Roman" w:hAnsi="Times New Roman"/>
        </w:rPr>
        <w:t xml:space="preserve"> con tres hojas: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Resumen:</w:t>
      </w:r>
      <w:r>
        <w:rPr>
          <w:rFonts w:ascii="Times New Roman" w:cs="Times New Roman" w:eastAsia="Times New Roman" w:hAnsi="Times New Roman"/>
        </w:rPr>
        <w:t xml:space="preserve"> citas evaluadas, riesgo alto y medio, inasistencias esperadas.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Prioridad de llamadas:</w:t>
      </w:r>
      <w:r>
        <w:rPr>
          <w:rFonts w:ascii="Times New Roman" w:cs="Times New Roman" w:eastAsia="Times New Roman" w:hAnsi="Times New Roman"/>
        </w:rPr>
        <w:t xml:space="preserve"> citas ordenadas por probabilidad, con nivel de riesgo (Alto = 10 % de mayor riesgo del día, Medio = siguiente 20 %, Bajo = resto) y motivos en lenguaje sencillo (por ejemplo, "Faltó a su última cita").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No evaluadas:</w:t>
      </w:r>
      <w:r>
        <w:rPr>
          <w:rFonts w:ascii="Times New Roman" w:cs="Times New Roman" w:eastAsia="Times New Roman" w:hAnsi="Times New Roman"/>
        </w:rPr>
        <w:t xml:space="preserve"> procedimientos, terapias y códigos descontinuados, con el motivo.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Ejemplo (27 de agosto de 2026):</w:t>
      </w:r>
      <w:r>
        <w:rPr>
          <w:rFonts w:ascii="Times New Roman" w:cs="Times New Roman" w:eastAsia="Times New Roman" w:hAnsi="Times New Roman"/>
        </w:rPr>
        <w:t xml:space="preserve"> 1.834 citas evaluadas. La inasistencia real fue de 70,5 % en las de riesgo Alto, 43,3 % en las de Medio y 27,6 % en las de Bajo.</w:t>
      </w:r>
    </w:p>
    <w:p>
      <w:r>
        <w:rPr>
          <w:rFonts w:ascii="Times New Roman" w:cs="Times New Roman" w:eastAsia="Times New Roman" w:hAnsi="Times New Roman"/>
          <w:b/>
          <w:bCs/>
        </w:rPr>
        <w:t xml:space="preserve">Protocolo de monitoreo: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1684"/>
        <w:gridCol w:w="2007"/>
        <w:gridCol w:w="4791"/>
      </w:tblGrid>
      <w:tr>
        <w:trPr>
          <w:tblHeader/>
        </w:trPr>
        <w:tc>
          <w:tcPr>
            <w:tcW w:type="dxa" w:w="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Frecuencia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Qué revisar</w:t>
            </w:r>
          </w:p>
        </w:tc>
        <w:tc>
          <w:tcPr>
            <w:tcW w:type="dxa" w:w="2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Umbral</w:t>
            </w:r>
          </w:p>
        </w:tc>
        <w:tc>
          <w:tcPr>
            <w:tcW w:type="dxa" w:w="47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Acción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Semanal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Tasa real vs. predicha</w:t>
            </w:r>
          </w:p>
        </w:tc>
        <w:tc>
          <w:tcPr>
            <w:tcW w:type="dxa" w:w="2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Brecha &gt; 3 pp durante 2 semanas</w:t>
            </w:r>
          </w:p>
        </w:tc>
        <w:tc>
          <w:tcPr>
            <w:tcW w:type="dxa" w:w="47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Verificar primero el reporte de RIPS; si los datos están bien, recalibrar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Mensual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AUC y precisión@10%</w:t>
            </w:r>
          </w:p>
        </w:tc>
        <w:tc>
          <w:tcPr>
            <w:tcW w:type="dxa" w:w="2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Caída de la AUC &gt; 0,03 vs. test</w:t>
            </w:r>
          </w:p>
        </w:tc>
        <w:tc>
          <w:tcPr>
            <w:tcW w:type="dxa" w:w="47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Reentrenar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Mensual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Calibración por subgrupo</w:t>
            </w:r>
          </w:p>
        </w:tc>
        <w:tc>
          <w:tcPr>
            <w:tcW w:type="dxa" w:w="2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Brecha &gt; 5 pp</w:t>
            </w:r>
          </w:p>
        </w:tc>
        <w:tc>
          <w:tcPr>
            <w:tcW w:type="dxa" w:w="47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Analizar el grupo (hoy: especialistas)</w:t>
            </w:r>
          </w:p>
        </w:tc>
      </w:tr>
      <w:tr>
        <w:trPr>
          <w:tblHeader w:val="false"/>
        </w:trPr>
        <w:tc>
          <w:tcPr>
            <w:tcW w:type="dxa" w:w="87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Mensual</w:t>
            </w:r>
          </w:p>
        </w:tc>
        <w:tc>
          <w:tcPr>
            <w:tcW w:type="dxa" w:w="16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Reentrenamiento programado</w:t>
            </w:r>
          </w:p>
        </w:tc>
        <w:tc>
          <w:tcPr>
            <w:tcW w:type="dxa" w:w="20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—</w:t>
            </w:r>
          </w:p>
        </w:tc>
        <w:tc>
          <w:tcPr>
            <w:tcW w:type="dxa" w:w="47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Reentrenar con todos los meses etiquetados, previa auditoría (notebook 01)</w:t>
            </w:r>
          </w:p>
        </w:tc>
      </w:tr>
    </w:tbl>
    <w:p>
      <w:pPr>
        <w:spacing w:after="120"/>
      </w:pP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7. Limitaciones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Cancelaciones:</w:t>
      </w:r>
      <w:r>
        <w:rPr>
          <w:rFonts w:ascii="Times New Roman" w:cs="Times New Roman" w:eastAsia="Times New Roman" w:hAnsi="Times New Roman"/>
        </w:rPr>
        <w:t xml:space="preserve"> sin un reporte de canceladas, una cancelación sin nueva cita se cuenta como inasistencia, así que la tasa de inasistencia puede estar sobreestimada.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RIPS de consultas:</w:t>
      </w:r>
      <w:r>
        <w:rPr>
          <w:rFonts w:ascii="Times New Roman" w:cs="Times New Roman" w:eastAsia="Times New Roman" w:hAnsi="Times New Roman"/>
        </w:rPr>
        <w:t xml:space="preserve"> los procedimientos y las terapias no se pueden evaluar, porque su asistencia no aparece en el RIPS disponible.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Horizonte corto:</w:t>
      </w:r>
      <w:r>
        <w:rPr>
          <w:rFonts w:ascii="Times New Roman" w:cs="Times New Roman" w:eastAsia="Times New Roman" w:hAnsi="Times New Roman"/>
        </w:rPr>
        <w:t xml:space="preserve"> con ocho meses de datos no se puede aprender estacionalidad anual, y el historial arranca en enero (arranque en frío).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Variables no disponibles:</w:t>
      </w:r>
      <w:r>
        <w:rPr>
          <w:rFonts w:ascii="Times New Roman" w:cs="Times New Roman" w:eastAsia="Times New Roman" w:hAnsi="Times New Roman"/>
        </w:rPr>
        <w:t xml:space="preserve"> no hay dirección del paciente, hospitalizaciones, cirugías ni canal de agendamiento. RCV no tiene fechas y se asume que el programa estuvo vigente en todo el periodo.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Residuos de registro:</w:t>
      </w:r>
      <w:r>
        <w:rPr>
          <w:rFonts w:ascii="Times New Roman" w:cs="Times New Roman" w:eastAsia="Times New Roman" w:hAnsi="Times New Roman"/>
        </w:rPr>
        <w:t xml:space="preserve"> Armenia del 13 al 15 de agosto tuvo un reporte parcial que la regla estadística no detectó (unas 600 citas).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Supuestos de negocio:</w:t>
      </w:r>
      <w:r>
        <w:rPr>
          <w:rFonts w:ascii="Times New Roman" w:cs="Times New Roman" w:eastAsia="Times New Roman" w:hAnsi="Times New Roman"/>
        </w:rPr>
        <w:t xml:space="preserve"> los costos y la efectividad de la llamada son supuestos de referencia.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b/>
          <w:bCs/>
        </w:rPr>
        <w:t xml:space="preserve">Techo del modelo:</w:t>
      </w:r>
      <w:r>
        <w:rPr>
          <w:rFonts w:ascii="Times New Roman" w:cs="Times New Roman" w:eastAsia="Times New Roman" w:hAnsi="Times New Roman"/>
        </w:rPr>
        <w:t xml:space="preserve"> con datos administrativos y esta etiqueta, el comportamiento individual se predice solo parcialmente (AUC ≈ 0,68).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8. Recomendaciones de datos para la IPS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Registrar el estado de cada cita</w:t>
      </w:r>
      <w:r>
        <w:rPr>
          <w:rFonts w:ascii="Times New Roman" w:cs="Times New Roman" w:eastAsia="Times New Roman" w:hAnsi="Times New Roman"/>
        </w:rPr>
        <w:t xml:space="preserve"> (cumplida, cancelada por el paciente, cancelada por la IPS, reprogramada, inasistencia) en el sistema de agendamiento. Es la mejora más importante: elimina el ruido de la etiqueta y permite medir la inasistencia en tiempo real, sin depender de RIPS.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Incluir el RIPS de procedimientos</w:t>
      </w:r>
      <w:r>
        <w:rPr>
          <w:rFonts w:ascii="Times New Roman" w:cs="Times New Roman" w:eastAsia="Times New Roman" w:hAnsi="Times New Roman"/>
        </w:rPr>
        <w:t xml:space="preserve">, para evaluar citologías, electrocardiogramas y terapias.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Documentar los cambios de codificación de la agenda</w:t>
      </w:r>
      <w:r>
        <w:rPr>
          <w:rFonts w:ascii="Times New Roman" w:cs="Times New Roman" w:eastAsia="Times New Roman" w:hAnsi="Times New Roman"/>
        </w:rPr>
        <w:t xml:space="preserve"> (como el de abril de 2026) y mantener una tabla de equivalencias entre códigos viejos y nuevos.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Agregar variables de contacto:</w:t>
      </w:r>
      <w:r>
        <w:rPr>
          <w:rFonts w:ascii="Times New Roman" w:cs="Times New Roman" w:eastAsia="Times New Roman" w:hAnsi="Times New Roman"/>
        </w:rPr>
        <w:t xml:space="preserve"> canal de agendamiento, si se envió recordatorio y si el paciente lo confirmó. Además de mejorar el modelo, permite medir el efecto real de las llamadas.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Agregar la dirección o el barrio del paciente</w:t>
      </w:r>
      <w:r>
        <w:rPr>
          <w:rFonts w:ascii="Times New Roman" w:cs="Times New Roman" w:eastAsia="Times New Roman" w:hAnsi="Times New Roman"/>
        </w:rPr>
        <w:t xml:space="preserve">, para estimar la distancia a la sede.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Registrar las fechas de ingreso y salida de los programas RCV.</w:t>
      </w:r>
    </w:p>
    <w:p>
      <w:pPr>
        <w:pStyle w:val="ListParagraph"/>
        <w:numPr>
          <w:ilvl w:val="0"/>
          <w:numId w:val="4"/>
        </w:numPr>
      </w:pPr>
      <w:r>
        <w:rPr>
          <w:rFonts w:ascii="Times New Roman" w:cs="Times New Roman" w:eastAsia="Times New Roman" w:hAnsi="Times New Roman"/>
          <w:b/>
          <w:bCs/>
        </w:rPr>
        <w:t xml:space="preserve">Evaluar el impacto con un piloto controlado:</w:t>
      </w:r>
      <w:r>
        <w:rPr>
          <w:rFonts w:ascii="Times New Roman" w:cs="Times New Roman" w:eastAsia="Times New Roman" w:hAnsi="Times New Roman"/>
        </w:rPr>
        <w:t xml:space="preserve"> comparar la inasistencia de citas de riesgo alto llamadas vs. no llamadas, para medir la efectividad real (hoy supuesta en 25 %).</w:t>
      </w:r>
    </w:p>
    <w:p>
      <w:pPr>
        <w:pStyle w:val="Title"/>
      </w:pPr>
      <w:r>
        <w:rPr>
          <w:rFonts w:ascii="Times New Roman" w:cs="Times New Roman" w:eastAsia="Times New Roman" w:hAnsi="Times New Roman"/>
        </w:rPr>
        <w:t xml:space="preserve">9. Estructura del proyecto y reproducibilidad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8"/>
        <w:gridCol w:w="5732"/>
      </w:tblGrid>
      <w:tr>
        <w:trPr>
          <w:tblHeader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Contenido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01_Auditoria_Etiqueta.ipynb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Fase 1: auditoría de la variable objetivo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02_Construccion_Dataset.ipynb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Construcción de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dataset_modelo.parquet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03_EDA.ipynb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Fase 2: análisis exploratorio orientado a hipótesis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04_Metricas_y_Variables_v2.ipynb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Fases 3 y 4: métricas de negocio, medidas técnicas y variables v2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05_Modelado.ipynb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Fase 5: modelado progresivo y búsqueda de hiperparámetros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06_Evaluacion_Final.ipynb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Fases 6 a 8: test, equidad, interpretabilidad, modelo de producción y monitoreo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funciones_inasistencia.py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Funciones de limpieza, etiqueta y variables (compartidas)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funciones_modelado.py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Validación temporal, métricas y modelos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prediccion_diaria.py / app_streamlit.py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Herramienta diaria (terminal e interfaz web)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modelos/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Modelo entrenado, variables, parámetros y configuración de negocio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dataset_modelo.parquet / dataset_modelo_v2.parquet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Datasets de modelado</w:t>
            </w:r>
          </w:p>
        </w:tc>
      </w:tr>
      <w:tr>
        <w:trPr>
          <w:tblHeader w:val="false"/>
        </w:trPr>
        <w:tc>
          <w:tcPr>
            <w:tcW w:type="dxa" w:w="36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diccionario_variables.csv</w:t>
            </w:r>
          </w:p>
        </w:tc>
        <w:tc>
          <w:tcPr>
            <w:tcW w:type="dxa" w:w="57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Descripción de cada variable</w:t>
            </w:r>
          </w:p>
        </w:tc>
      </w:tr>
    </w:tbl>
    <w:p>
      <w:pPr>
        <w:spacing w:after="120"/>
      </w:pPr>
    </w:p>
    <w:p>
      <w:r>
        <w:rPr>
          <w:rFonts w:ascii="Times New Roman" w:cs="Times New Roman" w:eastAsia="Times New Roman" w:hAnsi="Times New Roman"/>
          <w:b/>
          <w:bCs/>
        </w:rPr>
        <w:t xml:space="preserve">Para reproducir:</w:t>
      </w:r>
      <w:r>
        <w:rPr>
          <w:rFonts w:ascii="Times New Roman" w:cs="Times New Roman" w:eastAsia="Times New Roman" w:hAnsi="Times New Roman"/>
        </w:rPr>
        <w:t xml:space="preserve"> ejecutar los notebooks en orden (01 a 06) con el entorno Anaconda base (pandas 2.3, scikit-learn 1.7, LightGBM 4.7). Todos los parámetros están en </w:t>
      </w:r>
      <w:r>
        <w:rPr>
          <w:rFonts w:ascii="Consolas" w:cs="Consolas" w:eastAsia="Consolas" w:hAnsi="Consolas"/>
          <w:sz w:val="20"/>
          <w:szCs w:val="20"/>
        </w:rPr>
        <w:t xml:space="preserve">funciones_inasistencia.PARAMETROS</w:t>
      </w:r>
      <w:r>
        <w:rPr>
          <w:rFonts w:ascii="Times New Roman" w:cs="Times New Roman" w:eastAsia="Times New Roman" w:hAnsi="Times New Roman"/>
        </w:rP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b5303e46d248a2a90c6b51e5fe0f5ac8962e922.png"/><Relationship Id="rId9" Type="http://schemas.openxmlformats.org/officeDocument/2006/relationships/image" Target="media/00e29575ebb7b4453bc8a46d7787c388f8173658.png"/><Relationship Id="rId10" Type="http://schemas.openxmlformats.org/officeDocument/2006/relationships/image" Target="media/822a2ad8512af96f7e9d9aaa2a3ac1425ac2026b.png"/><Relationship Id="rId11" Type="http://schemas.openxmlformats.org/officeDocument/2006/relationships/image" Target="media/fdcaff7e139e81b4c32ab5f9ce002aa76117e2fb.png"/><Relationship Id="rId12" Type="http://schemas.openxmlformats.org/officeDocument/2006/relationships/image" Target="media/7ae59913940300e96b54dd64e0ef64b4066cbdd5.png"/><Relationship Id="rId13" Type="http://schemas.openxmlformats.org/officeDocument/2006/relationships/image" Target="media/36981ef4eabd89e95540864e6a1998c0e897ec9d.png"/><Relationship Id="rId14" Type="http://schemas.openxmlformats.org/officeDocument/2006/relationships/image" Target="media/e1344cabeb922bdabef888e68831cb1c83150a1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2026-09-27T12:02:26.799Z</dcterms:created>
  <dcterms:modified xsi:type="dcterms:W3CDTF">2026-09-27T12:02:26.800Z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