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Style w:val="Title"/>
      </w:pPr>
      <w:r>
        <w:rPr>
          <w:rFonts w:ascii="Times New Roman" w:cs="Times New Roman" w:eastAsia="Times New Roman" w:hAnsi="Times New Roman"/>
        </w:rPr>
        <w:t xml:space="preserve">Modelo predictivo de inasistencia a citas de consulta externa en Viva1A IPS</w:t>
      </w:r>
    </w:p>
    <w:p>
      <w:pPr>
        <w:spacing w:after="120"/>
        <w:jc w:val="center"/>
      </w:pPr>
      <w:r>
        <w:rPr>
          <w:rFonts w:ascii="Times New Roman" w:cs="Times New Roman" w:eastAsia="Times New Roman" w:hAnsi="Times New Roman"/>
          <w:b/>
          <w:bCs/>
        </w:rPr>
        <w:t xml:space="preserve">Documentación del proyecto de Inteligencia Artificial</w:t>
      </w:r>
    </w:p>
    <w:p>
      <w:pPr>
        <w:spacing w:after="120"/>
        <w:jc w:val="center"/>
      </w:pPr>
      <w:r>
        <w:rPr>
          <w:rFonts w:ascii="Times New Roman" w:cs="Times New Roman" w:eastAsia="Times New Roman" w:hAnsi="Times New Roman"/>
        </w:rPr>
        <w:t xml:space="preserve">Santiago Osorio Idárraga · Leslie Pérez · Wilson Ospina Pérez · Juliana Alarcón · Jonatan De La Ossa · Daniela Dominguez Castaño</w:t>
      </w:r>
    </w:p>
    <w:p>
      <w:pPr>
        <w:spacing w:after="120"/>
        <w:jc w:val="center"/>
      </w:pPr>
      <w:r>
        <w:rPr>
          <w:rFonts w:ascii="Times New Roman" w:cs="Times New Roman" w:eastAsia="Times New Roman" w:hAnsi="Times New Roman"/>
        </w:rPr>
        <w:t xml:space="preserve">Especialización en Inteligencia Artificial Aplicada, Universidad Icesi</w:t>
      </w:r>
    </w:p>
    <w:p>
      <w:pPr>
        <w:spacing w:after="120"/>
        <w:jc w:val="center"/>
      </w:pPr>
      <w:r>
        <w:rPr>
          <w:rFonts w:ascii="Times New Roman" w:cs="Times New Roman" w:eastAsia="Times New Roman" w:hAnsi="Times New Roman"/>
        </w:rPr>
        <w:t xml:space="preserve">Análisis de datos I · Profesor: José Ordoñez Córdoba</w:t>
      </w:r>
    </w:p>
    <w:p>
      <w:pPr>
        <w:spacing w:after="120"/>
        <w:jc w:val="center"/>
      </w:pPr>
      <w:r>
        <w:rPr>
          <w:rFonts w:ascii="Times New Roman" w:cs="Times New Roman" w:eastAsia="Times New Roman" w:hAnsi="Times New Roman"/>
        </w:rPr>
        <w:t xml:space="preserve">Septiembre de 2026</w:t>
      </w:r>
    </w:p>
    <w:p>
      <w:r>
        <w:br w:type="page"/>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Title"/>
      </w:pPr>
      <w:r>
        <w:rPr>
          <w:rFonts w:ascii="Times New Roman" w:cs="Times New Roman" w:eastAsia="Times New Roman" w:hAnsi="Times New Roman"/>
        </w:rPr>
        <w:t xml:space="preserve">Introducción</w:t>
      </w:r>
    </w:p>
    <w:p>
      <w:r>
        <w:rPr>
          <w:rFonts w:ascii="Times New Roman" w:cs="Times New Roman" w:eastAsia="Times New Roman" w:hAnsi="Times New Roman"/>
        </w:rPr>
        <w:t xml:space="preserve">Este documento presenta el proyecto de Inteligencia Artificial desarrollado para anticipar la inasistencia a citas de consulta externa en Viva1A IPS. Recoge el problema de negocio planteado en el documento </w:t>
      </w:r>
      <w:r>
        <w:rPr>
          <w:rFonts w:ascii="Times New Roman" w:cs="Times New Roman" w:eastAsia="Times New Roman" w:hAnsi="Times New Roman"/>
          <w:i/>
          <w:iCs/>
        </w:rPr>
        <w:t xml:space="preserve">Descripción del problema e impacto</w:t>
      </w:r>
      <w:r>
        <w:rPr>
          <w:rFonts w:ascii="Times New Roman" w:cs="Times New Roman" w:eastAsia="Times New Roman" w:hAnsi="Times New Roman"/>
        </w:rPr>
        <w:t xml:space="preserve"> (septiembre de 2026) y el trabajo analítico realizado sobre los datos reales entregados por la institución: auditoría de la variable objetivo, construcción de variables, análisis exploratorio, modelado, evaluación y prototipo de la herramienta de uso diario.</w:t>
      </w:r>
    </w:p>
    <w:p>
      <w:r>
        <w:rPr>
          <w:rFonts w:ascii="Times New Roman" w:cs="Times New Roman" w:eastAsia="Times New Roman" w:hAnsi="Times New Roman"/>
        </w:rPr>
        <w:t xml:space="preserve">El documento sigue la ruta </w:t>
      </w:r>
      <w:r>
        <w:rPr>
          <w:rFonts w:ascii="Times New Roman" w:cs="Times New Roman" w:eastAsia="Times New Roman" w:hAnsi="Times New Roman"/>
          <w:b/>
          <w:bCs/>
        </w:rPr>
        <w:t xml:space="preserve">problema → objetivos → datos → modelo → resultados → despliegue → valor</w:t>
      </w:r>
      <w:r>
        <w:rPr>
          <w:rFonts w:ascii="Times New Roman" w:cs="Times New Roman" w:eastAsia="Times New Roman" w:hAnsi="Times New Roman"/>
        </w:rPr>
        <w:t xml:space="preserve">. Para evitar confusiones, cada afirmación se clasifica según su naturaleza: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75"/>
        <w:gridCol w:w="7785"/>
      </w:tblGrid>
      <w:tr>
        <w:trPr>
          <w:tblHeader/>
        </w:trPr>
        <w:tc>
          <w:tcPr>
            <w:tcW w:type="dxa" w:w="157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Tipo</w:t>
            </w:r>
          </w:p>
        </w:tc>
        <w:tc>
          <w:tcPr>
            <w:tcW w:type="dxa" w:w="778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Significado en este documento</w:t>
            </w:r>
          </w:p>
        </w:tc>
      </w:tr>
      <w:tr>
        <w:trPr>
          <w:tblHeader w:val="false"/>
        </w:trPr>
        <w:tc>
          <w:tcPr>
            <w:tcW w:type="dxa" w:w="15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Dato observado</w:t>
            </w:r>
          </w:p>
        </w:tc>
        <w:tc>
          <w:tcPr>
            <w:tcW w:type="dxa" w:w="7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Hecho tomado directamente de los archivos fuente o del documento del problema</w:t>
            </w:r>
          </w:p>
        </w:tc>
      </w:tr>
      <w:tr>
        <w:trPr>
          <w:tblHeader w:val="false"/>
        </w:trPr>
        <w:tc>
          <w:tcPr>
            <w:tcW w:type="dxa" w:w="15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Resultado</w:t>
            </w:r>
          </w:p>
        </w:tc>
        <w:tc>
          <w:tcPr>
            <w:tcW w:type="dxa" w:w="7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Cifra calculada durante el proyecto (notebooks 01 a 06)</w:t>
            </w:r>
          </w:p>
        </w:tc>
      </w:tr>
      <w:tr>
        <w:trPr>
          <w:tblHeader w:val="false"/>
        </w:trPr>
        <w:tc>
          <w:tcPr>
            <w:tcW w:type="dxa" w:w="15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Interpretación</w:t>
            </w:r>
          </w:p>
        </w:tc>
        <w:tc>
          <w:tcPr>
            <w:tcW w:type="dxa" w:w="7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Lectura analítica de un dato o resultado</w:t>
            </w:r>
          </w:p>
        </w:tc>
      </w:tr>
      <w:tr>
        <w:trPr>
          <w:tblHeader w:val="false"/>
        </w:trPr>
        <w:tc>
          <w:tcPr>
            <w:tcW w:type="dxa" w:w="15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Supuesto</w:t>
            </w:r>
          </w:p>
        </w:tc>
        <w:tc>
          <w:tcPr>
            <w:tcW w:type="dxa" w:w="7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Valor o condición asumida para el análisis, que no proviene de los datos y debe validarse</w:t>
            </w:r>
          </w:p>
        </w:tc>
      </w:tr>
      <w:tr>
        <w:trPr>
          <w:tblHeader w:val="false"/>
        </w:trPr>
        <w:tc>
          <w:tcPr>
            <w:tcW w:type="dxa" w:w="15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Recomendación</w:t>
            </w:r>
          </w:p>
        </w:tc>
        <w:tc>
          <w:tcPr>
            <w:tcW w:type="dxa" w:w="7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Acción propuesta para una fase futura; no es un resultado alcanzado</w:t>
            </w:r>
          </w:p>
        </w:tc>
      </w:tr>
    </w:tbl>
    <w:p>
      <w:pPr>
        <w:spacing w:after="120"/>
      </w:pPr>
    </w:p>
    <w:p>
      <w:r>
        <w:rPr>
          <w:rFonts w:ascii="Times New Roman" w:cs="Times New Roman" w:eastAsia="Times New Roman" w:hAnsi="Times New Roman"/>
        </w:rPr>
        <w:t xml:space="preserve">Cuando una información necesaria no existe en las fuentes, se indica como </w:t>
      </w:r>
      <w:r>
        <w:rPr>
          <w:rFonts w:ascii="Times New Roman" w:cs="Times New Roman" w:eastAsia="Times New Roman" w:hAnsi="Times New Roman"/>
          <w:b/>
          <w:bCs/>
        </w:rPr>
        <w:t xml:space="preserve">[Información no disponible en los datos proporcionados]</w:t>
      </w:r>
      <w:r>
        <w:rPr>
          <w:rFonts w:ascii="Times New Roman" w:cs="Times New Roman" w:eastAsia="Times New Roman" w:hAnsi="Times New Roman"/>
        </w:rPr>
        <w:t xml:space="preserve">. El Anexo A resume las diferencias encontradas entre el documento del problema y lo que finalmente se pudo hacer con los datos reales.</w:t>
      </w:r>
    </w:p>
    <w:p>
      <w:pPr>
        <w:pStyle w:val="Title"/>
      </w:pPr>
      <w:r>
        <w:rPr>
          <w:rFonts w:ascii="Times New Roman" w:cs="Times New Roman" w:eastAsia="Times New Roman" w:hAnsi="Times New Roman"/>
        </w:rPr>
        <w:t xml:space="preserve">1. Definición del problema</w:t>
      </w:r>
    </w:p>
    <w:p>
      <w:pPr>
        <w:pStyle w:val="Heading1"/>
      </w:pPr>
      <w:r>
        <w:rPr>
          <w:rFonts w:ascii="Times New Roman" w:cs="Times New Roman" w:eastAsia="Times New Roman" w:hAnsi="Times New Roman"/>
        </w:rPr>
        <w:t xml:space="preserve">1.1 Contexto del negocio</w:t>
      </w:r>
    </w:p>
    <w:p>
      <w:r>
        <w:rPr>
          <w:rFonts w:ascii="Times New Roman" w:cs="Times New Roman" w:eastAsia="Times New Roman" w:hAnsi="Times New Roman"/>
          <w:b/>
          <w:bCs/>
        </w:rPr>
        <w:t xml:space="preserve">Dato observado.</w:t>
      </w:r>
      <w:r>
        <w:rPr>
          <w:rFonts w:ascii="Times New Roman" w:cs="Times New Roman" w:eastAsia="Times New Roman" w:hAnsi="Times New Roman"/>
        </w:rPr>
        <w:t xml:space="preserve"> Viva1A es una IPS privada colombiana con ingresos ordinarios de $659.309 millones en 2025 (+3,0 % frente a 2024) y un patrimonio de $124.314 millones. Presta servicios ambulatorios a varias EPS, entre ellas SURA, Nueva EPS, Compensar, Mutual Ser y SOS. Sus márgenes en 2025 fueron: bruto de ~20,5 %, operacional de ~9,1 % y neto de ~4,8 %. La utilidad operacional cayó 7,2 % por un aumento de 24,7 % en los gastos de administración y ventas. Las cuentas por cobrar ($211.347 millones) representan la mayor parte del activo corriente.</w:t>
      </w:r>
    </w:p>
    <w:p>
      <w:r>
        <w:rPr>
          <w:rFonts w:ascii="Times New Roman" w:cs="Times New Roman" w:eastAsia="Times New Roman" w:hAnsi="Times New Roman"/>
          <w:b/>
          <w:bCs/>
        </w:rPr>
        <w:t xml:space="preserve">Dato observado.</w:t>
      </w:r>
      <w:r>
        <w:rPr>
          <w:rFonts w:ascii="Times New Roman" w:cs="Times New Roman" w:eastAsia="Times New Roman" w:hAnsi="Times New Roman"/>
        </w:rPr>
        <w:t xml:space="preserve"> Entre los pilares del plan estratégico Cultura 1A 2024-2028 está la </w:t>
      </w:r>
      <w:r>
        <w:rPr>
          <w:rFonts w:ascii="Times New Roman" w:cs="Times New Roman" w:eastAsia="Times New Roman" w:hAnsi="Times New Roman"/>
          <w:i/>
          <w:iCs/>
        </w:rPr>
        <w:t xml:space="preserve">sostenibilidad financiera</w:t>
      </w:r>
      <w:r>
        <w:rPr>
          <w:rFonts w:ascii="Times New Roman" w:cs="Times New Roman" w:eastAsia="Times New Roman" w:hAnsi="Times New Roman"/>
        </w:rPr>
        <w:t xml:space="preserve">, con la ruta "hacer más con lo mismo" y una </w:t>
      </w:r>
      <w:r>
        <w:rPr>
          <w:rFonts w:ascii="Times New Roman" w:cs="Times New Roman" w:eastAsia="Times New Roman" w:hAnsi="Times New Roman"/>
          <w:b/>
          <w:bCs/>
        </w:rPr>
        <w:t xml:space="preserve">meta de productividad asistencial del 2,9 % para 2028</w:t>
      </w:r>
      <w:r>
        <w:rPr>
          <w:rFonts w:ascii="Times New Roman" w:cs="Times New Roman" w:eastAsia="Times New Roman" w:hAnsi="Times New Roman"/>
        </w:rPr>
        <w:t xml:space="preserve">.</w:t>
      </w:r>
    </w:p>
    <w:p>
      <w:r>
        <w:rPr>
          <w:rFonts w:ascii="Times New Roman" w:cs="Times New Roman" w:eastAsia="Times New Roman" w:hAnsi="Times New Roman"/>
          <w:b/>
          <w:bCs/>
        </w:rPr>
        <w:t xml:space="preserve">Interpretación.</w:t>
      </w:r>
      <w:r>
        <w:rPr>
          <w:rFonts w:ascii="Times New Roman" w:cs="Times New Roman" w:eastAsia="Times New Roman" w:hAnsi="Times New Roman"/>
        </w:rPr>
        <w:t xml:space="preserve"> Con un margen neto estrecho, cada cupo de consulta que no se usa es capacidad pagada que no genera producción ni facturación. Por eso reducir los cupos perdidos por inasistencia está directamente alineado con la meta de productividad de la institución.</w:t>
      </w:r>
    </w:p>
    <w:p>
      <w:pPr>
        <w:pStyle w:val="Heading1"/>
      </w:pPr>
      <w:r>
        <w:rPr>
          <w:rFonts w:ascii="Times New Roman" w:cs="Times New Roman" w:eastAsia="Times New Roman" w:hAnsi="Times New Roman"/>
        </w:rPr>
        <w:t xml:space="preserve">1.2 Problema u oportunidad</w:t>
      </w:r>
    </w:p>
    <w:p>
      <w:r>
        <w:rPr>
          <w:rFonts w:ascii="Times New Roman" w:cs="Times New Roman" w:eastAsia="Times New Roman" w:hAnsi="Times New Roman"/>
          <w:b/>
          <w:bCs/>
        </w:rPr>
        <w:t xml:space="preserve">Situación actual (dato observado, documento del problema).</w:t>
      </w:r>
      <w:r>
        <w:rPr>
          <w:rFonts w:ascii="Times New Roman" w:cs="Times New Roman" w:eastAsia="Times New Roman" w:hAnsi="Times New Roman"/>
        </w:rPr>
        <w:t xml:space="preserve"> La IPS responde a la inasistencia con dos acciones:</w:t>
      </w:r>
    </w:p>
    <w:p>
      <w:pPr>
        <w:pStyle w:val="ListParagraph"/>
        <w:numPr>
          <w:ilvl w:val="0"/>
          <w:numId w:val="2"/>
        </w:numPr>
      </w:pPr>
      <w:r>
        <w:rPr>
          <w:rFonts w:ascii="Times New Roman" w:cs="Times New Roman" w:eastAsia="Times New Roman" w:hAnsi="Times New Roman"/>
          <w:b/>
          <w:bCs/>
        </w:rPr>
        <w:t xml:space="preserve">Sobreagendamiento.</w:t>
      </w:r>
      <w:r>
        <w:rPr>
          <w:rFonts w:ascii="Times New Roman" w:cs="Times New Roman" w:eastAsia="Times New Roman" w:hAnsi="Times New Roman"/>
        </w:rPr>
        <w:t xml:space="preserve"> Ha generado sobrecarga laboral, baja satisfacción del cliente interno y consultas más cortas cuando asisten todos los pacientes.</w:t>
      </w:r>
    </w:p>
    <w:p>
      <w:pPr>
        <w:pStyle w:val="ListParagraph"/>
        <w:numPr>
          <w:ilvl w:val="0"/>
          <w:numId w:val="2"/>
        </w:numPr>
      </w:pPr>
      <w:r>
        <w:rPr>
          <w:rFonts w:ascii="Times New Roman" w:cs="Times New Roman" w:eastAsia="Times New Roman" w:hAnsi="Times New Roman"/>
          <w:b/>
          <w:bCs/>
        </w:rPr>
        <w:t xml:space="preserve">Mensajes de texto a algunos pacientes.</w:t>
      </w:r>
      <w:r>
        <w:rPr>
          <w:rFonts w:ascii="Times New Roman" w:cs="Times New Roman" w:eastAsia="Times New Roman" w:hAnsi="Times New Roman"/>
        </w:rPr>
        <w:t xml:space="preserve"> No han obtenido resultados favorables.</w:t>
      </w:r>
    </w:p>
    <w:p>
      <w:r>
        <w:rPr>
          <w:rFonts w:ascii="Times New Roman" w:cs="Times New Roman" w:eastAsia="Times New Roman" w:hAnsi="Times New Roman"/>
        </w:rPr>
        <w:t xml:space="preserve">Ninguna de las dos se apoya en una estimación del riesgo de cada cita.</w:t>
      </w:r>
    </w:p>
    <w:p>
      <w:r>
        <w:rPr>
          <w:rFonts w:ascii="Times New Roman" w:cs="Times New Roman" w:eastAsia="Times New Roman" w:hAnsi="Times New Roman"/>
          <w:b/>
          <w:bCs/>
        </w:rPr>
        <w:t xml:space="preserve">Magnitud en los datos del proyecto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52"/>
        <w:gridCol w:w="2363"/>
        <w:gridCol w:w="1545"/>
      </w:tblGrid>
      <w:tr>
        <w:trPr>
          <w:tblHeader/>
        </w:trPr>
        <w:tc>
          <w:tcPr>
            <w:tcW w:type="dxa" w:w="5452"/>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Indicador</w:t>
            </w:r>
          </w:p>
        </w:tc>
        <w:tc>
          <w:tcPr>
            <w:tcW w:type="dxa" w:w="2363"/>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Valor</w:t>
            </w:r>
          </w:p>
        </w:tc>
        <w:tc>
          <w:tcPr>
            <w:tcW w:type="dxa" w:w="154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Fuente</w:t>
            </w:r>
          </w:p>
        </w:tc>
      </w:tr>
      <w:tr>
        <w:trPr>
          <w:tblHeader w:val="false"/>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Citas agendadas en el archivo de agendamiento</w:t>
            </w:r>
          </w:p>
        </w:tc>
        <w:tc>
          <w:tcPr>
            <w:tcW w:type="dxa" w:w="23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576.252 (69.493 pacientes)</w:t>
            </w:r>
          </w:p>
        </w:tc>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agendamiento.xlsx</w:t>
            </w:r>
          </w:p>
        </w:tc>
      </w:tr>
      <w:tr>
        <w:trPr>
          <w:tblHeader w:val="false"/>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Citas válidas para modelar (consultas, 02-ene a 11-sep-2026)</w:t>
            </w:r>
          </w:p>
        </w:tc>
        <w:tc>
          <w:tcPr>
            <w:tcW w:type="dxa" w:w="23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337.375 (66.306 pacientes)</w:t>
            </w:r>
          </w:p>
        </w:tc>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Notebook 02</w:t>
            </w:r>
          </w:p>
        </w:tc>
      </w:tr>
      <w:tr>
        <w:trPr>
          <w:tblHeader w:val="false"/>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Tasa de inasistencia observada (proxy, ver 3.3)</w:t>
            </w:r>
          </w:p>
        </w:tc>
        <w:tc>
          <w:tcPr>
            <w:tcW w:type="dxa" w:w="23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31,9 %</w:t>
            </w:r>
          </w:p>
        </w:tc>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Notebook 02</w:t>
            </w:r>
          </w:p>
        </w:tc>
      </w:tr>
      <w:tr>
        <w:trPr>
          <w:tblHeader w:val="false"/>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Citas de consulta elegibles por día hábil (promedio)</w:t>
            </w:r>
          </w:p>
        </w:tc>
        <w:tc>
          <w:tcPr>
            <w:tcW w:type="dxa" w:w="23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1.835</w:t>
            </w:r>
          </w:p>
        </w:tc>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Notebook 04</w:t>
            </w:r>
          </w:p>
        </w:tc>
      </w:tr>
      <w:tr>
        <w:trPr>
          <w:tblHeader w:val="false"/>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Inasistencias esperadas por día hábil</w:t>
            </w:r>
          </w:p>
        </w:tc>
        <w:tc>
          <w:tcPr>
            <w:tcW w:type="dxa" w:w="23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~592 (periodo enero–junio)</w:t>
            </w:r>
          </w:p>
        </w:tc>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Notebook 04</w:t>
            </w:r>
          </w:p>
        </w:tc>
      </w:tr>
    </w:tbl>
    <w:p>
      <w:pPr>
        <w:spacing w:after="120"/>
      </w:pPr>
    </w:p>
    <w:p>
      <w:r>
        <w:rPr>
          <w:rFonts w:ascii="Times New Roman" w:cs="Times New Roman" w:eastAsia="Times New Roman" w:hAnsi="Times New Roman"/>
          <w:b/>
          <w:bCs/>
        </w:rPr>
        <w:t xml:space="preserve">Población y proceso afectados.</w:t>
      </w:r>
      <w:r>
        <w:rPr>
          <w:rFonts w:ascii="Times New Roman" w:cs="Times New Roman" w:eastAsia="Times New Roman" w:hAnsi="Times New Roman"/>
        </w:rPr>
        <w:t xml:space="preserve"> Citas de consulta externa (medicina general, odontología, especialistas, crónicos, promoción y prevención, salud mental, nutrición y pediatría) en las sedes de Manizales (Centro y Laureles), Villamaría y Armenia.</w:t>
      </w:r>
    </w:p>
    <w:p>
      <w:r>
        <w:rPr>
          <w:rFonts w:ascii="Times New Roman" w:cs="Times New Roman" w:eastAsia="Times New Roman" w:hAnsi="Times New Roman"/>
          <w:b/>
          <w:bCs/>
        </w:rPr>
        <w:t xml:space="preserve">Consecuencias (dato observado, documento del problema).</w:t>
      </w:r>
      <w:r>
        <w:rPr>
          <w:rFonts w:ascii="Times New Roman" w:cs="Times New Roman" w:eastAsia="Times New Roman" w:hAnsi="Times New Roman"/>
        </w:rPr>
        <w:t xml:space="preserve"> La literatura revisada en ese documento reporta que la inasistencia interrumpe la continuidad del cuidado, aumenta los tiempos de espera de otros pacientes y no reduce la carga del personal (Toffaha et al., 2025). Para la IPS, además, puede generar fallas en la presentación de los RIPS y riesgo de descuentos contractuales.</w:t>
      </w:r>
    </w:p>
    <w:p>
      <w:r>
        <w:rPr>
          <w:rFonts w:ascii="Times New Roman" w:cs="Times New Roman" w:eastAsia="Times New Roman" w:hAnsi="Times New Roman"/>
          <w:b/>
          <w:bCs/>
        </w:rPr>
        <w:t xml:space="preserve">Costo económico de la inasistencia en la IPS.</w:t>
      </w:r>
      <w:r>
        <w:rPr>
          <w:rFonts w:ascii="Times New Roman" w:cs="Times New Roman" w:eastAsia="Times New Roman" w:hAnsi="Times New Roman"/>
        </w:rPr>
        <w:t xml:space="preserve"> Con los valores por servicio registrados en </w:t>
      </w:r>
      <w:r>
        <w:rPr>
          <w:rFonts w:ascii="Consolas" w:cs="Consolas" w:eastAsia="Consolas" w:hAnsi="Consolas"/>
          <w:sz w:val="20"/>
          <w:szCs w:val="20"/>
        </w:rPr>
        <w:t xml:space="preserve">costos_por_servicio.xlsx</w:t>
      </w:r>
      <w:r>
        <w:rPr>
          <w:rFonts w:ascii="Times New Roman" w:cs="Times New Roman" w:eastAsia="Times New Roman" w:hAnsi="Times New Roman"/>
        </w:rPr>
        <w:t xml:space="preserve"> (sección 5.9), las inasistencias de agosto y septiembre de 2026 (32 días con citas) suman </w:t>
      </w:r>
      <w:r>
        <w:rPr>
          <w:rFonts w:ascii="Times New Roman" w:cs="Times New Roman" w:eastAsia="Times New Roman" w:hAnsi="Times New Roman"/>
          <w:b/>
          <w:bCs/>
        </w:rPr>
        <w:t xml:space="preserve">$221,5 millones</w:t>
      </w:r>
      <w:r>
        <w:rPr>
          <w:rFonts w:ascii="Times New Roman" w:cs="Times New Roman" w:eastAsia="Times New Roman" w:hAnsi="Times New Roman"/>
        </w:rPr>
        <w:t xml:space="preserve"> en cupos perdidos. Es un </w:t>
      </w:r>
      <w:r>
        <w:rPr>
          <w:rFonts w:ascii="Times New Roman" w:cs="Times New Roman" w:eastAsia="Times New Roman" w:hAnsi="Times New Roman"/>
          <w:b/>
          <w:bCs/>
        </w:rPr>
        <w:t xml:space="preserve">resultado bajo supuestos</w:t>
      </w:r>
      <w:r>
        <w:rPr>
          <w:rFonts w:ascii="Times New Roman" w:cs="Times New Roman" w:eastAsia="Times New Roman" w:hAnsi="Times New Roman"/>
        </w:rPr>
        <w:t xml:space="preserve">: depende de esos valores por servicio, que no provienen de los archivos fuente.</w:t>
      </w:r>
    </w:p>
    <w:p>
      <w:r>
        <w:rPr>
          <w:rFonts w:ascii="Times New Roman" w:cs="Times New Roman" w:eastAsia="Times New Roman" w:hAnsi="Times New Roman"/>
          <w:b/>
          <w:bCs/>
        </w:rPr>
        <w:t xml:space="preserve">Oportunidad de IA.</w:t>
      </w:r>
      <w:r>
        <w:rPr>
          <w:rFonts w:ascii="Times New Roman" w:cs="Times New Roman" w:eastAsia="Times New Roman" w:hAnsi="Times New Roman"/>
        </w:rPr>
        <w:t xml:space="preserve"> Estimar, el día anterior a cada cita, la probabilidad de que el paciente no asista. Así la IPS puede concentrar las llamadas de confirmación en las citas de mayor riesgo y planear un sobreagendamiento proporcional al riesgo real, en vez de uno generalizado.</w:t>
      </w:r>
    </w:p>
    <w:p>
      <w:pPr>
        <w:pStyle w:val="Title"/>
      </w:pPr>
      <w:r>
        <w:rPr>
          <w:rFonts w:ascii="Times New Roman" w:cs="Times New Roman" w:eastAsia="Times New Roman" w:hAnsi="Times New Roman"/>
        </w:rPr>
        <w:t xml:space="preserve">2. Objetivos y métricas de éxito</w:t>
      </w:r>
    </w:p>
    <w:p>
      <w:pPr>
        <w:pStyle w:val="Heading1"/>
      </w:pPr>
      <w:r>
        <w:rPr>
          <w:rFonts w:ascii="Times New Roman" w:cs="Times New Roman" w:eastAsia="Times New Roman" w:hAnsi="Times New Roman"/>
        </w:rPr>
        <w:t xml:space="preserve">2.1 Objetivo general</w:t>
      </w:r>
    </w:p>
    <w:p>
      <w:r>
        <w:rPr>
          <w:rFonts w:ascii="Times New Roman" w:cs="Times New Roman" w:eastAsia="Times New Roman" w:hAnsi="Times New Roman"/>
        </w:rPr>
        <w:t xml:space="preserve">Desarrollar y validar un modelo de aprendizaje automático que, el día anterior a cada cita de consulta externa, estime de forma calibrada la probabilidad de inasistencia y genere una lista diaria priorizada que permita a Viva1A IPS dirigir sus acciones de confirmación y planear el sobreagendamiento.</w:t>
      </w:r>
    </w:p>
    <w:p>
      <w:pPr>
        <w:pStyle w:val="Heading1"/>
      </w:pPr>
      <w:r>
        <w:rPr>
          <w:rFonts w:ascii="Times New Roman" w:cs="Times New Roman" w:eastAsia="Times New Roman" w:hAnsi="Times New Roman"/>
        </w:rPr>
        <w:t xml:space="preserve">2.2 Objetivos específicos</w:t>
      </w:r>
    </w:p>
    <w:p>
      <w:pPr>
        <w:pStyle w:val="ListParagraph"/>
        <w:numPr>
          <w:ilvl w:val="0"/>
          <w:numId w:val="3"/>
        </w:numPr>
      </w:pPr>
      <w:r>
        <w:rPr>
          <w:rFonts w:ascii="Times New Roman" w:cs="Times New Roman" w:eastAsia="Times New Roman" w:hAnsi="Times New Roman"/>
        </w:rPr>
        <w:t xml:space="preserve">Construir una variable objetivo confiable de asistencia a partir de la agenda y de los RIPS, identificando y corrigiendo los errores sistemáticos de registro.</w:t>
      </w:r>
    </w:p>
    <w:p>
      <w:pPr>
        <w:pStyle w:val="ListParagraph"/>
        <w:numPr>
          <w:ilvl w:val="0"/>
          <w:numId w:val="3"/>
        </w:numPr>
      </w:pPr>
      <w:r>
        <w:rPr>
          <w:rFonts w:ascii="Times New Roman" w:cs="Times New Roman" w:eastAsia="Times New Roman" w:hAnsi="Times New Roman"/>
        </w:rPr>
        <w:t xml:space="preserve">Construir variables predictivas de historial, agendamiento, perfil sociodemográfico, calendario y condición clínica, usando solo información disponible el día anterior a la cita.</w:t>
      </w:r>
    </w:p>
    <w:p>
      <w:pPr>
        <w:pStyle w:val="ListParagraph"/>
        <w:numPr>
          <w:ilvl w:val="0"/>
          <w:numId w:val="3"/>
        </w:numPr>
      </w:pPr>
      <w:r>
        <w:rPr>
          <w:rFonts w:ascii="Times New Roman" w:cs="Times New Roman" w:eastAsia="Times New Roman" w:hAnsi="Times New Roman"/>
        </w:rPr>
        <w:t xml:space="preserve">Comparar modelos de complejidad creciente (línea base, regresión logística, Random Forest, HistGradientBoosting y LightGBM) con validación temporal.</w:t>
      </w:r>
    </w:p>
    <w:p>
      <w:pPr>
        <w:pStyle w:val="ListParagraph"/>
        <w:numPr>
          <w:ilvl w:val="0"/>
          <w:numId w:val="3"/>
        </w:numPr>
      </w:pPr>
      <w:r>
        <w:rPr>
          <w:rFonts w:ascii="Times New Roman" w:cs="Times New Roman" w:eastAsia="Times New Roman" w:hAnsi="Times New Roman"/>
        </w:rPr>
        <w:t xml:space="preserve">Evaluar el modelo elegido una sola vez sobre un periodo no usado en el desarrollo, incluyendo calibración y equidad entre grupos.</w:t>
      </w:r>
    </w:p>
    <w:p>
      <w:pPr>
        <w:pStyle w:val="ListParagraph"/>
        <w:numPr>
          <w:ilvl w:val="0"/>
          <w:numId w:val="3"/>
        </w:numPr>
      </w:pPr>
      <w:r>
        <w:rPr>
          <w:rFonts w:ascii="Times New Roman" w:cs="Times New Roman" w:eastAsia="Times New Roman" w:hAnsi="Times New Roman"/>
        </w:rPr>
        <w:t xml:space="preserve">Interpretar las variables que más influyen, en un lenguaje útil para la gerencia.</w:t>
      </w:r>
    </w:p>
    <w:p>
      <w:pPr>
        <w:pStyle w:val="ListParagraph"/>
        <w:numPr>
          <w:ilvl w:val="0"/>
          <w:numId w:val="3"/>
        </w:numPr>
      </w:pPr>
      <w:r>
        <w:rPr>
          <w:rFonts w:ascii="Times New Roman" w:cs="Times New Roman" w:eastAsia="Times New Roman" w:hAnsi="Times New Roman"/>
        </w:rPr>
        <w:t xml:space="preserve">Construir un prototipo de herramienta diaria y un protocolo de monitoreo.</w:t>
      </w:r>
    </w:p>
    <w:p>
      <w:pPr>
        <w:pStyle w:val="Heading1"/>
      </w:pPr>
      <w:r>
        <w:rPr>
          <w:rFonts w:ascii="Times New Roman" w:cs="Times New Roman" w:eastAsia="Times New Roman" w:hAnsi="Times New Roman"/>
        </w:rPr>
        <w:t xml:space="preserve">2.3 Indicadores de éxito</w:t>
      </w:r>
    </w:p>
    <w:p>
      <w:pPr>
        <w:pStyle w:val="Heading2"/>
      </w:pPr>
      <w:r>
        <w:rPr>
          <w:rFonts w:ascii="Times New Roman" w:cs="Times New Roman" w:eastAsia="Times New Roman" w:hAnsi="Times New Roman"/>
        </w:rPr>
        <w:t xml:space="preserve">Indicadores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7"/>
        <w:gridCol w:w="1548"/>
        <w:gridCol w:w="1254"/>
        <w:gridCol w:w="5671"/>
      </w:tblGrid>
      <w:tr>
        <w:trPr>
          <w:tblHeader/>
        </w:trPr>
        <w:tc>
          <w:tcPr>
            <w:tcW w:type="dxa" w:w="88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Indicador</w:t>
            </w:r>
          </w:p>
        </w:tc>
        <w:tc>
          <w:tcPr>
            <w:tcW w:type="dxa" w:w="154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Definición</w:t>
            </w:r>
          </w:p>
        </w:tc>
        <w:tc>
          <w:tcPr>
            <w:tcW w:type="dxa" w:w="1254"/>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Qué mide y por qué es relevante</w:t>
            </w:r>
          </w:p>
        </w:tc>
        <w:tc>
          <w:tcPr>
            <w:tcW w:type="dxa" w:w="5671"/>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Resultado</w:t>
            </w:r>
          </w:p>
        </w:tc>
      </w:tr>
      <w:tr>
        <w:trPr>
          <w:tblHeader w:val="false"/>
        </w:trPr>
        <w:tc>
          <w:tcPr>
            <w:tcW w:type="dxa" w:w="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Tasa de cupos perdidos por inasistencia</w:t>
            </w:r>
          </w:p>
        </w:tc>
        <w:tc>
          <w:tcPr>
            <w:tcW w:type="dxa" w:w="15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Citas sin atención registrada en RIPS / citas válidas</w:t>
            </w:r>
          </w:p>
        </w:tc>
        <w:tc>
          <w:tcPr>
            <w:tcW w:type="dxa" w:w="1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 el problema de negocio; es la base contra la cual se mide cualquier mejora</w:t>
            </w:r>
          </w:p>
        </w:tc>
        <w:tc>
          <w:tcPr>
            <w:tcW w:type="dxa" w:w="56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Resultado (línea base):</w:t>
            </w:r>
            <w:r>
              <w:rPr>
                <w:rFonts w:ascii="Times New Roman" w:cs="Times New Roman" w:eastAsia="Times New Roman" w:hAnsi="Times New Roman"/>
                <w:sz w:val="19"/>
                <w:szCs w:val="19"/>
              </w:rPr>
              <w:t xml:space="preserve"> 31,9 % en el periodo de estudio (proxy, ver 3.3)</w:t>
            </w:r>
          </w:p>
        </w:tc>
      </w:tr>
      <w:tr>
        <w:trPr>
          <w:tblHeader w:val="false"/>
        </w:trPr>
        <w:tc>
          <w:tcPr>
            <w:tcW w:type="dxa" w:w="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Reducción de la tasa de cupos perdidos</w:t>
            </w:r>
          </w:p>
        </w:tc>
        <w:tc>
          <w:tcPr>
            <w:tcW w:type="dxa" w:w="15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Diferencia en puntos porcentuales frente al proceso actual</w:t>
            </w:r>
          </w:p>
        </w:tc>
        <w:tc>
          <w:tcPr>
            <w:tcW w:type="dxa" w:w="1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Meta planteada en la pregunta SMART: al menos 5 pp</w:t>
            </w:r>
          </w:p>
        </w:tc>
        <w:tc>
          <w:tcPr>
            <w:tcW w:type="dxa" w:w="56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[Información no disponible en los datos proporcionados]: requiere el piloto (no realizado)</w:t>
            </w:r>
          </w:p>
        </w:tc>
      </w:tr>
      <w:tr>
        <w:trPr>
          <w:tblHeader w:val="false"/>
        </w:trPr>
        <w:tc>
          <w:tcPr>
            <w:tcW w:type="dxa" w:w="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Productividad asistencial</w:t>
            </w:r>
          </w:p>
        </w:tc>
        <w:tc>
          <w:tcPr>
            <w:tcW w:type="dxa" w:w="15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Indicador institucional del plan estratégico</w:t>
            </w:r>
          </w:p>
        </w:tc>
        <w:tc>
          <w:tcPr>
            <w:tcW w:type="dxa" w:w="1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Meta institucional: 2,9 % a 2028</w:t>
            </w:r>
          </w:p>
        </w:tc>
        <w:tc>
          <w:tcPr>
            <w:tcW w:type="dxa" w:w="56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[Información no disponible en los datos proporcionados]</w:t>
            </w:r>
          </w:p>
        </w:tc>
      </w:tr>
      <w:tr>
        <w:trPr>
          <w:tblHeader w:val="false"/>
        </w:trPr>
        <w:tc>
          <w:tcPr>
            <w:tcW w:type="dxa" w:w="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Impacto en ejecución contractual y facturación</w:t>
            </w:r>
          </w:p>
        </w:tc>
        <w:tc>
          <w:tcPr>
            <w:tcW w:type="dxa" w:w="15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Variación de la facturación atribuible a cupos recuperados</w:t>
            </w:r>
          </w:p>
        </w:tc>
        <w:tc>
          <w:tcPr>
            <w:tcW w:type="dxa" w:w="1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Planteado en la pregunta SMART</w:t>
            </w:r>
          </w:p>
        </w:tc>
        <w:tc>
          <w:tcPr>
            <w:tcW w:type="dxa" w:w="56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[Información no disponible en los datos proporcionados]</w:t>
            </w:r>
          </w:p>
        </w:tc>
      </w:tr>
      <w:tr>
        <w:trPr>
          <w:tblHeader w:val="false"/>
        </w:trPr>
        <w:tc>
          <w:tcPr>
            <w:tcW w:type="dxa" w:w="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Beneficio neto de las llamadas</w:t>
            </w:r>
          </w:p>
        </w:tc>
        <w:tc>
          <w:tcPr>
            <w:tcW w:type="dxa" w:w="15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Valor recuperado (inasistencias evitadas × valor del cupo del servicio) − costo de las llamadas</w:t>
            </w:r>
          </w:p>
        </w:tc>
        <w:tc>
          <w:tcPr>
            <w:tcW w:type="dxa" w:w="1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Rentabilidad de la estrategia de confirmación</w:t>
            </w:r>
          </w:p>
        </w:tc>
        <w:tc>
          <w:tcPr>
            <w:tcW w:type="dxa" w:w="56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Estimación bajo supuestos (sección 5.9):</w:t>
            </w:r>
            <w:r>
              <w:rPr>
                <w:rFonts w:ascii="Times New Roman" w:cs="Times New Roman" w:eastAsia="Times New Roman" w:hAnsi="Times New Roman"/>
                <w:sz w:val="19"/>
                <w:szCs w:val="19"/>
              </w:rPr>
              <w:t xml:space="preserve"> con un 10 % de capacidad, +$0,45 millones en 32 días priorizando por impacto financiero; −$1,8 millones priorizando por riesgo; −$6,1 millones al azar. Con un 30 %, todas las estrategias pierden dinero. </w:t>
            </w:r>
            <w:r>
              <w:rPr>
                <w:rFonts w:ascii="Times New Roman" w:cs="Times New Roman" w:eastAsia="Times New Roman" w:hAnsi="Times New Roman"/>
                <w:sz w:val="19"/>
                <w:szCs w:val="19"/>
              </w:rPr>
              <w:t xml:space="preserve">Supuestos:</w:t>
            </w:r>
            <w:r>
              <w:rPr>
                <w:rFonts w:ascii="Times New Roman" w:cs="Times New Roman" w:eastAsia="Times New Roman" w:hAnsi="Times New Roman"/>
                <w:sz w:val="19"/>
                <w:szCs w:val="19"/>
              </w:rPr>
              <w:t xml:space="preserve"> valor del cupo por servicio ($5.000–$60.000), llamada de $2.500 y 25 % de efectividad</w:t>
            </w:r>
          </w:p>
        </w:tc>
      </w:tr>
      <w:tr>
        <w:trPr>
          <w:tblHeader w:val="false"/>
        </w:trPr>
        <w:tc>
          <w:tcPr>
            <w:tcW w:type="dxa" w:w="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Brecha de asistencia entre regímenes</w:t>
            </w:r>
          </w:p>
        </w:tc>
        <w:tc>
          <w:tcPr>
            <w:tcW w:type="dxa" w:w="15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Diferencia de inasistencia entre contributivo y subsidiado</w:t>
            </w:r>
          </w:p>
        </w:tc>
        <w:tc>
          <w:tcPr>
            <w:tcW w:type="dxa" w:w="1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Condición de equidad de la pregunta SMART</w:t>
            </w:r>
          </w:p>
        </w:tc>
        <w:tc>
          <w:tcPr>
            <w:tcW w:type="dxa" w:w="56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Dato observado (test):</w:t>
            </w:r>
            <w:r>
              <w:rPr>
                <w:rFonts w:ascii="Times New Roman" w:cs="Times New Roman" w:eastAsia="Times New Roman" w:hAnsi="Times New Roman"/>
                <w:sz w:val="19"/>
                <w:szCs w:val="19"/>
              </w:rPr>
              <w:t xml:space="preserve"> 31,0 % contributivo vs. 39,2 % subsidiado. El efecto de la intervención sobre la brecha: [Información no disponible en los datos proporcionados]</w:t>
            </w:r>
          </w:p>
        </w:tc>
      </w:tr>
    </w:tbl>
    <w:p>
      <w:pPr>
        <w:spacing w:after="120"/>
      </w:pPr>
    </w:p>
    <w:p>
      <w:pPr>
        <w:pStyle w:val="Heading2"/>
      </w:pPr>
      <w:r>
        <w:rPr>
          <w:rFonts w:ascii="Times New Roman" w:cs="Times New Roman" w:eastAsia="Times New Roman" w:hAnsi="Times New Roman"/>
        </w:rPr>
        <w:t xml:space="preserve">Indicadores del modelo</w:t>
      </w:r>
    </w:p>
    <w:p>
      <w:r>
        <w:rPr>
          <w:rFonts w:ascii="Times New Roman" w:cs="Times New Roman" w:eastAsia="Times New Roman" w:hAnsi="Times New Roman"/>
        </w:rPr>
        <w:t xml:space="preserve">La capacidad operativa definió la métrica principal. </w:t>
      </w:r>
      <w:r>
        <w:rPr>
          <w:rFonts w:ascii="Times New Roman" w:cs="Times New Roman" w:eastAsia="Times New Roman" w:hAnsi="Times New Roman"/>
          <w:b/>
          <w:bCs/>
        </w:rPr>
        <w:t xml:space="preserve">Supuesto:</w:t>
      </w:r>
      <w:r>
        <w:rPr>
          <w:rFonts w:ascii="Times New Roman" w:cs="Times New Roman" w:eastAsia="Times New Roman" w:hAnsi="Times New Roman"/>
        </w:rPr>
        <w:t xml:space="preserve"> el equipo puede contactar cerca del </w:t>
      </w:r>
      <w:r>
        <w:rPr>
          <w:rFonts w:ascii="Times New Roman" w:cs="Times New Roman" w:eastAsia="Times New Roman" w:hAnsi="Times New Roman"/>
          <w:b/>
          <w:bCs/>
        </w:rPr>
        <w:t xml:space="preserve">10 % de las citas diarias</w:t>
      </w:r>
      <w:r>
        <w:rPr>
          <w:rFonts w:ascii="Times New Roman" w:cs="Times New Roman" w:eastAsia="Times New Roman" w:hAnsi="Times New Roman"/>
        </w:rPr>
        <w:t xml:space="preserve"> (~180 de ~1.800); también se evaluó un escenario del </w:t>
      </w:r>
      <w:r>
        <w:rPr>
          <w:rFonts w:ascii="Times New Roman" w:cs="Times New Roman" w:eastAsia="Times New Roman" w:hAnsi="Times New Roman"/>
          <w:b/>
          <w:bCs/>
        </w:rPr>
        <w:t xml:space="preserve">30 %</w:t>
      </w:r>
      <w:r>
        <w:rPr>
          <w:rFonts w:ascii="Times New Roman" w:cs="Times New Roman" w:eastAsia="Times New Roman" w:hAnsi="Times New Roman"/>
        </w:rPr>
        <w:t xml:space="preserve"> (mensajes automáticos). Por eso las métricas de clasificación se calculan marcando el top-N % de riesgo </w:t>
      </w:r>
      <w:r>
        <w:rPr>
          <w:rFonts w:ascii="Times New Roman" w:cs="Times New Roman" w:eastAsia="Times New Roman" w:hAnsi="Times New Roman"/>
          <w:b/>
          <w:bCs/>
        </w:rPr>
        <w:t xml:space="preserve">de cada día</w:t>
      </w:r>
      <w:r>
        <w:rPr>
          <w:rFonts w:ascii="Times New Roman" w:cs="Times New Roman" w:eastAsia="Times New Roman" w:hAnsi="Times New Roman"/>
        </w:rPr>
        <w:t xml:space="preserve">, y no con un umbral fijo.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9"/>
        <w:gridCol w:w="2265"/>
        <w:gridCol w:w="1721"/>
        <w:gridCol w:w="4015"/>
      </w:tblGrid>
      <w:tr>
        <w:trPr>
          <w:tblHeader/>
        </w:trPr>
        <w:tc>
          <w:tcPr>
            <w:tcW w:type="dxa" w:w="135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Indicador</w:t>
            </w:r>
          </w:p>
        </w:tc>
        <w:tc>
          <w:tcPr>
            <w:tcW w:type="dxa" w:w="226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Definición</w:t>
            </w:r>
          </w:p>
        </w:tc>
        <w:tc>
          <w:tcPr>
            <w:tcW w:type="dxa" w:w="1721"/>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Por qué es relevante</w:t>
            </w:r>
          </w:p>
        </w:tc>
        <w:tc>
          <w:tcPr>
            <w:tcW w:type="dxa" w:w="401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Resultado en test (julio)</w:t>
            </w:r>
          </w:p>
        </w:tc>
      </w:tr>
      <w:tr>
        <w:trPr>
          <w:tblHeader w:val="false"/>
        </w:trPr>
        <w:tc>
          <w:tcPr>
            <w:tcW w:type="dxa" w:w="13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ROC-AUC</w:t>
            </w:r>
          </w:p>
        </w:tc>
        <w:tc>
          <w:tcPr>
            <w:tcW w:type="dxa" w:w="2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Probabilidad de que una cita no asistida reciba más riesgo que una asistida</w:t>
            </w:r>
          </w:p>
        </w:tc>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Capacidad de ordenar las citas por riesgo</w:t>
            </w:r>
          </w:p>
        </w:tc>
        <w:tc>
          <w:tcPr>
            <w:tcW w:type="dxa" w:w="40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0,682</w:t>
            </w:r>
          </w:p>
        </w:tc>
      </w:tr>
      <w:tr>
        <w:trPr>
          <w:tblHeader w:val="false"/>
        </w:trPr>
        <w:tc>
          <w:tcPr>
            <w:tcW w:type="dxa" w:w="13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PR-AUC</w:t>
            </w:r>
          </w:p>
        </w:tc>
        <w:tc>
          <w:tcPr>
            <w:tcW w:type="dxa" w:w="2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Precisión promedio en todos los umbrales</w:t>
            </w:r>
          </w:p>
        </w:tc>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Adecuada cuando la clase positiva es minoritaria</w:t>
            </w:r>
          </w:p>
        </w:tc>
        <w:tc>
          <w:tcPr>
            <w:tcW w:type="dxa" w:w="40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0,490 (azar: 0,312)</w:t>
            </w:r>
          </w:p>
        </w:tc>
      </w:tr>
      <w:tr>
        <w:trPr>
          <w:tblHeader w:val="false"/>
        </w:trPr>
        <w:tc>
          <w:tcPr>
            <w:tcW w:type="dxa" w:w="13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Brier</w:t>
            </w:r>
          </w:p>
        </w:tc>
        <w:tc>
          <w:tcPr>
            <w:tcW w:type="dxa" w:w="2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Error cuadrático de la probabilidad</w:t>
            </w:r>
          </w:p>
        </w:tc>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Calibración + discriminación; necesaria para sobreagendar</w:t>
            </w:r>
          </w:p>
        </w:tc>
        <w:tc>
          <w:tcPr>
            <w:tcW w:type="dxa" w:w="40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0,196</w:t>
            </w:r>
          </w:p>
        </w:tc>
      </w:tr>
      <w:tr>
        <w:trPr>
          <w:tblHeader w:val="false"/>
        </w:trPr>
        <w:tc>
          <w:tcPr>
            <w:tcW w:type="dxa" w:w="13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Precisión@10 % (métrica principal)</w:t>
            </w:r>
          </w:p>
        </w:tc>
        <w:tc>
          <w:tcPr>
            <w:tcW w:type="dxa" w:w="2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De las citas marcadas, % que realmente no asistió</w:t>
            </w:r>
          </w:p>
        </w:tc>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Calidad de cada llamada</w:t>
            </w:r>
          </w:p>
        </w:tc>
        <w:tc>
          <w:tcPr>
            <w:tcW w:type="dxa" w:w="40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57,5 %</w:t>
            </w:r>
          </w:p>
        </w:tc>
      </w:tr>
      <w:tr>
        <w:trPr>
          <w:tblHeader w:val="false"/>
        </w:trPr>
        <w:tc>
          <w:tcPr>
            <w:tcW w:type="dxa" w:w="13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Recall@10 %</w:t>
            </w:r>
          </w:p>
        </w:tc>
        <w:tc>
          <w:tcPr>
            <w:tcW w:type="dxa" w:w="2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De todas las inasistencias, % cubierto</w:t>
            </w:r>
          </w:p>
        </w:tc>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Cobertura del problema</w:t>
            </w:r>
          </w:p>
        </w:tc>
        <w:tc>
          <w:tcPr>
            <w:tcW w:type="dxa" w:w="40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18,4 %</w:t>
            </w:r>
          </w:p>
        </w:tc>
      </w:tr>
      <w:tr>
        <w:trPr>
          <w:tblHeader w:val="false"/>
        </w:trPr>
        <w:tc>
          <w:tcPr>
            <w:tcW w:type="dxa" w:w="13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Especificidad@10 %</w:t>
            </w:r>
          </w:p>
        </w:tc>
        <w:tc>
          <w:tcPr>
            <w:tcW w:type="dxa" w:w="2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De quienes sí asistieron, % no marcado</w:t>
            </w:r>
          </w:p>
        </w:tc>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Evita llamadas innecesarias</w:t>
            </w:r>
          </w:p>
        </w:tc>
        <w:tc>
          <w:tcPr>
            <w:tcW w:type="dxa" w:w="40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93,8 %</w:t>
            </w:r>
          </w:p>
        </w:tc>
      </w:tr>
      <w:tr>
        <w:trPr>
          <w:tblHeader w:val="false"/>
        </w:trPr>
        <w:tc>
          <w:tcPr>
            <w:tcW w:type="dxa" w:w="13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F1@10 %</w:t>
            </w:r>
          </w:p>
        </w:tc>
        <w:tc>
          <w:tcPr>
            <w:tcW w:type="dxa" w:w="2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Media armónica de precisión y recall</w:t>
            </w:r>
          </w:p>
        </w:tc>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Balance</w:t>
            </w:r>
          </w:p>
        </w:tc>
        <w:tc>
          <w:tcPr>
            <w:tcW w:type="dxa" w:w="40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0,278</w:t>
            </w:r>
          </w:p>
        </w:tc>
      </w:tr>
      <w:tr>
        <w:trPr>
          <w:tblHeader w:val="false"/>
        </w:trPr>
        <w:tc>
          <w:tcPr>
            <w:tcW w:type="dxa" w:w="13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Precisión / Recall / Especificidad / F1 @30 %</w:t>
            </w:r>
          </w:p>
        </w:tc>
        <w:tc>
          <w:tcPr>
            <w:tcW w:type="dxa" w:w="2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Igual, con capacidad del 30 %</w:t>
            </w:r>
          </w:p>
        </w:tc>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Escenario ampliado</w:t>
            </w:r>
          </w:p>
        </w:tc>
        <w:tc>
          <w:tcPr>
            <w:tcW w:type="dxa" w:w="40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48,5 % / 46,5 % / 77,6 % / 0,475</w:t>
            </w:r>
          </w:p>
        </w:tc>
      </w:tr>
      <w:tr>
        <w:trPr>
          <w:tblHeader w:val="false"/>
        </w:trPr>
        <w:tc>
          <w:tcPr>
            <w:tcW w:type="dxa" w:w="13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Recall ≥ 75 % (meta SMART)</w:t>
            </w:r>
          </w:p>
        </w:tc>
        <w:tc>
          <w:tcPr>
            <w:tcW w:type="dxa" w:w="2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Cobertura exigida por la pregunta SMART</w:t>
            </w:r>
          </w:p>
        </w:tc>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Criterio definido en el documento del problema</w:t>
            </w:r>
          </w:p>
        </w:tc>
        <w:tc>
          <w:tcPr>
            <w:tcW w:type="dxa" w:w="40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Solo se alcanza marcando ~60 % de las citas diarias (recall 76,9 %, precisión 40,0 %, especificidad 47,7 %; recálculo complementario)</w:t>
            </w:r>
          </w:p>
        </w:tc>
      </w:tr>
      <w:tr>
        <w:trPr>
          <w:tblHeader w:val="false"/>
        </w:trPr>
        <w:tc>
          <w:tcPr>
            <w:tcW w:type="dxa" w:w="13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Brecha de calibración mensual</w:t>
            </w:r>
          </w:p>
        </w:tc>
        <w:tc>
          <w:tcPr>
            <w:tcW w:type="dxa" w:w="2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Tasa predicha − tasa real</w:t>
            </w:r>
          </w:p>
        </w:tc>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Credibilidad de la probabilidad</w:t>
            </w:r>
          </w:p>
        </w:tc>
        <w:tc>
          <w:tcPr>
            <w:tcW w:type="dxa" w:w="40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 pp (julio), −1,0 pp (agosto), +0,8 pp (septiembre)</w:t>
            </w:r>
          </w:p>
        </w:tc>
      </w:tr>
    </w:tbl>
    <w:p>
      <w:pPr>
        <w:spacing w:after="120"/>
      </w:pPr>
    </w:p>
    <w:p>
      <w:pPr>
        <w:spacing w:after="200" w:before="0" w:line="260"/>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La meta de referencia se recalculó con la etiqueta corregida (sección 5.3): AUC 0,671 y precisión@10 % de 60,4 % en la validación cruzada.</w:t>
      </w:r>
    </w:p>
    <w:p>
      <w:pPr>
        <w:pStyle w:val="Title"/>
      </w:pPr>
      <w:r>
        <w:rPr>
          <w:rFonts w:ascii="Times New Roman" w:cs="Times New Roman" w:eastAsia="Times New Roman" w:hAnsi="Times New Roman"/>
        </w:rPr>
        <w:t xml:space="preserve">3. Datos</w:t>
      </w:r>
    </w:p>
    <w:p>
      <w:pPr>
        <w:pStyle w:val="Heading1"/>
      </w:pPr>
      <w:r>
        <w:rPr>
          <w:rFonts w:ascii="Times New Roman" w:cs="Times New Roman" w:eastAsia="Times New Roman" w:hAnsi="Times New Roman"/>
        </w:rPr>
        <w:t xml:space="preserve">3.1 Fuentes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4587"/>
        <w:gridCol w:w="1059"/>
        <w:gridCol w:w="1059"/>
        <w:gridCol w:w="1764"/>
      </w:tblGrid>
      <w:tr>
        <w:trPr>
          <w:tblHeader/>
        </w:trPr>
        <w:tc>
          <w:tcPr>
            <w:tcW w:type="dxa" w:w="891"/>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Fuente</w:t>
            </w:r>
          </w:p>
        </w:tc>
        <w:tc>
          <w:tcPr>
            <w:tcW w:type="dxa" w:w="458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Contenido</w:t>
            </w:r>
          </w:p>
        </w:tc>
        <w:tc>
          <w:tcPr>
            <w:tcW w:type="dxa" w:w="105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Registros</w:t>
            </w:r>
          </w:p>
        </w:tc>
        <w:tc>
          <w:tcPr>
            <w:tcW w:type="dxa" w:w="105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Periodo</w:t>
            </w:r>
          </w:p>
        </w:tc>
        <w:tc>
          <w:tcPr>
            <w:tcW w:type="dxa" w:w="1764"/>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Uso en el proyecto</w:t>
            </w:r>
          </w:p>
        </w:tc>
      </w:tr>
      <w:tr>
        <w:trPr>
          <w:tblHeader w:val="false"/>
        </w:trPr>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agendamiento.xlsx</w:t>
            </w:r>
          </w:p>
        </w:tc>
        <w:tc>
          <w:tcPr>
            <w:tcW w:type="dxa" w:w="45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Cita, paciente, sexo, edad, nivel y tipo de usuario, contrato/sede, turno, fechas de cita y de asignación, control, especialidad, procedimiento, diagnóstico</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576.252 citas; 69.493 pacientes</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Citas del 02-ene-2026 al 26-feb-2027</w:t>
            </w:r>
          </w:p>
        </w:tc>
        <w:tc>
          <w:tcPr>
            <w:tcW w:type="dxa" w:w="17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Base del dataset (una fila por cita)</w:t>
            </w:r>
          </w:p>
        </w:tc>
      </w:tr>
      <w:tr>
        <w:trPr>
          <w:tblHeader w:val="false"/>
        </w:trPr>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RIPS.xlsx</w:t>
            </w:r>
          </w:p>
        </w:tc>
        <w:tc>
          <w:tcPr>
            <w:tcW w:type="dxa" w:w="45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Atenciones de consulta: paciente, fecha y hora, código CUPS, diagnóstico principal y hasta 3 relacionados</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290.150 atenciones; 62.298 pacientes</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02-ene a 12-sep-2026</w:t>
            </w:r>
          </w:p>
        </w:tc>
        <w:tc>
          <w:tcPr>
            <w:tcW w:type="dxa" w:w="17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Variable objetivo, diagnósticos previos y atenciones previas</w:t>
            </w:r>
          </w:p>
        </w:tc>
      </w:tr>
      <w:tr>
        <w:trPr>
          <w:tblHeader w:val="false"/>
        </w:trPr>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RCV.xlsx</w:t>
            </w:r>
          </w:p>
        </w:tc>
        <w:tc>
          <w:tcPr>
            <w:tcW w:type="dxa" w:w="45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Programa de riesgo cardiovascular (hipertensión, diabetes, nefroprotección, en estudio) y marca de diabetes</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21.003 pacientes</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Sin fecha (foto actual)</w:t>
            </w:r>
          </w:p>
        </w:tc>
        <w:tc>
          <w:tcPr>
            <w:tcW w:type="dxa" w:w="17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Condición crónica</w:t>
            </w:r>
          </w:p>
        </w:tc>
      </w:tr>
      <w:tr>
        <w:trPr>
          <w:tblHeader w:val="false"/>
        </w:trPr>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Gestantes.xlsx</w:t>
            </w:r>
          </w:p>
        </w:tc>
        <w:tc>
          <w:tcPr>
            <w:tcW w:type="dxa" w:w="45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Fecha de última menstruación (FUM)</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784 registros; 707 pacientes</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FUM de 2021 a 2026</w:t>
            </w:r>
          </w:p>
        </w:tc>
        <w:tc>
          <w:tcPr>
            <w:tcW w:type="dxa" w:w="17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Gestante activa</w:t>
            </w:r>
          </w:p>
        </w:tc>
      </w:tr>
      <w:tr>
        <w:trPr>
          <w:tblHeader w:val="false"/>
        </w:trPr>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Medicamentos.xlsx</w:t>
            </w:r>
          </w:p>
        </w:tc>
        <w:tc>
          <w:tcPr>
            <w:tcW w:type="dxa" w:w="45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Medicamento, cantidad y fecha de la orden</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175.948 fórmulas; 33.073 pacientes</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02-ene a 12-sep-2026</w:t>
            </w:r>
          </w:p>
        </w:tc>
        <w:tc>
          <w:tcPr>
            <w:tcW w:type="dxa" w:w="17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Medicamentos en los 90 días previos</w:t>
            </w:r>
          </w:p>
        </w:tc>
      </w:tr>
      <w:tr>
        <w:trPr>
          <w:tblHeader w:val="false"/>
        </w:trPr>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DimCalendario_Colombia_2026</w:t>
            </w:r>
          </w:p>
        </w:tc>
        <w:tc>
          <w:tcPr>
            <w:tcW w:type="dxa" w:w="45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44 atributos por día, incluidos festivos y puentes</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365 días (19 festivos)</w:t>
            </w:r>
          </w:p>
        </w:tc>
        <w:tc>
          <w:tcPr>
            <w:tcW w:type="dxa" w:w="10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2026</w:t>
            </w:r>
          </w:p>
        </w:tc>
        <w:tc>
          <w:tcPr>
            <w:tcW w:type="dxa" w:w="17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Variables de calendario</w:t>
            </w:r>
          </w:p>
        </w:tc>
      </w:tr>
    </w:tbl>
    <w:p>
      <w:pPr>
        <w:spacing w:after="120"/>
      </w:pPr>
    </w:p>
    <w:p>
      <w:r>
        <w:rPr>
          <w:rFonts w:ascii="Times New Roman" w:cs="Times New Roman" w:eastAsia="Times New Roman" w:hAnsi="Times New Roman"/>
          <w:b/>
          <w:bCs/>
        </w:rPr>
        <w:t xml:space="preserve">Procesamiento.</w:t>
      </w:r>
      <w:r>
        <w:rPr>
          <w:rFonts w:ascii="Times New Roman" w:cs="Times New Roman" w:eastAsia="Times New Roman" w:hAnsi="Times New Roman"/>
        </w:rPr>
        <w:t xml:space="preserve"> Los archivos Excel se procesaron localmente con Python (pandas, NumPy, scikit-learn, LightGBM), en seis notebooks secuenciales y dos módulos de funciones reutilizables. No se usaron almacenes de datos ni procesos ETL institucionales: [Información no disponible en los datos proporcionados].</w:t>
      </w:r>
    </w:p>
    <w:p>
      <w:pPr>
        <w:pStyle w:val="Heading1"/>
      </w:pPr>
      <w:r>
        <w:rPr>
          <w:rFonts w:ascii="Times New Roman" w:cs="Times New Roman" w:eastAsia="Times New Roman" w:hAnsi="Times New Roman"/>
        </w:rPr>
        <w:t xml:space="preserve">3.2 Selección y preparación de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3"/>
        <w:gridCol w:w="8477"/>
      </w:tblGrid>
      <w:tr>
        <w:trPr>
          <w:tblHeader/>
        </w:trPr>
        <w:tc>
          <w:tcPr>
            <w:tcW w:type="dxa" w:w="883"/>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Decisión</w:t>
            </w:r>
          </w:p>
        </w:tc>
        <w:tc>
          <w:tcPr>
            <w:tcW w:type="dxa" w:w="847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Detalle</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Selección de columnas</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excluyó </w:t>
            </w:r>
            <w:r>
              <w:rPr>
                <w:rFonts w:ascii="Consolas" w:cs="Consolas" w:eastAsia="Consolas" w:hAnsi="Consolas"/>
                <w:sz w:val="19"/>
                <w:szCs w:val="19"/>
              </w:rPr>
              <w:t xml:space="preserve">dx_ppal</w:t>
            </w:r>
            <w:r>
              <w:rPr>
                <w:rFonts w:ascii="Times New Roman" w:cs="Times New Roman" w:eastAsia="Times New Roman" w:hAnsi="Times New Roman"/>
                <w:sz w:val="19"/>
                <w:szCs w:val="19"/>
              </w:rPr>
              <w:t xml:space="preserve"> como predictor, porque solo existe si el paciente asistió (fuga de información). </w:t>
            </w:r>
            <w:r>
              <w:rPr>
                <w:rFonts w:ascii="Consolas" w:cs="Consolas" w:eastAsia="Consolas" w:hAnsi="Consolas"/>
                <w:sz w:val="19"/>
                <w:szCs w:val="19"/>
              </w:rPr>
              <w:t xml:space="preserve">procedimiento_especifico</w:t>
            </w:r>
            <w:r>
              <w:rPr>
                <w:rFonts w:ascii="Times New Roman" w:cs="Times New Roman" w:eastAsia="Times New Roman" w:hAnsi="Times New Roman"/>
                <w:sz w:val="19"/>
                <w:szCs w:val="19"/>
              </w:rPr>
              <w:t xml:space="preserve"> no se usa como predictor, pero sí para clasificar el tipo de cita y homologar el servicio (se conoce al agendar)</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Llave del paciente</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unificó nombre y tipo (</w:t>
            </w:r>
            <w:r>
              <w:rPr>
                <w:rFonts w:ascii="Consolas" w:cs="Consolas" w:eastAsia="Consolas" w:hAnsi="Consolas"/>
                <w:sz w:val="19"/>
                <w:szCs w:val="19"/>
              </w:rPr>
              <w:t xml:space="preserve">id_paciente</w:t>
            </w:r>
            <w:r>
              <w:rPr>
                <w:rFonts w:ascii="Times New Roman" w:cs="Times New Roman" w:eastAsia="Times New Roman" w:hAnsi="Times New Roman"/>
                <w:sz w:val="19"/>
                <w:szCs w:val="19"/>
              </w:rPr>
              <w:t xml:space="preserve"> como texto) en todas las fuentes</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Hora de la cita</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Venía en dos formatos (</w:t>
            </w:r>
            <w:r>
              <w:rPr>
                <w:rFonts w:ascii="Consolas" w:cs="Consolas" w:eastAsia="Consolas" w:hAnsi="Consolas"/>
                <w:sz w:val="19"/>
                <w:szCs w:val="19"/>
              </w:rPr>
              <w:t xml:space="preserve">08:15:00</w:t>
            </w:r>
            <w:r>
              <w:rPr>
                <w:rFonts w:ascii="Times New Roman" w:cs="Times New Roman" w:eastAsia="Times New Roman" w:hAnsi="Times New Roman"/>
                <w:sz w:val="19"/>
                <w:szCs w:val="19"/>
              </w:rPr>
              <w:t xml:space="preserve"> y </w:t>
            </w:r>
            <w:r>
              <w:rPr>
                <w:rFonts w:ascii="Consolas" w:cs="Consolas" w:eastAsia="Consolas" w:hAnsi="Consolas"/>
                <w:sz w:val="19"/>
                <w:szCs w:val="19"/>
              </w:rPr>
              <w:t xml:space="preserve"> 9:40 AM</w:t>
            </w:r>
            <w:r>
              <w:rPr>
                <w:rFonts w:ascii="Times New Roman" w:cs="Times New Roman" w:eastAsia="Times New Roman" w:hAnsi="Times New Roman"/>
                <w:sz w:val="19"/>
                <w:szCs w:val="19"/>
              </w:rPr>
              <w:t xml:space="preserve">, este último en 92.601 registros). Se convirtió a hora, franja horaria y codificación cíclica (seno y coseno)</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Fechas</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normalizaron al día. Lead time = fecha de la cita − fecha de asignación</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Datos faltantes</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Sin fecha de asignación: 13 citas y sin especialidad: 7.552 (eliminadas). </w:t>
            </w:r>
            <w:r>
              <w:rPr>
                <w:rFonts w:ascii="Consolas" w:cs="Consolas" w:eastAsia="Consolas" w:hAnsi="Consolas"/>
                <w:sz w:val="19"/>
                <w:szCs w:val="19"/>
              </w:rPr>
              <w:t xml:space="preserve">control</w:t>
            </w:r>
            <w:r>
              <w:rPr>
                <w:rFonts w:ascii="Times New Roman" w:cs="Times New Roman" w:eastAsia="Times New Roman" w:hAnsi="Times New Roman"/>
                <w:sz w:val="19"/>
                <w:szCs w:val="19"/>
              </w:rPr>
              <w:t xml:space="preserve"> vacío (308.902) = primera vez. En la logística, las variables numéricas se imputan con la mediana más un indicador de faltante. LightGBM maneja los vacíos de forma nativa</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Variables categóricas</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One-hot en la logística (categorías con &lt; 100 casos se agrupan). Codificación ordinal y manejo nativo de categorías en los modelos de árboles</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Servicio homologado</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Combina especialidad y procedimiento para unificar la codificación anterior y la nueva de la agenda (ver 3.3)</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Duplicados</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1.522 duplicados exactos. Además, se dejó una cita por paciente, día y servicio (la última asignada)</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Nuevas variables</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Historial (hasta D-2), historial por servicio, tasa histórica suavizada, carga de agenda, curso de vida (Res. 3280 de 2018), calendario, variables clínicas e interacciones (sección 4)</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Población</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Solo consultas, asignadas al menos un día antes, sin terapias ni servicios no reportados en RIPS, sin días de falla de RIPS y sin posibles reprogramaciones</w:t>
            </w:r>
          </w:p>
        </w:tc>
      </w:tr>
      <w:tr>
        <w:trPr>
          <w:tblHeader w:val="false"/>
        </w:trPr>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Partición temporal</w:t>
            </w:r>
          </w:p>
        </w:tc>
        <w:tc>
          <w:tcPr>
            <w:tcW w:type="dxa" w:w="8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Entrenamiento: 02-ene a 31-may (211.402 citas). Validación: junio (38.719). Test: julio (41.148). Producción simulada: 01-ago a 11-sep (46.106). Nunca se usó una partición aleatoria</w:t>
            </w:r>
          </w:p>
        </w:tc>
      </w:tr>
    </w:tbl>
    <w:p>
      <w:pPr>
        <w:spacing w:after="120"/>
      </w:pPr>
    </w:p>
    <w:p>
      <w:r>
        <w:rPr>
          <w:rFonts w:ascii="Times New Roman" w:cs="Times New Roman" w:eastAsia="Times New Roman" w:hAnsi="Times New Roman"/>
          <w:b/>
          <w:bCs/>
        </w:rPr>
        <w:t xml:space="preserve">Efecto de cada paso sobre el volumen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93"/>
        <w:gridCol w:w="1057"/>
        <w:gridCol w:w="1510"/>
      </w:tblGrid>
      <w:tr>
        <w:trPr>
          <w:tblHeader/>
        </w:trPr>
        <w:tc>
          <w:tcPr>
            <w:tcW w:type="dxa" w:w="6793"/>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Paso</w:t>
            </w:r>
          </w:p>
        </w:tc>
        <w:tc>
          <w:tcPr>
            <w:tcW w:type="dxa" w:w="105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Citas</w:t>
            </w:r>
          </w:p>
        </w:tc>
        <w:tc>
          <w:tcPr>
            <w:tcW w:type="dxa" w:w="151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Eliminadas</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Agendamiento original</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576.252</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Sin duplicados exactos</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574.730</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1.522</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Con fecha de asignación, especialidad y hora</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567.212</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7.518</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Una cita por paciente-día-servicio</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516.498</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50.714</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Dentro de la ventana con RIPS</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483.541</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32.957</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Asignadas al menos un día antes</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442.516</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41.025</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Solo consultas</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399.008</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43.508</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Sin terapias ni servicios no reportados</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381.955</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17.053</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Sin citas huérfanas de códigos descontinuados</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378.598</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3.357</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Sin días de falla de reporte en RIPS</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359.677</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18.921</w:t>
            </w:r>
          </w:p>
        </w:tc>
      </w:tr>
      <w:tr>
        <w:trPr>
          <w:tblHeader w:val="false"/>
        </w:trPr>
        <w:tc>
          <w:tcPr>
            <w:tcW w:type="dxa" w:w="67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Sin posibles reprogramaciones</w:t>
            </w:r>
          </w:p>
        </w:tc>
        <w:tc>
          <w:tcPr>
            <w:tcW w:type="dxa" w:w="10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337.375</w:t>
            </w:r>
          </w:p>
        </w:tc>
        <w:tc>
          <w:tcPr>
            <w:tcW w:type="dxa" w:w="1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22.302</w:t>
            </w:r>
          </w:p>
        </w:tc>
      </w:tr>
    </w:tbl>
    <w:p>
      <w:pPr>
        <w:spacing w:after="120"/>
      </w:pPr>
    </w:p>
    <w:p>
      <w:pPr>
        <w:pStyle w:val="Heading1"/>
      </w:pPr>
      <w:r>
        <w:rPr>
          <w:rFonts w:ascii="Times New Roman" w:cs="Times New Roman" w:eastAsia="Times New Roman" w:hAnsi="Times New Roman"/>
        </w:rPr>
        <w:t xml:space="preserve">3.3 Calidad y retos de los datos</w:t>
      </w:r>
    </w:p>
    <w:p>
      <w:r>
        <w:rPr>
          <w:rFonts w:ascii="Times New Roman" w:cs="Times New Roman" w:eastAsia="Times New Roman" w:hAnsi="Times New Roman"/>
          <w:b/>
          <w:bCs/>
        </w:rPr>
        <w:t xml:space="preserve">Reto principal: la agenda no registra si el paciente asistió.</w:t>
      </w:r>
      <w:r>
        <w:rPr>
          <w:rFonts w:ascii="Times New Roman" w:cs="Times New Roman" w:eastAsia="Times New Roman" w:hAnsi="Times New Roman"/>
        </w:rPr>
        <w:t xml:space="preserve"> La asistencia se reconstruyó cruzando con RIPS (mismo paciente, mismo día y mismo servicio). Los dos últimos dígitos del CUPS identifican el servicio (890</w:t>
      </w:r>
      <w:r>
        <w:rPr>
          <w:rFonts w:ascii="Times New Roman" w:cs="Times New Roman" w:eastAsia="Times New Roman" w:hAnsi="Times New Roman"/>
          <w:b/>
          <w:bCs/>
        </w:rPr>
        <w:t xml:space="preserve">2</w:t>
      </w:r>
      <w:r>
        <w:rPr>
          <w:rFonts w:ascii="Times New Roman" w:cs="Times New Roman" w:eastAsia="Times New Roman" w:hAnsi="Times New Roman"/>
        </w:rPr>
        <w:t xml:space="preserve">01 y 890</w:t>
      </w:r>
      <w:r>
        <w:rPr>
          <w:rFonts w:ascii="Times New Roman" w:cs="Times New Roman" w:eastAsia="Times New Roman" w:hAnsi="Times New Roman"/>
          <w:b/>
          <w:bCs/>
        </w:rPr>
        <w:t xml:space="preserve">3</w:t>
      </w:r>
      <w:r>
        <w:rPr>
          <w:rFonts w:ascii="Times New Roman" w:cs="Times New Roman" w:eastAsia="Times New Roman" w:hAnsi="Times New Roman"/>
        </w:rPr>
        <w:t xml:space="preserve">01 = medicina general). La auditoría (notebook 01) encontró errores sistemáticos en esa etiqueta: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8"/>
        <w:gridCol w:w="4680"/>
        <w:gridCol w:w="3292"/>
      </w:tblGrid>
      <w:tr>
        <w:trPr>
          <w:tblHeader/>
        </w:trPr>
        <w:tc>
          <w:tcPr>
            <w:tcW w:type="dxa" w:w="138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Problema</w:t>
            </w:r>
          </w:p>
        </w:tc>
        <w:tc>
          <w:tcPr>
            <w:tcW w:type="dxa" w:w="468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Evidencia (resultado)</w:t>
            </w:r>
          </w:p>
        </w:tc>
        <w:tc>
          <w:tcPr>
            <w:tcW w:type="dxa" w:w="3292"/>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Tratamiento</w:t>
            </w:r>
          </w:p>
        </w:tc>
      </w:tr>
      <w:tr>
        <w:trPr>
          <w:tblHeader w:val="false"/>
        </w:trPr>
        <w:tc>
          <w:tcPr>
            <w:tcW w:type="dxa" w:w="1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Días sin reporte en RIPS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1–7 abr: RIPS registró entre 72 y 251 atenciones diarias, frente a ~1.600 normales, con la agenda estable. Armenia no subió en Semana Santa, así que no fue comportamiento</w:t>
            </w:r>
          </w:p>
        </w:tc>
        <w:tc>
          <w:tcPr>
            <w:tcW w:type="dxa" w:w="32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Regla estadística (z robusto &lt; −4): 24 días-departamento excluidos (28-feb, 1–7 abr, 13-jul, 10–15 ago, Armenia 2–11 sep)</w:t>
            </w:r>
          </w:p>
        </w:tc>
      </w:tr>
      <w:tr>
        <w:trPr>
          <w:tblHeader w:val="false"/>
        </w:trPr>
        <w:tc>
          <w:tcPr>
            <w:tcW w:type="dxa" w:w="1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Procedimientos agendados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Procedimientos con 23,1 % de "asistencia" vs. 66,9 % en consultas (ECG, citología, curaciones), porque solo se dispone del RIPS de consultas</w:t>
            </w:r>
          </w:p>
        </w:tc>
        <w:tc>
          <w:tcPr>
            <w:tcW w:type="dxa" w:w="32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Excluidos (43.508 citas)</w:t>
            </w:r>
          </w:p>
        </w:tc>
      </w:tr>
      <w:tr>
        <w:trPr>
          <w:tblHeader w:val="false"/>
        </w:trPr>
        <w:tc>
          <w:tcPr>
            <w:tcW w:type="dxa" w:w="1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Terapias y servicios no reportados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Fisioterapia, fonoaudiología, terapias ocupacional y respiratoria, higiene oral: asistencia &lt; 25 %; auxiliar de salud oral con registro inestable desde abril</w:t>
            </w:r>
          </w:p>
        </w:tc>
        <w:tc>
          <w:tcPr>
            <w:tcW w:type="dxa" w:w="32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Excluidos</w:t>
            </w:r>
          </w:p>
        </w:tc>
      </w:tr>
      <w:tr>
        <w:trPr>
          <w:tblHeader w:val="false"/>
        </w:trPr>
        <w:tc>
          <w:tcPr>
            <w:tcW w:type="dxa" w:w="1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Cambio de codificación de la agenda (abril de 2026)</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Por ejemplo, "HTA/CRONICO - MEDICO" pasa a "MEDICINA GENERAL" + procedimiento "HTA - MEDICO"; lo mismo con salud mental, salud pública, planificación familiar y ginecología</w:t>
            </w:r>
          </w:p>
        </w:tc>
        <w:tc>
          <w:tcPr>
            <w:tcW w:type="dxa" w:w="32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Servicio homologado</w:t>
            </w:r>
          </w:p>
        </w:tc>
      </w:tr>
      <w:tr>
        <w:trPr>
          <w:tblHeader w:val="false"/>
        </w:trPr>
        <w:tc>
          <w:tcPr>
            <w:tcW w:type="dxa" w:w="1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Citas huérfanas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Citas con los 13 códigos descontinuados, después de abril: 2,8 % de asistencia vs. 64,1 % antes del cambio</w:t>
            </w:r>
          </w:p>
        </w:tc>
        <w:tc>
          <w:tcPr>
            <w:tcW w:type="dxa" w:w="32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Excluidas</w:t>
            </w:r>
          </w:p>
        </w:tc>
      </w:tr>
      <w:tr>
        <w:trPr>
          <w:tblHeader w:val="false"/>
        </w:trPr>
        <w:tc>
          <w:tcPr>
            <w:tcW w:type="dxa" w:w="1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Cancelaciones y reprogramaciones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La IPS confirmó que siguen en la agenda y no dispone de un reporte de canceladas</w:t>
            </w:r>
          </w:p>
        </w:tc>
        <w:tc>
          <w:tcPr>
            <w:tcW w:type="dxa" w:w="32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Heurística: sin atención en RIPS + otra cita del mismo servicio pedida antes de su fecha = reprogramada (excluida)</w:t>
            </w:r>
          </w:p>
        </w:tc>
      </w:tr>
      <w:tr>
        <w:trPr>
          <w:tblHeader w:val="false"/>
        </w:trPr>
        <w:tc>
          <w:tcPr>
            <w:tcW w:type="dxa" w:w="1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Nombres de sede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11 nombres de contrato correspondían a 4 sedes (cambio de nombre en abril)</w:t>
            </w:r>
          </w:p>
        </w:tc>
        <w:tc>
          <w:tcPr>
            <w:tcW w:type="dxa" w:w="32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Normalización</w:t>
            </w:r>
          </w:p>
        </w:tc>
      </w:tr>
    </w:tbl>
    <w:p>
      <w:pPr>
        <w:spacing w:after="120"/>
      </w:pPr>
    </w:p>
    <w:p>
      <w:r>
        <w:rPr>
          <w:rFonts w:ascii="Times New Roman" w:cs="Times New Roman" w:eastAsia="Times New Roman" w:hAnsi="Times New Roman"/>
          <w:b/>
          <w:bCs/>
        </w:rPr>
        <w:t xml:space="preserve">Otras limitaciones de disponibilidad (dato observado):</w:t>
      </w:r>
    </w:p>
    <w:p>
      <w:pPr>
        <w:pStyle w:val="ListParagraph"/>
        <w:numPr>
          <w:ilvl w:val="0"/>
          <w:numId w:val="2"/>
        </w:numPr>
      </w:pPr>
      <w:r>
        <w:rPr>
          <w:rFonts w:ascii="Times New Roman" w:cs="Times New Roman" w:eastAsia="Times New Roman" w:hAnsi="Times New Roman"/>
        </w:rPr>
        <w:t xml:space="preserve">No hay dirección del paciente, hospitalizaciones, cirugías ni canal de agendamiento o recordatorios.</w:t>
      </w:r>
    </w:p>
    <w:p>
      <w:pPr>
        <w:pStyle w:val="ListParagraph"/>
        <w:numPr>
          <w:ilvl w:val="0"/>
          <w:numId w:val="2"/>
        </w:numPr>
      </w:pPr>
      <w:r>
        <w:rPr>
          <w:rFonts w:ascii="Times New Roman" w:cs="Times New Roman" w:eastAsia="Times New Roman" w:hAnsi="Times New Roman"/>
        </w:rPr>
        <w:t xml:space="preserve">RCV no tiene fechas.</w:t>
      </w:r>
    </w:p>
    <w:p>
      <w:pPr>
        <w:pStyle w:val="ListParagraph"/>
        <w:numPr>
          <w:ilvl w:val="0"/>
          <w:numId w:val="2"/>
        </w:numPr>
      </w:pPr>
      <w:r>
        <w:rPr>
          <w:rFonts w:ascii="Times New Roman" w:cs="Times New Roman" w:eastAsia="Times New Roman" w:hAnsi="Times New Roman"/>
        </w:rPr>
        <w:t xml:space="preserve">Solo se cuenta con cerca de 8 meses con etiqueta (enero–septiembre de 2026).</w:t>
      </w:r>
    </w:p>
    <w:p>
      <w:r>
        <w:rPr>
          <w:rFonts w:ascii="Times New Roman" w:cs="Times New Roman" w:eastAsia="Times New Roman" w:hAnsi="Times New Roman"/>
          <w:b/>
          <w:bCs/>
        </w:rPr>
        <w:t xml:space="preserve">Sesgo de la etiqueta (interpretación):</w:t>
      </w:r>
      <w:r>
        <w:rPr>
          <w:rFonts w:ascii="Times New Roman" w:cs="Times New Roman" w:eastAsia="Times New Roman" w:hAnsi="Times New Roman"/>
        </w:rPr>
        <w:t xml:space="preserve"> las cancelaciones sin nueva cita no se distinguen de una inasistencia, así que la tasa del 31,9 % podría sobreestimar la inasistencia real.</w:t>
      </w:r>
    </w:p>
    <w:p>
      <w:r>
        <w:rPr>
          <w:rFonts w:ascii="Times New Roman" w:cs="Times New Roman" w:eastAsia="Times New Roman" w:hAnsi="Times New Roman"/>
          <w:b/>
          <w:bCs/>
        </w:rPr>
        <w:t xml:space="preserve">Residuo no corregido (resultado):</w:t>
      </w:r>
      <w:r>
        <w:rPr>
          <w:rFonts w:ascii="Times New Roman" w:cs="Times New Roman" w:eastAsia="Times New Roman" w:hAnsi="Times New Roman"/>
        </w:rPr>
        <w:t xml:space="preserve"> Armenia del 13 al 15 de agosto tuvo un reporte parcial que la regla no detectó (unas 600 citas, en el periodo de producción simulada).</w:t>
      </w:r>
    </w:p>
    <w:p>
      <w:r>
        <w:rPr>
          <w:rFonts w:ascii="Times New Roman" w:cs="Times New Roman" w:eastAsia="Times New Roman" w:hAnsi="Times New Roman"/>
          <w:b/>
          <w:bCs/>
        </w:rPr>
        <w:t xml:space="preserve">Anonimización y acceso (dato observado, documento del problema):</w:t>
      </w:r>
      <w:r>
        <w:rPr>
          <w:rFonts w:ascii="Times New Roman" w:cs="Times New Roman" w:eastAsia="Times New Roman" w:hAnsi="Times New Roman"/>
        </w:rPr>
        <w:t xml:space="preserve"> los datos son sensibles y requieren anonimización y autorización institucional, que se gestionó mediante carta. Los archivos usados identifican al paciente con un código numérico. Proceso formal de anonimización aplicado: [Información no disponible en los datos proporcionados].</w:t>
      </w:r>
    </w:p>
    <w:p>
      <w:pPr>
        <w:pStyle w:val="Title"/>
      </w:pPr>
      <w:r>
        <w:rPr>
          <w:rFonts w:ascii="Times New Roman" w:cs="Times New Roman" w:eastAsia="Times New Roman" w:hAnsi="Times New Roman"/>
        </w:rPr>
        <w:t xml:space="preserve">4. Enfoque analítico y modelo</w:t>
      </w:r>
    </w:p>
    <w:p>
      <w:r>
        <w:rPr>
          <w:rFonts w:ascii="Times New Roman" w:cs="Times New Roman" w:eastAsia="Times New Roman" w:hAnsi="Times New Roman"/>
          <w:b/>
          <w:bCs/>
        </w:rPr>
        <w:t xml:space="preserve">Tipo de enfoque.</w:t>
      </w:r>
      <w:r>
        <w:rPr>
          <w:rFonts w:ascii="Times New Roman" w:cs="Times New Roman" w:eastAsia="Times New Roman" w:hAnsi="Times New Roman"/>
        </w:rPr>
        <w:t xml:space="preserve"> Analítica </w:t>
      </w:r>
      <w:r>
        <w:rPr>
          <w:rFonts w:ascii="Times New Roman" w:cs="Times New Roman" w:eastAsia="Times New Roman" w:hAnsi="Times New Roman"/>
          <w:b/>
          <w:bCs/>
        </w:rPr>
        <w:t xml:space="preserve">predictiva</w:t>
      </w:r>
      <w:r>
        <w:rPr>
          <w:rFonts w:ascii="Times New Roman" w:cs="Times New Roman" w:eastAsia="Times New Roman" w:hAnsi="Times New Roman"/>
        </w:rPr>
        <w:t xml:space="preserve"> mediante </w:t>
      </w:r>
      <w:r>
        <w:rPr>
          <w:rFonts w:ascii="Times New Roman" w:cs="Times New Roman" w:eastAsia="Times New Roman" w:hAnsi="Times New Roman"/>
          <w:b/>
          <w:bCs/>
        </w:rPr>
        <w:t xml:space="preserve">clasificación binaria supervisada</w:t>
      </w:r>
      <w:r>
        <w:rPr>
          <w:rFonts w:ascii="Times New Roman" w:cs="Times New Roman" w:eastAsia="Times New Roman" w:hAnsi="Times New Roman"/>
        </w:rPr>
        <w:t xml:space="preserve"> (asiste / no asiste), complementada con análisis descriptivo y diagnóstico (auditoría y EDA). La salida es una </w:t>
      </w:r>
      <w:r>
        <w:rPr>
          <w:rFonts w:ascii="Times New Roman" w:cs="Times New Roman" w:eastAsia="Times New Roman" w:hAnsi="Times New Roman"/>
          <w:b/>
          <w:bCs/>
        </w:rPr>
        <w:t xml:space="preserve">probabilidad</w:t>
      </w:r>
      <w:r>
        <w:rPr>
          <w:rFonts w:ascii="Times New Roman" w:cs="Times New Roman" w:eastAsia="Times New Roman" w:hAnsi="Times New Roman"/>
        </w:rPr>
        <w:t xml:space="preserve"> que se usa para </w:t>
      </w:r>
      <w:r>
        <w:rPr>
          <w:rFonts w:ascii="Times New Roman" w:cs="Times New Roman" w:eastAsia="Times New Roman" w:hAnsi="Times New Roman"/>
          <w:b/>
          <w:bCs/>
        </w:rPr>
        <w:t xml:space="preserve">ordenar</w:t>
      </w:r>
      <w:r>
        <w:rPr>
          <w:rFonts w:ascii="Times New Roman" w:cs="Times New Roman" w:eastAsia="Times New Roman" w:hAnsi="Times New Roman"/>
        </w:rPr>
        <w:t xml:space="preserve"> las citas de cada día.</w:t>
      </w:r>
    </w:p>
    <w:p>
      <w:r>
        <w:rPr>
          <w:rFonts w:ascii="Times New Roman" w:cs="Times New Roman" w:eastAsia="Times New Roman" w:hAnsi="Times New Roman"/>
          <w:b/>
          <w:bCs/>
        </w:rPr>
        <w:t xml:space="preserve">Por qué es adecuado.</w:t>
      </w:r>
      <w:r>
        <w:rPr>
          <w:rFonts w:ascii="Times New Roman" w:cs="Times New Roman" w:eastAsia="Times New Roman" w:hAnsi="Times New Roman"/>
        </w:rPr>
        <w:t xml:space="preserve"> La decisión operativa es </w:t>
      </w:r>
      <w:r>
        <w:rPr>
          <w:rFonts w:ascii="Times New Roman" w:cs="Times New Roman" w:eastAsia="Times New Roman" w:hAnsi="Times New Roman"/>
          <w:i/>
          <w:iCs/>
        </w:rPr>
        <w:t xml:space="preserve">a quién contactar primero</w:t>
      </w:r>
      <w:r>
        <w:rPr>
          <w:rFonts w:ascii="Times New Roman" w:cs="Times New Roman" w:eastAsia="Times New Roman" w:hAnsi="Times New Roman"/>
        </w:rPr>
        <w:t xml:space="preserve"> con una capacidad limitada. Eso requiere ordenar por riesgo y, para sobreagendar, una probabilidad creíble. Además, el documento del problema pedía combinar un modelo interpretable (regresión logística) con uno de mayor precisión para operar. Ambos se construyeron.</w:t>
      </w:r>
    </w:p>
    <w:p>
      <w:r>
        <w:rPr>
          <w:rFonts w:ascii="Times New Roman" w:cs="Times New Roman" w:eastAsia="Times New Roman" w:hAnsi="Times New Roman"/>
          <w:b/>
          <w:bCs/>
        </w:rPr>
        <w:t xml:space="preserve">Lógica general.</w:t>
      </w:r>
      <w:r>
        <w:rPr>
          <w:rFonts w:ascii="Times New Roman" w:cs="Times New Roman" w:eastAsia="Times New Roman" w:hAnsi="Times New Roman"/>
        </w:rPr>
        <w:t xml:space="preserve"> Cada cita se describe con variables conocidas el día anterior (D-1). El modelo aprende de las citas pasadas qué combinaciones de esas variables se asocian con la inasistencia y asigna una probabilidad a cada cita nueva.</w:t>
      </w:r>
    </w:p>
    <w:p>
      <w:r>
        <w:rPr>
          <w:rFonts w:ascii="Times New Roman" w:cs="Times New Roman" w:eastAsia="Times New Roman" w:hAnsi="Times New Roman"/>
          <w:b/>
          <w:bCs/>
        </w:rPr>
        <w:t xml:space="preserve">Variable objetivo.</w:t>
      </w:r>
      <w:r>
        <w:rPr>
          <w:rFonts w:ascii="Times New Roman" w:cs="Times New Roman" w:eastAsia="Times New Roman" w:hAnsi="Times New Roman"/>
        </w:rPr>
        <w:t xml:space="preserve"> </w:t>
      </w:r>
      <w:r>
        <w:rPr>
          <w:rFonts w:ascii="Consolas" w:cs="Consolas" w:eastAsia="Consolas" w:hAnsi="Consolas"/>
          <w:sz w:val="20"/>
          <w:szCs w:val="20"/>
        </w:rPr>
        <w:t xml:space="preserve">no_asiste = 1</w:t>
      </w:r>
      <w:r>
        <w:rPr>
          <w:rFonts w:ascii="Times New Roman" w:cs="Times New Roman" w:eastAsia="Times New Roman" w:hAnsi="Times New Roman"/>
        </w:rPr>
        <w:t xml:space="preserve"> si no existe atención en RIPS del mismo paciente, el mismo día y el mismo servicio.</w:t>
      </w:r>
    </w:p>
    <w:p>
      <w:r>
        <w:rPr>
          <w:rFonts w:ascii="Times New Roman" w:cs="Times New Roman" w:eastAsia="Times New Roman" w:hAnsi="Times New Roman"/>
          <w:b/>
          <w:bCs/>
        </w:rPr>
        <w:t xml:space="preserve">Principales variables predictoras (45 en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9"/>
        <w:gridCol w:w="7901"/>
      </w:tblGrid>
      <w:tr>
        <w:trPr>
          <w:tblHeader/>
        </w:trPr>
        <w:tc>
          <w:tcPr>
            <w:tcW w:type="dxa" w:w="145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Grupo</w:t>
            </w:r>
          </w:p>
        </w:tc>
        <w:tc>
          <w:tcPr>
            <w:tcW w:type="dxa" w:w="7901"/>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Variables</w:t>
            </w:r>
          </w:p>
        </w:tc>
      </w:tr>
      <w:tr>
        <w:trPr>
          <w:tblHeader w:val="false"/>
        </w:trPr>
        <w:tc>
          <w:tcPr>
            <w:tcW w:type="dxa" w:w="14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Historial (hasta D-2)</w:t>
            </w:r>
          </w:p>
        </w:tc>
        <w:tc>
          <w:tcPr>
            <w:tcW w:type="dxa" w:w="7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Citas e inasistencias previas, tasa histórica suavizada, estado de la última cita, días desde la última cita, sin historial</w:t>
            </w:r>
          </w:p>
        </w:tc>
      </w:tr>
      <w:tr>
        <w:trPr>
          <w:tblHeader w:val="false"/>
        </w:trPr>
        <w:tc>
          <w:tcPr>
            <w:tcW w:type="dxa" w:w="14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Historial en el servicio</w:t>
            </w:r>
          </w:p>
        </w:tc>
        <w:tc>
          <w:tcPr>
            <w:tcW w:type="dxa" w:w="7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Las mismas, restringidas al servicio de la cita</w:t>
            </w:r>
          </w:p>
        </w:tc>
      </w:tr>
      <w:tr>
        <w:trPr>
          <w:tblHeader w:val="false"/>
        </w:trPr>
        <w:tc>
          <w:tcPr>
            <w:tcW w:type="dxa" w:w="14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Agendamiento</w:t>
            </w:r>
          </w:p>
        </w:tc>
        <w:tc>
          <w:tcPr>
            <w:tcW w:type="dxa" w:w="7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Lead time (días y rangos), hora (cíclica y franja), primera vez / control, servicio homologado, familia de servicio</w:t>
            </w:r>
          </w:p>
        </w:tc>
      </w:tr>
      <w:tr>
        <w:trPr>
          <w:tblHeader w:val="false"/>
        </w:trPr>
        <w:tc>
          <w:tcPr>
            <w:tcW w:type="dxa" w:w="14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Sociodemográficas</w:t>
            </w:r>
          </w:p>
        </w:tc>
        <w:tc>
          <w:tcPr>
            <w:tcW w:type="dxa" w:w="7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Edad y curso de vida, sexo, nivel y tipo de usuario, régimen, sede</w:t>
            </w:r>
          </w:p>
        </w:tc>
      </w:tr>
      <w:tr>
        <w:trPr>
          <w:tblHeader w:val="false"/>
        </w:trPr>
        <w:tc>
          <w:tcPr>
            <w:tcW w:type="dxa" w:w="14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Calendario</w:t>
            </w:r>
          </w:p>
        </w:tc>
        <w:tc>
          <w:tcPr>
            <w:tcW w:type="dxa" w:w="7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Día de la semana, festivo, días previo y posterior a festivo, puente, días hasta festivo, primer día hábil del mes, semana del mes</w:t>
            </w:r>
          </w:p>
        </w:tc>
      </w:tr>
      <w:tr>
        <w:trPr>
          <w:tblHeader w:val="false"/>
        </w:trPr>
        <w:tc>
          <w:tcPr>
            <w:tcW w:type="dxa" w:w="14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Clínicas</w:t>
            </w:r>
          </w:p>
        </w:tc>
        <w:tc>
          <w:tcPr>
            <w:tcW w:type="dxa" w:w="7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Programa RCV, diabetes, gestante activa, medicamentos en 90 días, diagnósticos previos, atenciones en 90 días</w:t>
            </w:r>
          </w:p>
        </w:tc>
      </w:tr>
      <w:tr>
        <w:trPr>
          <w:tblHeader w:val="false"/>
        </w:trPr>
        <w:tc>
          <w:tcPr>
            <w:tcW w:type="dxa" w:w="14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Carga de agenda</w:t>
            </w:r>
          </w:p>
        </w:tc>
        <w:tc>
          <w:tcPr>
            <w:tcW w:type="dxa" w:w="7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Otras citas el mismo día y en los 7 días anteriores y siguientes</w:t>
            </w:r>
          </w:p>
        </w:tc>
      </w:tr>
      <w:tr>
        <w:trPr>
          <w:tblHeader w:val="false"/>
        </w:trPr>
        <w:tc>
          <w:tcPr>
            <w:tcW w:type="dxa" w:w="14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Interacciones</w:t>
            </w:r>
          </w:p>
        </w:tc>
        <w:tc>
          <w:tcPr>
            <w:tcW w:type="dxa" w:w="7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Familia de servicio × lead time; curso de vida × tipo de cita</w:t>
            </w:r>
          </w:p>
        </w:tc>
      </w:tr>
    </w:tbl>
    <w:p>
      <w:pPr>
        <w:spacing w:after="120"/>
      </w:pPr>
    </w:p>
    <w:p>
      <w:r>
        <w:rPr>
          <w:rFonts w:ascii="Times New Roman" w:cs="Times New Roman" w:eastAsia="Times New Roman" w:hAnsi="Times New Roman"/>
          <w:b/>
          <w:bCs/>
        </w:rPr>
        <w:t xml:space="preserve">Modelos comparados:</w:t>
      </w:r>
    </w:p>
    <w:p>
      <w:pPr>
        <w:pStyle w:val="ListParagraph"/>
        <w:numPr>
          <w:ilvl w:val="0"/>
          <w:numId w:val="2"/>
        </w:numPr>
      </w:pPr>
      <w:r>
        <w:rPr>
          <w:rFonts w:ascii="Times New Roman" w:cs="Times New Roman" w:eastAsia="Times New Roman" w:hAnsi="Times New Roman"/>
        </w:rPr>
        <w:t xml:space="preserve">línea base (tasa histórica suavizada);</w:t>
      </w:r>
    </w:p>
    <w:p>
      <w:pPr>
        <w:pStyle w:val="ListParagraph"/>
        <w:numPr>
          <w:ilvl w:val="0"/>
          <w:numId w:val="2"/>
        </w:numPr>
      </w:pPr>
      <w:r>
        <w:rPr>
          <w:rFonts w:ascii="Times New Roman" w:cs="Times New Roman" w:eastAsia="Times New Roman" w:hAnsi="Times New Roman"/>
        </w:rPr>
        <w:t xml:space="preserve">regresión logística (con estandarización y regularización);</w:t>
      </w:r>
    </w:p>
    <w:p>
      <w:pPr>
        <w:pStyle w:val="ListParagraph"/>
        <w:numPr>
          <w:ilvl w:val="0"/>
          <w:numId w:val="2"/>
        </w:numPr>
      </w:pPr>
      <w:r>
        <w:rPr>
          <w:rFonts w:ascii="Times New Roman" w:cs="Times New Roman" w:eastAsia="Times New Roman" w:hAnsi="Times New Roman"/>
        </w:rPr>
        <w:t xml:space="preserve">Random Forest;</w:t>
      </w:r>
    </w:p>
    <w:p>
      <w:pPr>
        <w:pStyle w:val="ListParagraph"/>
        <w:numPr>
          <w:ilvl w:val="0"/>
          <w:numId w:val="2"/>
        </w:numPr>
      </w:pPr>
      <w:r>
        <w:rPr>
          <w:rFonts w:ascii="Times New Roman" w:cs="Times New Roman" w:eastAsia="Times New Roman" w:hAnsi="Times New Roman"/>
        </w:rPr>
        <w:t xml:space="preserve">HistGradientBoosting;</w:t>
      </w:r>
    </w:p>
    <w:p>
      <w:pPr>
        <w:pStyle w:val="ListParagraph"/>
        <w:numPr>
          <w:ilvl w:val="0"/>
          <w:numId w:val="2"/>
        </w:numPr>
      </w:pPr>
      <w:r>
        <w:rPr>
          <w:rFonts w:ascii="Times New Roman" w:cs="Times New Roman" w:eastAsia="Times New Roman" w:hAnsi="Times New Roman"/>
        </w:rPr>
        <w:t xml:space="preserve">LightGBM.</w:t>
      </w:r>
    </w:p>
    <w:p>
      <w:r>
        <w:rPr>
          <w:rFonts w:ascii="Times New Roman" w:cs="Times New Roman" w:eastAsia="Times New Roman" w:hAnsi="Times New Roman"/>
        </w:rPr>
        <w:t xml:space="preserve">Los hiperparámetros se buscaron con </w:t>
      </w:r>
      <w:r>
        <w:rPr>
          <w:rFonts w:ascii="Consolas" w:cs="Consolas" w:eastAsia="Consolas" w:hAnsi="Consolas"/>
          <w:sz w:val="20"/>
          <w:szCs w:val="20"/>
        </w:rPr>
        <w:t xml:space="preserve">RandomizedSearchCV</w:t>
      </w:r>
      <w:r>
        <w:rPr>
          <w:rFonts w:ascii="Times New Roman" w:cs="Times New Roman" w:eastAsia="Times New Roman" w:hAnsi="Times New Roman"/>
        </w:rPr>
        <w:t xml:space="preserve"> sobre cuatro folds temporales de ventana creciente (ene–feb → mar, …, ene–may → jun).</w:t>
      </w:r>
    </w:p>
    <w:p>
      <w:r>
        <w:rPr>
          <w:rFonts w:ascii="Times New Roman" w:cs="Times New Roman" w:eastAsia="Times New Roman" w:hAnsi="Times New Roman"/>
          <w:b/>
          <w:bCs/>
        </w:rPr>
        <w:t xml:space="preserve">Supuestos:</w:t>
      </w:r>
    </w:p>
    <w:p>
      <w:pPr>
        <w:pStyle w:val="ListParagraph"/>
        <w:numPr>
          <w:ilvl w:val="0"/>
          <w:numId w:val="2"/>
        </w:numPr>
      </w:pPr>
      <w:r>
        <w:rPr>
          <w:rFonts w:ascii="Times New Roman" w:cs="Times New Roman" w:eastAsia="Times New Roman" w:hAnsi="Times New Roman"/>
        </w:rPr>
        <w:t xml:space="preserve">RCV vigente en todo el periodo.</w:t>
      </w:r>
    </w:p>
    <w:p>
      <w:pPr>
        <w:pStyle w:val="ListParagraph"/>
        <w:numPr>
          <w:ilvl w:val="0"/>
          <w:numId w:val="2"/>
        </w:numPr>
      </w:pPr>
      <w:r>
        <w:rPr>
          <w:rFonts w:ascii="Times New Roman" w:cs="Times New Roman" w:eastAsia="Times New Roman" w:hAnsi="Times New Roman"/>
        </w:rPr>
        <w:t xml:space="preserve">La heurística de reprogramación identifica correctamente las cancelaciones con nueva cita.</w:t>
      </w:r>
    </w:p>
    <w:p>
      <w:pPr>
        <w:pStyle w:val="ListParagraph"/>
        <w:numPr>
          <w:ilvl w:val="0"/>
          <w:numId w:val="2"/>
        </w:numPr>
      </w:pPr>
      <w:r>
        <w:rPr>
          <w:rFonts w:ascii="Times New Roman" w:cs="Times New Roman" w:eastAsia="Times New Roman" w:hAnsi="Times New Roman"/>
        </w:rPr>
        <w:t xml:space="preserve">La capacidad de llamadas es del 10 % diario.</w:t>
      </w:r>
    </w:p>
    <w:p>
      <w:pPr>
        <w:pStyle w:val="ListParagraph"/>
        <w:numPr>
          <w:ilvl w:val="0"/>
          <w:numId w:val="2"/>
        </w:numPr>
      </w:pPr>
      <w:r>
        <w:rPr>
          <w:rFonts w:ascii="Times New Roman" w:cs="Times New Roman" w:eastAsia="Times New Roman" w:hAnsi="Times New Roman"/>
        </w:rPr>
        <w:t xml:space="preserve">Los valores del cupo por servicio, el costo y la efectividad de la llamada (secciones 2.3 y 5.9).</w:t>
      </w:r>
    </w:p>
    <w:p>
      <w:pPr>
        <w:pStyle w:val="ListParagraph"/>
        <w:numPr>
          <w:ilvl w:val="0"/>
          <w:numId w:val="2"/>
        </w:numPr>
      </w:pPr>
      <w:r>
        <w:rPr>
          <w:rFonts w:ascii="Times New Roman" w:cs="Times New Roman" w:eastAsia="Times New Roman" w:hAnsi="Times New Roman"/>
        </w:rPr>
        <w:t xml:space="preserve">Los errores de RIPS futuros se parecerán a los detectados.</w:t>
      </w:r>
    </w:p>
    <w:p>
      <w:r>
        <w:rPr>
          <w:rFonts w:ascii="Times New Roman" w:cs="Times New Roman" w:eastAsia="Times New Roman" w:hAnsi="Times New Roman"/>
          <w:b/>
          <w:bCs/>
        </w:rPr>
        <w:t xml:space="preserve">Limitaciones:</w:t>
      </w:r>
    </w:p>
    <w:p>
      <w:pPr>
        <w:pStyle w:val="ListParagraph"/>
        <w:numPr>
          <w:ilvl w:val="0"/>
          <w:numId w:val="2"/>
        </w:numPr>
      </w:pPr>
      <w:r>
        <w:rPr>
          <w:rFonts w:ascii="Times New Roman" w:cs="Times New Roman" w:eastAsia="Times New Roman" w:hAnsi="Times New Roman"/>
        </w:rPr>
        <w:t xml:space="preserve">La etiqueta es un proxy: incluye cancelaciones sin nueva cita.</w:t>
      </w:r>
    </w:p>
    <w:p>
      <w:pPr>
        <w:pStyle w:val="ListParagraph"/>
        <w:numPr>
          <w:ilvl w:val="0"/>
          <w:numId w:val="2"/>
        </w:numPr>
      </w:pPr>
      <w:r>
        <w:rPr>
          <w:rFonts w:ascii="Times New Roman" w:cs="Times New Roman" w:eastAsia="Times New Roman" w:hAnsi="Times New Roman"/>
        </w:rPr>
        <w:t xml:space="preserve">El horizonte es corto (sin estacionalidad anual).</w:t>
      </w:r>
    </w:p>
    <w:p>
      <w:pPr>
        <w:pStyle w:val="ListParagraph"/>
        <w:numPr>
          <w:ilvl w:val="0"/>
          <w:numId w:val="2"/>
        </w:numPr>
      </w:pPr>
      <w:r>
        <w:rPr>
          <w:rFonts w:ascii="Times New Roman" w:cs="Times New Roman" w:eastAsia="Times New Roman" w:hAnsi="Times New Roman"/>
        </w:rPr>
        <w:t xml:space="preserve">Faltan variables relevantes según la literatura, como la distancia al centro y los recordatorios.</w:t>
      </w:r>
    </w:p>
    <w:p>
      <w:pPr>
        <w:pStyle w:val="ListParagraph"/>
        <w:numPr>
          <w:ilvl w:val="0"/>
          <w:numId w:val="2"/>
        </w:numPr>
      </w:pPr>
      <w:r>
        <w:rPr>
          <w:rFonts w:ascii="Times New Roman" w:cs="Times New Roman" w:eastAsia="Times New Roman" w:hAnsi="Times New Roman"/>
        </w:rPr>
        <w:t xml:space="preserve">No se evalúan procedimientos ni terapias.</w:t>
      </w:r>
    </w:p>
    <w:p>
      <w:r>
        <w:rPr>
          <w:rFonts w:ascii="Times New Roman" w:cs="Times New Roman" w:eastAsia="Times New Roman" w:hAnsi="Times New Roman"/>
          <w:b/>
          <w:bCs/>
        </w:rPr>
        <w:t xml:space="preserve">Riesgos de interpretación:</w:t>
      </w:r>
    </w:p>
    <w:p>
      <w:pPr>
        <w:pStyle w:val="ListParagraph"/>
        <w:numPr>
          <w:ilvl w:val="0"/>
          <w:numId w:val="2"/>
        </w:numPr>
      </w:pPr>
      <w:r>
        <w:rPr>
          <w:rFonts w:ascii="Times New Roman" w:cs="Times New Roman" w:eastAsia="Times New Roman" w:hAnsi="Times New Roman"/>
        </w:rPr>
        <w:t xml:space="preserve">La importancia de una variable </w:t>
      </w:r>
      <w:r>
        <w:rPr>
          <w:rFonts w:ascii="Times New Roman" w:cs="Times New Roman" w:eastAsia="Times New Roman" w:hAnsi="Times New Roman"/>
          <w:b/>
          <w:bCs/>
        </w:rPr>
        <w:t xml:space="preserve">no implica causalidad</w:t>
      </w:r>
      <w:r>
        <w:rPr>
          <w:rFonts w:ascii="Times New Roman" w:cs="Times New Roman" w:eastAsia="Times New Roman" w:hAnsi="Times New Roman"/>
        </w:rPr>
        <w:t xml:space="preserve">. Por ejemplo, pertenecer a un programa RCV se asocia con menos inasistencia, pero eso no prueba que inscribir pacientes reduzca la inasistencia.</w:t>
      </w:r>
    </w:p>
    <w:p>
      <w:pPr>
        <w:pStyle w:val="ListParagraph"/>
        <w:numPr>
          <w:ilvl w:val="0"/>
          <w:numId w:val="2"/>
        </w:numPr>
      </w:pPr>
      <w:r>
        <w:rPr>
          <w:rFonts w:ascii="Times New Roman" w:cs="Times New Roman" w:eastAsia="Times New Roman" w:hAnsi="Times New Roman"/>
        </w:rPr>
        <w:t xml:space="preserve">Las variables de calendario y lead time tuvieron efectos pequeños e inestables mes a mes.</w:t>
      </w:r>
    </w:p>
    <w:p>
      <w:pPr>
        <w:pStyle w:val="ListParagraph"/>
        <w:numPr>
          <w:ilvl w:val="0"/>
          <w:numId w:val="2"/>
        </w:numPr>
      </w:pPr>
      <w:r>
        <w:rPr>
          <w:rFonts w:ascii="Times New Roman" w:cs="Times New Roman" w:eastAsia="Times New Roman" w:hAnsi="Times New Roman"/>
        </w:rPr>
        <w:t xml:space="preserve">El modelo sobreestima la inasistencia de especialistas en 6,0 pp.</w:t>
      </w:r>
    </w:p>
    <w:p>
      <w:r>
        <w:rPr>
          <w:rFonts w:ascii="Times New Roman" w:cs="Times New Roman" w:eastAsia="Times New Roman" w:hAnsi="Times New Roman"/>
          <w:b/>
          <w:bCs/>
        </w:rPr>
        <w:t xml:space="preserve">Condiciones para usarlo en producción:</w:t>
      </w:r>
    </w:p>
    <w:p>
      <w:pPr>
        <w:pStyle w:val="ListParagraph"/>
        <w:numPr>
          <w:ilvl w:val="0"/>
          <w:numId w:val="2"/>
        </w:numPr>
      </w:pPr>
      <w:r>
        <w:rPr>
          <w:rFonts w:ascii="Times New Roman" w:cs="Times New Roman" w:eastAsia="Times New Roman" w:hAnsi="Times New Roman"/>
        </w:rPr>
        <w:t xml:space="preserve">Disponer cada día de la agenda asignada hasta D-1 y de RIPS y medicamentos hasta D-2.</w:t>
      </w:r>
    </w:p>
    <w:p>
      <w:pPr>
        <w:pStyle w:val="ListParagraph"/>
        <w:numPr>
          <w:ilvl w:val="0"/>
          <w:numId w:val="2"/>
        </w:numPr>
      </w:pPr>
      <w:r>
        <w:rPr>
          <w:rFonts w:ascii="Times New Roman" w:cs="Times New Roman" w:eastAsia="Times New Roman" w:hAnsi="Times New Roman"/>
        </w:rPr>
        <w:t xml:space="preserve">Mantener estables los códigos de servicio, o actualizar la homologación si cambian.</w:t>
      </w:r>
    </w:p>
    <w:p>
      <w:pPr>
        <w:pStyle w:val="ListParagraph"/>
        <w:numPr>
          <w:ilvl w:val="0"/>
          <w:numId w:val="2"/>
        </w:numPr>
      </w:pPr>
      <w:r>
        <w:rPr>
          <w:rFonts w:ascii="Times New Roman" w:cs="Times New Roman" w:eastAsia="Times New Roman" w:hAnsi="Times New Roman"/>
        </w:rPr>
        <w:t xml:space="preserve">Reentrenar periódicamente con auditoría previa de la etiqueta.</w:t>
      </w:r>
    </w:p>
    <w:p>
      <w:pPr>
        <w:pStyle w:val="ListParagraph"/>
        <w:numPr>
          <w:ilvl w:val="0"/>
          <w:numId w:val="2"/>
        </w:numPr>
      </w:pPr>
      <w:r>
        <w:rPr>
          <w:rFonts w:ascii="Times New Roman" w:cs="Times New Roman" w:eastAsia="Times New Roman" w:hAnsi="Times New Roman"/>
        </w:rPr>
        <w:t xml:space="preserve">Monitorear la calibración y el desempeño.</w:t>
      </w:r>
    </w:p>
    <w:p>
      <w:pPr>
        <w:pStyle w:val="Title"/>
      </w:pPr>
      <w:r>
        <w:rPr>
          <w:rFonts w:ascii="Times New Roman" w:cs="Times New Roman" w:eastAsia="Times New Roman" w:hAnsi="Times New Roman"/>
        </w:rPr>
        <w:t xml:space="preserve">5. Resultados e insights</w:t>
      </w:r>
    </w:p>
    <w:p>
      <w:pPr>
        <w:pStyle w:val="Heading1"/>
      </w:pPr>
      <w:r>
        <w:rPr>
          <w:rFonts w:ascii="Times New Roman" w:cs="Times New Roman" w:eastAsia="Times New Roman" w:hAnsi="Times New Roman"/>
        </w:rPr>
        <w:t xml:space="preserve">5.1 La etiqueta original contenía errores de registro predecibles</w:t>
      </w:r>
    </w:p>
    <w:p>
      <w:r>
        <w:rPr>
          <w:rFonts w:ascii="Times New Roman" w:cs="Times New Roman" w:eastAsia="Times New Roman" w:hAnsi="Times New Roman"/>
          <w:b/>
          <w:bCs/>
        </w:rPr>
        <w:t xml:space="preserve">Hallazgo.</w:t>
      </w:r>
      <w:r>
        <w:rPr>
          <w:rFonts w:ascii="Times New Roman" w:cs="Times New Roman" w:eastAsia="Times New Roman" w:hAnsi="Times New Roman"/>
        </w:rPr>
        <w:t xml:space="preserve"> Una parte de lo que parecía inasistencia eran fallas de registro, no comportamiento del paciente.</w:t>
      </w:r>
    </w:p>
    <w:p>
      <w:r>
        <w:rPr>
          <w:rFonts w:ascii="Times New Roman" w:cs="Times New Roman" w:eastAsia="Times New Roman" w:hAnsi="Times New Roman"/>
          <w:b/>
          <w:bCs/>
        </w:rPr>
        <w:t xml:space="preserve">Evidencia (resultado).</w:t>
      </w:r>
      <w:r>
        <w:rPr>
          <w:rFonts w:ascii="Times New Roman" w:cs="Times New Roman" w:eastAsia="Times New Roman" w:hAnsi="Times New Roman"/>
        </w:rPr>
        <w:t xml:space="preserve"> Ver la tabla de la sección 3.3 y la Figura 1: los picos semanales de abril, mediados de agosto y septiembre (Armenia) coinciden con caídas del volumen de RIPS.</w:t>
      </w:r>
    </w:p>
    <w:p>
      <w:r>
        <w:rPr>
          <w:rFonts w:ascii="Times New Roman" w:cs="Times New Roman" w:eastAsia="Times New Roman" w:hAnsi="Times New Roman"/>
          <w:b/>
          <w:bCs/>
        </w:rPr>
        <w:t xml:space="preserve">Significado para el negocio (interpretación).</w:t>
      </w:r>
      <w:r>
        <w:rPr>
          <w:rFonts w:ascii="Times New Roman" w:cs="Times New Roman" w:eastAsia="Times New Roman" w:hAnsi="Times New Roman"/>
        </w:rPr>
        <w:t xml:space="preserve"> Si la etiqueta no se corrige, un modelo aprende a "predecir" fallas del sistema (por ejemplo, que un electrocardiograma siempre sale como no asistido). Eso infla las métricas y lleva a intervenir sobre pacientes que sí asisten.</w:t>
      </w:r>
    </w:p>
    <w:p>
      <w:r>
        <w:rPr>
          <w:rFonts w:ascii="Times New Roman" w:cs="Times New Roman" w:eastAsia="Times New Roman" w:hAnsi="Times New Roman"/>
          <w:b/>
          <w:bCs/>
        </w:rPr>
        <w:t xml:space="preserve">Apoyo a la decisión.</w:t>
      </w:r>
      <w:r>
        <w:rPr>
          <w:rFonts w:ascii="Times New Roman" w:cs="Times New Roman" w:eastAsia="Times New Roman" w:hAnsi="Times New Roman"/>
        </w:rPr>
        <w:t xml:space="preserve"> La IPS necesita un estado de cita confiable en su propio sistema (recomendación 7.2).</w:t>
      </w:r>
    </w:p>
    <w:p>
      <w:pPr>
        <w:spacing w:after="60" w:before="12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574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1. Inasistencia semanal por departamento con la etiqueta sin corregir</w:t>
      </w:r>
    </w:p>
    <w:p>
      <w:pPr>
        <w:pStyle w:val="Heading1"/>
      </w:pPr>
      <w:r>
        <w:rPr>
          <w:rFonts w:ascii="Times New Roman" w:cs="Times New Roman" w:eastAsia="Times New Roman" w:hAnsi="Times New Roman"/>
        </w:rPr>
        <w:t xml:space="preserve">5.2 Patrones de inasistencia (análisis exploratorio, periodo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71"/>
        <w:gridCol w:w="3388"/>
        <w:gridCol w:w="2612"/>
        <w:gridCol w:w="889"/>
      </w:tblGrid>
      <w:tr>
        <w:trPr>
          <w:tblHeader/>
        </w:trPr>
        <w:tc>
          <w:tcPr>
            <w:tcW w:type="dxa" w:w="2471"/>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Hipótesis</w:t>
            </w:r>
          </w:p>
        </w:tc>
        <w:tc>
          <w:tcPr>
            <w:tcW w:type="dxa" w:w="338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Evidencia (resultado)</w:t>
            </w:r>
          </w:p>
        </w:tc>
        <w:tc>
          <w:tcPr>
            <w:tcW w:type="dxa" w:w="2612"/>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Tamaño del efecto</w:t>
            </w:r>
          </w:p>
        </w:tc>
        <w:tc>
          <w:tcPr>
            <w:tcW w:type="dxa" w:w="88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Veredicto</w:t>
            </w:r>
          </w:p>
        </w:tc>
      </w:tr>
      <w:tr>
        <w:trPr>
          <w:tblHeader w:val="false"/>
        </w:trPr>
        <w:tc>
          <w:tcPr>
            <w:tcW w:type="dxa" w:w="24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Más lead time → más inasistencia</w:t>
            </w:r>
          </w:p>
        </w:tc>
        <w:tc>
          <w:tcPr>
            <w:tcW w:type="dxa" w:w="3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36,5 % (&gt;90 días) vs. 30,1 % (1–7 días)</w:t>
            </w:r>
          </w:p>
        </w:tc>
        <w:tc>
          <w:tcPr>
            <w:tcW w:type="dxa" w:w="26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Moderado (6,4 pp); inestable en junio</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confirma</w:t>
            </w:r>
          </w:p>
        </w:tc>
      </w:tr>
      <w:tr>
        <w:trPr>
          <w:tblHeader w:val="false"/>
        </w:trPr>
        <w:tc>
          <w:tcPr>
            <w:tcW w:type="dxa" w:w="24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Los jóvenes faltan más</w:t>
            </w:r>
          </w:p>
        </w:tc>
        <w:tc>
          <w:tcPr>
            <w:tcW w:type="dxa" w:w="3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42,7 % (18–28 años) vs. 25,5 % (60+)</w:t>
            </w:r>
          </w:p>
        </w:tc>
        <w:tc>
          <w:tcPr>
            <w:tcW w:type="dxa" w:w="26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Grande (17,2 pp)</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confirma</w:t>
            </w:r>
          </w:p>
        </w:tc>
      </w:tr>
      <w:tr>
        <w:trPr>
          <w:tblHeader w:val="false"/>
        </w:trPr>
        <w:tc>
          <w:tcPr>
            <w:tcW w:type="dxa" w:w="24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Los crónicos faltan menos</w:t>
            </w:r>
          </w:p>
        </w:tc>
        <w:tc>
          <w:tcPr>
            <w:tcW w:type="dxa" w:w="3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24,6 % (programas RCV) vs. 36,7 % (sin programa)</w:t>
            </w:r>
          </w:p>
        </w:tc>
        <w:tc>
          <w:tcPr>
            <w:tcW w:type="dxa" w:w="26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Grande (12,1 pp)</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confirma</w:t>
            </w:r>
          </w:p>
        </w:tc>
      </w:tr>
      <w:tr>
        <w:trPr>
          <w:tblHeader w:val="false"/>
        </w:trPr>
        <w:tc>
          <w:tcPr>
            <w:tcW w:type="dxa" w:w="24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Lunes y sábado → más inasistencia</w:t>
            </w:r>
          </w:p>
        </w:tc>
        <w:tc>
          <w:tcPr>
            <w:tcW w:type="dxa" w:w="3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33,1 % vs. 31,6 %</w:t>
            </w:r>
          </w:p>
        </w:tc>
        <w:tc>
          <w:tcPr>
            <w:tcW w:type="dxa" w:w="26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Pequeño (1,5 pp)</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confirma</w:t>
            </w:r>
          </w:p>
        </w:tc>
      </w:tr>
      <w:tr>
        <w:trPr>
          <w:tblHeader w:val="false"/>
        </w:trPr>
        <w:tc>
          <w:tcPr>
            <w:tcW w:type="dxa" w:w="24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Puentes festivos → más inasistencia</w:t>
            </w:r>
          </w:p>
        </w:tc>
        <w:tc>
          <w:tcPr>
            <w:tcW w:type="dxa" w:w="33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35,9 % vs. 32,0 % (solo el 1,7 % de las citas)</w:t>
            </w:r>
          </w:p>
        </w:tc>
        <w:tc>
          <w:tcPr>
            <w:tcW w:type="dxa" w:w="26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Moderado (3,9 pp)</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confirma</w:t>
            </w:r>
          </w:p>
        </w:tc>
      </w:tr>
    </w:tbl>
    <w:p>
      <w:pPr>
        <w:spacing w:after="120"/>
      </w:pPr>
    </w:p>
    <w:p>
      <w:r>
        <w:rPr>
          <w:rFonts w:ascii="Times New Roman" w:cs="Times New Roman" w:eastAsia="Times New Roman" w:hAnsi="Times New Roman"/>
          <w:b/>
          <w:bCs/>
        </w:rPr>
        <w:t xml:space="preserve">Otros resultados:</w:t>
      </w:r>
    </w:p>
    <w:p>
      <w:pPr>
        <w:pStyle w:val="ListParagraph"/>
        <w:numPr>
          <w:ilvl w:val="0"/>
          <w:numId w:val="2"/>
        </w:numPr>
      </w:pPr>
      <w:r>
        <w:rPr>
          <w:rFonts w:ascii="Times New Roman" w:cs="Times New Roman" w:eastAsia="Times New Roman" w:hAnsi="Times New Roman"/>
        </w:rPr>
        <w:t xml:space="preserve">Faltar a la última cita: 39,6 % de inasistencia vs. 28,9 % de quien asistió.</w:t>
      </w:r>
    </w:p>
    <w:p>
      <w:pPr>
        <w:pStyle w:val="ListParagraph"/>
        <w:numPr>
          <w:ilvl w:val="0"/>
          <w:numId w:val="2"/>
        </w:numPr>
      </w:pPr>
      <w:r>
        <w:rPr>
          <w:rFonts w:ascii="Times New Roman" w:cs="Times New Roman" w:eastAsia="Times New Roman" w:hAnsi="Times New Roman"/>
        </w:rPr>
        <w:t xml:space="preserve">Tasa histórica suavizada: del quintil más bajo (26,5 %) al más alto (42,6 %).</w:t>
      </w:r>
    </w:p>
    <w:p>
      <w:pPr>
        <w:pStyle w:val="ListParagraph"/>
        <w:numPr>
          <w:ilvl w:val="0"/>
          <w:numId w:val="2"/>
        </w:numPr>
      </w:pPr>
      <w:r>
        <w:rPr>
          <w:rFonts w:ascii="Times New Roman" w:cs="Times New Roman" w:eastAsia="Times New Roman" w:hAnsi="Times New Roman"/>
        </w:rPr>
        <w:t xml:space="preserve">Polifarmacia: −2,3 pp.</w:t>
      </w:r>
    </w:p>
    <w:p>
      <w:pPr>
        <w:pStyle w:val="ListParagraph"/>
        <w:numPr>
          <w:ilvl w:val="0"/>
          <w:numId w:val="2"/>
        </w:numPr>
      </w:pPr>
      <w:r>
        <w:rPr>
          <w:rFonts w:ascii="Times New Roman" w:cs="Times New Roman" w:eastAsia="Times New Roman" w:hAnsi="Times New Roman"/>
        </w:rPr>
        <w:t xml:space="preserve">Último día hábil del mes: sin relación (p = 0,76).</w:t>
      </w:r>
    </w:p>
    <w:p>
      <w:r>
        <w:rPr>
          <w:rFonts w:ascii="Times New Roman" w:cs="Times New Roman" w:eastAsia="Times New Roman" w:hAnsi="Times New Roman"/>
          <w:b/>
          <w:bCs/>
        </w:rPr>
        <w:t xml:space="preserve">Interpretación.</w:t>
      </w:r>
      <w:r>
        <w:rPr>
          <w:rFonts w:ascii="Times New Roman" w:cs="Times New Roman" w:eastAsia="Times New Roman" w:hAnsi="Times New Roman"/>
        </w:rPr>
        <w:t xml:space="preserve"> Las variables de </w:t>
      </w:r>
      <w:r>
        <w:rPr>
          <w:rFonts w:ascii="Times New Roman" w:cs="Times New Roman" w:eastAsia="Times New Roman" w:hAnsi="Times New Roman"/>
          <w:b/>
          <w:bCs/>
        </w:rPr>
        <w:t xml:space="preserve">persona e historial</w:t>
      </w:r>
      <w:r>
        <w:rPr>
          <w:rFonts w:ascii="Times New Roman" w:cs="Times New Roman" w:eastAsia="Times New Roman" w:hAnsi="Times New Roman"/>
        </w:rPr>
        <w:t xml:space="preserve"> (edad, programa crónico, tipo de usuario, última cita) son fuertes y estables mes a mes. Las de </w:t>
      </w:r>
      <w:r>
        <w:rPr>
          <w:rFonts w:ascii="Times New Roman" w:cs="Times New Roman" w:eastAsia="Times New Roman" w:hAnsi="Times New Roman"/>
          <w:b/>
          <w:bCs/>
        </w:rPr>
        <w:t xml:space="preserve">agenda y calendario</w:t>
      </w:r>
      <w:r>
        <w:rPr>
          <w:rFonts w:ascii="Times New Roman" w:cs="Times New Roman" w:eastAsia="Times New Roman" w:hAnsi="Times New Roman"/>
        </w:rPr>
        <w:t xml:space="preserve"> son débiles e inestables.</w:t>
      </w:r>
    </w:p>
    <w:p>
      <w:r>
        <w:rPr>
          <w:rFonts w:ascii="Times New Roman" w:cs="Times New Roman" w:eastAsia="Times New Roman" w:hAnsi="Times New Roman"/>
          <w:b/>
          <w:bCs/>
        </w:rPr>
        <w:t xml:space="preserve">Apoyo a la decisión.</w:t>
      </w:r>
      <w:r>
        <w:rPr>
          <w:rFonts w:ascii="Times New Roman" w:cs="Times New Roman" w:eastAsia="Times New Roman" w:hAnsi="Times New Roman"/>
        </w:rPr>
        <w:t xml:space="preserve"> Las acciones de confirmación pueden priorizar a jóvenes, pacientes sin programa crónico y pacientes con inasistencias recientes.</w:t>
      </w:r>
    </w:p>
    <w:p>
      <w:pPr>
        <w:spacing w:after="60" w:before="120"/>
        <w:jc w:val="center"/>
      </w:pPr>
      <w:r>
        <w:drawing>
          <wp:inline distT="0" distB="0" distL="0" distR="0">
            <wp:extent cx="5715000" cy="601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0102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2. Tasa de inasistencia por categoría con intervalo de confianza del 95 % (entrenamiento)</w:t>
      </w:r>
    </w:p>
    <w:p>
      <w:pPr>
        <w:pStyle w:val="Heading1"/>
      </w:pPr>
      <w:r>
        <w:rPr>
          <w:rFonts w:ascii="Times New Roman" w:cs="Times New Roman" w:eastAsia="Times New Roman" w:hAnsi="Times New Roman"/>
        </w:rPr>
        <w:t xml:space="preserve">5.3 Comparación de modelos (validación cruzada temporal, enero–junio)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6"/>
        <w:gridCol w:w="1364"/>
        <w:gridCol w:w="856"/>
        <w:gridCol w:w="856"/>
        <w:gridCol w:w="1042"/>
        <w:gridCol w:w="856"/>
        <w:gridCol w:w="1364"/>
        <w:gridCol w:w="856"/>
      </w:tblGrid>
      <w:tr>
        <w:trPr>
          <w:tblHeader/>
        </w:trPr>
        <w:tc>
          <w:tcPr>
            <w:tcW w:type="dxa" w:w="216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Modelo</w:t>
            </w:r>
          </w:p>
        </w:tc>
        <w:tc>
          <w:tcPr>
            <w:tcW w:type="dxa" w:w="1364"/>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AUC</w:t>
            </w:r>
          </w:p>
        </w:tc>
        <w:tc>
          <w:tcPr>
            <w:tcW w:type="dxa" w:w="85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PR-AUC</w:t>
            </w:r>
          </w:p>
        </w:tc>
        <w:tc>
          <w:tcPr>
            <w:tcW w:type="dxa" w:w="85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Brier</w:t>
            </w:r>
          </w:p>
        </w:tc>
        <w:tc>
          <w:tcPr>
            <w:tcW w:type="dxa" w:w="1042"/>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Precisión@10%</w:t>
            </w:r>
          </w:p>
        </w:tc>
        <w:tc>
          <w:tcPr>
            <w:tcW w:type="dxa" w:w="85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Recall@10%</w:t>
            </w:r>
          </w:p>
        </w:tc>
        <w:tc>
          <w:tcPr>
            <w:tcW w:type="dxa" w:w="1364"/>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Especificidad@10%</w:t>
            </w:r>
          </w:p>
        </w:tc>
        <w:tc>
          <w:tcPr>
            <w:tcW w:type="dxa" w:w="85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F1@10%</w:t>
            </w:r>
          </w:p>
        </w:tc>
      </w:tr>
      <w:tr>
        <w:trPr>
          <w:tblHeader w:val="false"/>
        </w:trP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Línea base (tasa histórica)</w:t>
            </w:r>
          </w:p>
        </w:tc>
        <w:tc>
          <w:tcPr>
            <w:tcW w:type="dxa" w:w="13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0,588 ± 0,013</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0,413</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0,220</w:t>
            </w:r>
          </w:p>
        </w:tc>
        <w:tc>
          <w:tcPr>
            <w:tcW w:type="dxa" w:w="10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0,490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0,148</w:t>
            </w:r>
          </w:p>
        </w:tc>
        <w:tc>
          <w:tcPr>
            <w:tcW w:type="dxa" w:w="13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0,924</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0,227</w:t>
            </w:r>
          </w:p>
        </w:tc>
      </w:tr>
      <w:tr>
        <w:trPr>
          <w:tblHeader w:val="false"/>
        </w:trP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Regresión logística</w:t>
            </w:r>
          </w:p>
        </w:tc>
        <w:tc>
          <w:tcPr>
            <w:tcW w:type="dxa" w:w="13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0,655 ± 0,006</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0,480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0,234</w:t>
            </w:r>
          </w:p>
        </w:tc>
        <w:tc>
          <w:tcPr>
            <w:tcW w:type="dxa" w:w="10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0,571</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0,172</w:t>
            </w:r>
          </w:p>
        </w:tc>
        <w:tc>
          <w:tcPr>
            <w:tcW w:type="dxa" w:w="13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0,936</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0,265</w:t>
            </w:r>
          </w:p>
        </w:tc>
      </w:tr>
      <w:tr>
        <w:trPr>
          <w:tblHeader w:val="false"/>
        </w:trP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Random Forest</w:t>
            </w:r>
          </w:p>
        </w:tc>
        <w:tc>
          <w:tcPr>
            <w:tcW w:type="dxa" w:w="13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0,670 ± 0,010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0,506</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0,203</w:t>
            </w:r>
          </w:p>
        </w:tc>
        <w:tc>
          <w:tcPr>
            <w:tcW w:type="dxa" w:w="10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0,598</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0,181</w:t>
            </w:r>
          </w:p>
        </w:tc>
        <w:tc>
          <w:tcPr>
            <w:tcW w:type="dxa" w:w="13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0,940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0,277</w:t>
            </w:r>
          </w:p>
        </w:tc>
      </w:tr>
      <w:tr>
        <w:trPr>
          <w:tblHeader w:val="false"/>
        </w:trP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HistGradientBoosting</w:t>
            </w:r>
          </w:p>
        </w:tc>
        <w:tc>
          <w:tcPr>
            <w:tcW w:type="dxa" w:w="13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0,678 ± 0,008</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0,514</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0,201</w:t>
            </w:r>
          </w:p>
        </w:tc>
        <w:tc>
          <w:tcPr>
            <w:tcW w:type="dxa" w:w="10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0,616</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0,186</w:t>
            </w:r>
          </w:p>
        </w:tc>
        <w:tc>
          <w:tcPr>
            <w:tcW w:type="dxa" w:w="13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0,943</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0,286</w:t>
            </w:r>
          </w:p>
        </w:tc>
      </w:tr>
      <w:tr>
        <w:trPr>
          <w:tblHeader w:val="false"/>
        </w:trP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LightGBM (elegido)</w:t>
            </w:r>
          </w:p>
        </w:tc>
        <w:tc>
          <w:tcPr>
            <w:tcW w:type="dxa" w:w="13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0,679 ± 0,008</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0,517</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0,201</w:t>
            </w:r>
          </w:p>
        </w:tc>
        <w:tc>
          <w:tcPr>
            <w:tcW w:type="dxa" w:w="10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0,623</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0,188</w:t>
            </w:r>
          </w:p>
        </w:tc>
        <w:tc>
          <w:tcPr>
            <w:tcW w:type="dxa" w:w="13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0,944</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0,289</w:t>
            </w:r>
          </w:p>
        </w:tc>
      </w:tr>
    </w:tbl>
    <w:p>
      <w:pPr>
        <w:spacing w:after="120"/>
      </w:pPr>
    </w:p>
    <w:p>
      <w:pPr>
        <w:spacing w:after="200" w:before="0" w:line="260"/>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Media ± desviación estándar en 4 folds temporales. Meta recalculada con la etiqueta corregida y el mismo protocolo del modelo inicial: AUC 0,671 y precisión@10 % de 60,4 %.</w:t>
      </w:r>
    </w:p>
    <w:p>
      <w:r>
        <w:rPr>
          <w:rFonts w:ascii="Times New Roman" w:cs="Times New Roman" w:eastAsia="Times New Roman" w:hAnsi="Times New Roman"/>
          <w:b/>
          <w:bCs/>
        </w:rPr>
        <w:t xml:space="preserve">Hallazgos:</w:t>
      </w:r>
    </w:p>
    <w:p>
      <w:pPr>
        <w:pStyle w:val="ListParagraph"/>
        <w:numPr>
          <w:ilvl w:val="0"/>
          <w:numId w:val="2"/>
        </w:numPr>
      </w:pPr>
      <w:r>
        <w:rPr>
          <w:rFonts w:ascii="Times New Roman" w:cs="Times New Roman" w:eastAsia="Times New Roman" w:hAnsi="Times New Roman"/>
        </w:rPr>
        <w:t xml:space="preserve">Todos los modelos superan a la línea base.</w:t>
      </w:r>
    </w:p>
    <w:p>
      <w:pPr>
        <w:pStyle w:val="ListParagraph"/>
        <w:numPr>
          <w:ilvl w:val="0"/>
          <w:numId w:val="2"/>
        </w:numPr>
      </w:pPr>
      <w:r>
        <w:rPr>
          <w:rFonts w:ascii="Times New Roman" w:cs="Times New Roman" w:eastAsia="Times New Roman" w:hAnsi="Times New Roman"/>
        </w:rPr>
        <w:t xml:space="preserve">Los modelos de </w:t>
      </w:r>
      <w:r>
        <w:rPr>
          <w:rFonts w:ascii="Times New Roman" w:cs="Times New Roman" w:eastAsia="Times New Roman" w:hAnsi="Times New Roman"/>
          <w:i/>
          <w:iCs/>
        </w:rPr>
        <w:t xml:space="preserve">boosting</w:t>
      </w:r>
      <w:r>
        <w:rPr>
          <w:rFonts w:ascii="Times New Roman" w:cs="Times New Roman" w:eastAsia="Times New Roman" w:hAnsi="Times New Roman"/>
        </w:rPr>
        <w:t xml:space="preserve"> son los mejores. LightGBM y HistGradientBoosting son equivalentes: la diferencia está dentro de la variación entre folds.</w:t>
      </w:r>
    </w:p>
    <w:p>
      <w:pPr>
        <w:pStyle w:val="ListParagraph"/>
        <w:numPr>
          <w:ilvl w:val="0"/>
          <w:numId w:val="2"/>
        </w:numPr>
      </w:pPr>
      <w:r>
        <w:rPr>
          <w:rFonts w:ascii="Times New Roman" w:cs="Times New Roman" w:eastAsia="Times New Roman" w:hAnsi="Times New Roman"/>
        </w:rPr>
        <w:t xml:space="preserve">Otros resultados de la validación:</w:t>
      </w:r>
    </w:p>
    <w:p>
      <w:pPr>
        <w:pStyle w:val="ListParagraph"/>
        <w:numPr>
          <w:ilvl w:val="1"/>
          <w:numId w:val="2"/>
        </w:numPr>
      </w:pPr>
      <w:r>
        <w:rPr>
          <w:rFonts w:ascii="Times New Roman" w:cs="Times New Roman" w:eastAsia="Times New Roman" w:hAnsi="Times New Roman"/>
        </w:rPr>
        <w:t xml:space="preserve">La validación aleatoria sobreestimó la AUC (0,682 vs. 0,668 temporal).</w:t>
      </w:r>
    </w:p>
    <w:p>
      <w:pPr>
        <w:pStyle w:val="ListParagraph"/>
        <w:numPr>
          <w:ilvl w:val="1"/>
          <w:numId w:val="2"/>
        </w:numPr>
      </w:pPr>
      <w:r>
        <w:rPr>
          <w:rFonts w:ascii="Consolas" w:cs="Consolas" w:eastAsia="Consolas" w:hAnsi="Consolas"/>
          <w:sz w:val="20"/>
          <w:szCs w:val="20"/>
        </w:rPr>
        <w:t xml:space="preserve">class_weight="balanced"</w:t>
      </w:r>
      <w:r>
        <w:rPr>
          <w:rFonts w:ascii="Times New Roman" w:cs="Times New Roman" w:eastAsia="Times New Roman" w:hAnsi="Times New Roman"/>
        </w:rPr>
        <w:t xml:space="preserve"> no mejoró el ordenamiento e infló la probabilidad media (48,3 % predicho vs. 33,5 % real).</w:t>
      </w:r>
    </w:p>
    <w:p>
      <w:pPr>
        <w:pStyle w:val="ListParagraph"/>
        <w:numPr>
          <w:ilvl w:val="1"/>
          <w:numId w:val="2"/>
        </w:numPr>
      </w:pPr>
      <w:r>
        <w:rPr>
          <w:rFonts w:ascii="Times New Roman" w:cs="Times New Roman" w:eastAsia="Times New Roman" w:hAnsi="Times New Roman"/>
        </w:rPr>
        <w:t xml:space="preserve">La calibración isotónica empeoró el Brier (0,2021 → 0,2054) y la AUC (0,680 → 0,666). No se aplicó.</w:t>
      </w:r>
    </w:p>
    <w:p>
      <w:r>
        <w:rPr>
          <w:rFonts w:ascii="Times New Roman" w:cs="Times New Roman" w:eastAsia="Times New Roman" w:hAnsi="Times New Roman"/>
          <w:b/>
          <w:bCs/>
        </w:rPr>
        <w:t xml:space="preserve">Interpretación.</w:t>
      </w:r>
      <w:r>
        <w:rPr>
          <w:rFonts w:ascii="Times New Roman" w:cs="Times New Roman" w:eastAsia="Times New Roman" w:hAnsi="Times New Roman"/>
        </w:rPr>
        <w:t xml:space="preserve"> La meta inicial de AUC 0,705 se había medido con la etiqueta sin corregir. Con la etiqueta limpia, el modelo elegido supera la meta recalculada en AUC (0,679 vs. 0,671) y en precisión@10 % (62,3 % vs. 60,4 %).</w:t>
      </w:r>
    </w:p>
    <w:p>
      <w:pPr>
        <w:spacing w:after="60" w:before="120"/>
        <w:jc w:val="center"/>
      </w:pPr>
      <w:r>
        <w:drawing>
          <wp:inline distT="0" distB="0" distL="0" distR="0">
            <wp:extent cx="5715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144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3. Comparación de modelos en validación cruzada temporal</w:t>
      </w:r>
    </w:p>
    <w:p>
      <w:pPr>
        <w:pStyle w:val="Heading1"/>
      </w:pPr>
      <w:r>
        <w:rPr>
          <w:rFonts w:ascii="Times New Roman" w:cs="Times New Roman" w:eastAsia="Times New Roman" w:hAnsi="Times New Roman"/>
        </w:rPr>
        <w:t xml:space="preserve">5.4 Evaluación única en test (julio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6"/>
        <w:gridCol w:w="3585"/>
        <w:gridCol w:w="2389"/>
      </w:tblGrid>
      <w:tr>
        <w:trPr>
          <w:tblHeader/>
        </w:trPr>
        <w:tc>
          <w:tcPr>
            <w:tcW w:type="dxa" w:w="338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Métrica</w:t>
            </w:r>
          </w:p>
        </w:tc>
        <w:tc>
          <w:tcPr>
            <w:tcW w:type="dxa" w:w="358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Validación cruzada</w:t>
            </w:r>
          </w:p>
        </w:tc>
        <w:tc>
          <w:tcPr>
            <w:tcW w:type="dxa" w:w="238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Test (julio)</w:t>
            </w:r>
          </w:p>
        </w:tc>
      </w:tr>
      <w:tr>
        <w:trPr>
          <w:tblHeader w:val="false"/>
        </w:trPr>
        <w:tc>
          <w:tcPr>
            <w:tcW w:type="dxa" w:w="3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ROC-AUC</w:t>
            </w:r>
          </w:p>
        </w:tc>
        <w:tc>
          <w:tcPr>
            <w:tcW w:type="dxa" w:w="35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0,679</w:t>
            </w:r>
          </w:p>
        </w:tc>
        <w:tc>
          <w:tcPr>
            <w:tcW w:type="dxa" w:w="23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0,682</w:t>
            </w:r>
          </w:p>
        </w:tc>
      </w:tr>
      <w:tr>
        <w:trPr>
          <w:tblHeader w:val="false"/>
        </w:trPr>
        <w:tc>
          <w:tcPr>
            <w:tcW w:type="dxa" w:w="3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PR-AUC</w:t>
            </w:r>
          </w:p>
        </w:tc>
        <w:tc>
          <w:tcPr>
            <w:tcW w:type="dxa" w:w="35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0,517</w:t>
            </w:r>
          </w:p>
        </w:tc>
        <w:tc>
          <w:tcPr>
            <w:tcW w:type="dxa" w:w="23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0,490</w:t>
            </w:r>
          </w:p>
        </w:tc>
      </w:tr>
      <w:tr>
        <w:trPr>
          <w:tblHeader w:val="false"/>
        </w:trPr>
        <w:tc>
          <w:tcPr>
            <w:tcW w:type="dxa" w:w="3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Brier</w:t>
            </w:r>
          </w:p>
        </w:tc>
        <w:tc>
          <w:tcPr>
            <w:tcW w:type="dxa" w:w="35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0,201</w:t>
            </w:r>
          </w:p>
        </w:tc>
        <w:tc>
          <w:tcPr>
            <w:tcW w:type="dxa" w:w="23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0,196</w:t>
            </w:r>
          </w:p>
        </w:tc>
      </w:tr>
      <w:tr>
        <w:trPr>
          <w:tblHeader w:val="false"/>
        </w:trPr>
        <w:tc>
          <w:tcPr>
            <w:tcW w:type="dxa" w:w="3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Precisión@10%</w:t>
            </w:r>
          </w:p>
        </w:tc>
        <w:tc>
          <w:tcPr>
            <w:tcW w:type="dxa" w:w="35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0,623</w:t>
            </w:r>
          </w:p>
        </w:tc>
        <w:tc>
          <w:tcPr>
            <w:tcW w:type="dxa" w:w="23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0,575</w:t>
            </w:r>
          </w:p>
        </w:tc>
      </w:tr>
      <w:tr>
        <w:trPr>
          <w:tblHeader w:val="false"/>
        </w:trPr>
        <w:tc>
          <w:tcPr>
            <w:tcW w:type="dxa" w:w="3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Recall@10%</w:t>
            </w:r>
          </w:p>
        </w:tc>
        <w:tc>
          <w:tcPr>
            <w:tcW w:type="dxa" w:w="35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0,188</w:t>
            </w:r>
          </w:p>
        </w:tc>
        <w:tc>
          <w:tcPr>
            <w:tcW w:type="dxa" w:w="23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0,184</w:t>
            </w:r>
          </w:p>
        </w:tc>
      </w:tr>
      <w:tr>
        <w:trPr>
          <w:tblHeader w:val="false"/>
        </w:trPr>
        <w:tc>
          <w:tcPr>
            <w:tcW w:type="dxa" w:w="3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Especificidad@10%</w:t>
            </w:r>
          </w:p>
        </w:tc>
        <w:tc>
          <w:tcPr>
            <w:tcW w:type="dxa" w:w="35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0,944</w:t>
            </w:r>
          </w:p>
        </w:tc>
        <w:tc>
          <w:tcPr>
            <w:tcW w:type="dxa" w:w="23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0,938</w:t>
            </w:r>
          </w:p>
        </w:tc>
      </w:tr>
      <w:tr>
        <w:trPr>
          <w:tblHeader w:val="false"/>
        </w:trPr>
        <w:tc>
          <w:tcPr>
            <w:tcW w:type="dxa" w:w="3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F1@10%</w:t>
            </w:r>
          </w:p>
        </w:tc>
        <w:tc>
          <w:tcPr>
            <w:tcW w:type="dxa" w:w="35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0,289</w:t>
            </w:r>
          </w:p>
        </w:tc>
        <w:tc>
          <w:tcPr>
            <w:tcW w:type="dxa" w:w="23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0,278</w:t>
            </w:r>
          </w:p>
        </w:tc>
      </w:tr>
      <w:tr>
        <w:trPr>
          <w:tblHeader w:val="false"/>
        </w:trPr>
        <w:tc>
          <w:tcPr>
            <w:tcW w:type="dxa" w:w="3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Precisión@30%</w:t>
            </w:r>
          </w:p>
        </w:tc>
        <w:tc>
          <w:tcPr>
            <w:tcW w:type="dxa" w:w="35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0,505</w:t>
            </w:r>
          </w:p>
        </w:tc>
        <w:tc>
          <w:tcPr>
            <w:tcW w:type="dxa" w:w="23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0,485</w:t>
            </w:r>
          </w:p>
        </w:tc>
      </w:tr>
      <w:tr>
        <w:trPr>
          <w:tblHeader w:val="false"/>
        </w:trPr>
        <w:tc>
          <w:tcPr>
            <w:tcW w:type="dxa" w:w="3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Recall@30%</w:t>
            </w:r>
          </w:p>
        </w:tc>
        <w:tc>
          <w:tcPr>
            <w:tcW w:type="dxa" w:w="35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0,458</w:t>
            </w:r>
          </w:p>
        </w:tc>
        <w:tc>
          <w:tcPr>
            <w:tcW w:type="dxa" w:w="23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0,465</w:t>
            </w:r>
          </w:p>
        </w:tc>
      </w:tr>
      <w:tr>
        <w:trPr>
          <w:tblHeader w:val="false"/>
        </w:trPr>
        <w:tc>
          <w:tcPr>
            <w:tcW w:type="dxa" w:w="3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Especificidad@30%</w:t>
            </w:r>
          </w:p>
        </w:tc>
        <w:tc>
          <w:tcPr>
            <w:tcW w:type="dxa" w:w="35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0,778</w:t>
            </w:r>
          </w:p>
        </w:tc>
        <w:tc>
          <w:tcPr>
            <w:tcW w:type="dxa" w:w="23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0,776</w:t>
            </w:r>
          </w:p>
        </w:tc>
      </w:tr>
    </w:tbl>
    <w:p>
      <w:pPr>
        <w:spacing w:after="120"/>
      </w:pPr>
    </w:p>
    <w:p>
      <w:r>
        <w:rPr>
          <w:rFonts w:ascii="Times New Roman" w:cs="Times New Roman" w:eastAsia="Times New Roman" w:hAnsi="Times New Roman"/>
          <w:b/>
          <w:bCs/>
        </w:rPr>
        <w:t xml:space="preserve">Matrices de confusión en test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38"/>
        <w:gridCol w:w="1985"/>
        <w:gridCol w:w="2837"/>
      </w:tblGrid>
      <w:tr>
        <w:trPr>
          <w:tblHeader/>
        </w:trPr>
        <w:tc>
          <w:tcPr>
            <w:tcW w:type="dxa" w:w="453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Capacidad 10 %</w:t>
            </w:r>
          </w:p>
        </w:tc>
        <w:tc>
          <w:tcPr>
            <w:tcW w:type="dxa" w:w="198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Llamado</w:t>
            </w:r>
          </w:p>
        </w:tc>
        <w:tc>
          <w:tcPr>
            <w:tcW w:type="dxa" w:w="283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No llamado</w:t>
            </w:r>
          </w:p>
        </w:tc>
      </w:tr>
      <w:tr>
        <w:trPr>
          <w:tblHeader w:val="false"/>
        </w:trPr>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Real: no asistió</w:t>
            </w:r>
          </w:p>
        </w:tc>
        <w:tc>
          <w:tcPr>
            <w:tcW w:type="dxa" w:w="1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2.361</w:t>
            </w:r>
          </w:p>
        </w:tc>
        <w:tc>
          <w:tcPr>
            <w:tcW w:type="dxa" w:w="28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10.494</w:t>
            </w:r>
          </w:p>
        </w:tc>
      </w:tr>
      <w:tr>
        <w:trPr>
          <w:tblHeader w:val="false"/>
        </w:trPr>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Real: asistió</w:t>
            </w:r>
          </w:p>
        </w:tc>
        <w:tc>
          <w:tcPr>
            <w:tcW w:type="dxa" w:w="1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1.743</w:t>
            </w:r>
          </w:p>
        </w:tc>
        <w:tc>
          <w:tcPr>
            <w:tcW w:type="dxa" w:w="28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26.550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38"/>
        <w:gridCol w:w="1985"/>
        <w:gridCol w:w="2837"/>
      </w:tblGrid>
      <w:tr>
        <w:trPr>
          <w:tblHeader/>
        </w:trPr>
        <w:tc>
          <w:tcPr>
            <w:tcW w:type="dxa" w:w="453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Capacidad 30 %</w:t>
            </w:r>
          </w:p>
        </w:tc>
        <w:tc>
          <w:tcPr>
            <w:tcW w:type="dxa" w:w="198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Llamado</w:t>
            </w:r>
          </w:p>
        </w:tc>
        <w:tc>
          <w:tcPr>
            <w:tcW w:type="dxa" w:w="283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No llamado</w:t>
            </w:r>
          </w:p>
        </w:tc>
      </w:tr>
      <w:tr>
        <w:trPr>
          <w:tblHeader w:val="false"/>
        </w:trPr>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Real: no asistió</w:t>
            </w:r>
          </w:p>
        </w:tc>
        <w:tc>
          <w:tcPr>
            <w:tcW w:type="dxa" w:w="1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5.981</w:t>
            </w:r>
          </w:p>
        </w:tc>
        <w:tc>
          <w:tcPr>
            <w:tcW w:type="dxa" w:w="28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6.874</w:t>
            </w:r>
          </w:p>
        </w:tc>
      </w:tr>
      <w:tr>
        <w:trPr>
          <w:tblHeader w:val="false"/>
        </w:trPr>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Real: asistió</w:t>
            </w:r>
          </w:p>
        </w:tc>
        <w:tc>
          <w:tcPr>
            <w:tcW w:type="dxa" w:w="1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6.350</w:t>
            </w:r>
          </w:p>
        </w:tc>
        <w:tc>
          <w:tcPr>
            <w:tcW w:type="dxa" w:w="28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21.943</w:t>
            </w:r>
          </w:p>
        </w:tc>
      </w:tr>
    </w:tbl>
    <w:p>
      <w:pPr>
        <w:spacing w:after="120"/>
      </w:pPr>
    </w:p>
    <w:p>
      <w:r>
        <w:rPr>
          <w:rFonts w:ascii="Times New Roman" w:cs="Times New Roman" w:eastAsia="Times New Roman" w:hAnsi="Times New Roman"/>
          <w:b/>
          <w:bCs/>
        </w:rPr>
        <w:t xml:space="preserve">Interpretación.</w:t>
      </w:r>
      <w:r>
        <w:rPr>
          <w:rFonts w:ascii="Times New Roman" w:cs="Times New Roman" w:eastAsia="Times New Roman" w:hAnsi="Times New Roman"/>
        </w:rPr>
        <w:t xml:space="preserve"> La AUC en test coincide con la de validación, así que no hay evidencia de sobreajuste. La precisión es menor que en la validación en parte porque julio tuvo menos inasistencia (31,2 %).</w:t>
      </w:r>
    </w:p>
    <w:p>
      <w:pPr>
        <w:spacing w:after="60" w:before="120"/>
        <w:jc w:val="center"/>
      </w:pPr>
      <w:r>
        <w:drawing>
          <wp:inline distT="0" distB="0" distL="0" distR="0">
            <wp:extent cx="5715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573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4. Curva ROC, curva precisión-recall y calibración en test</w:t>
      </w:r>
    </w:p>
    <w:p>
      <w:pPr>
        <w:pStyle w:val="Heading1"/>
      </w:pPr>
      <w:r>
        <w:rPr>
          <w:rFonts w:ascii="Times New Roman" w:cs="Times New Roman" w:eastAsia="Times New Roman" w:hAnsi="Times New Roman"/>
        </w:rPr>
        <w:t xml:space="preserve">5.5 Compromiso entre capacidad, cobertura y precisión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79"/>
        <w:gridCol w:w="889"/>
        <w:gridCol w:w="1155"/>
        <w:gridCol w:w="1669"/>
        <w:gridCol w:w="1668"/>
      </w:tblGrid>
      <w:tr>
        <w:trPr>
          <w:tblHeader/>
        </w:trPr>
        <w:tc>
          <w:tcPr>
            <w:tcW w:type="dxa" w:w="397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Capacidad diaria</w:t>
            </w:r>
          </w:p>
        </w:tc>
        <w:tc>
          <w:tcPr>
            <w:tcW w:type="dxa" w:w="88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Recall</w:t>
            </w:r>
          </w:p>
        </w:tc>
        <w:tc>
          <w:tcPr>
            <w:tcW w:type="dxa" w:w="115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Precisión</w:t>
            </w:r>
          </w:p>
        </w:tc>
        <w:tc>
          <w:tcPr>
            <w:tcW w:type="dxa" w:w="166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Especificidad</w:t>
            </w:r>
          </w:p>
        </w:tc>
        <w:tc>
          <w:tcPr>
            <w:tcW w:type="dxa" w:w="166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Lift vs. azar</w:t>
            </w:r>
          </w:p>
        </w:tc>
      </w:tr>
      <w:tr>
        <w:trPr>
          <w:tblHeader w:val="false"/>
        </w:trPr>
        <w:tc>
          <w:tcPr>
            <w:tcW w:type="dxa" w:w="3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5 %</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10,2 %</w:t>
            </w:r>
          </w:p>
        </w:tc>
        <w:tc>
          <w:tcPr>
            <w:tcW w:type="dxa" w:w="1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64,3 %</w:t>
            </w:r>
          </w:p>
        </w:tc>
        <w:tc>
          <w:tcPr>
            <w:tcW w:type="dxa" w:w="16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w:t>
            </w:r>
          </w:p>
        </w:tc>
        <w:tc>
          <w:tcPr>
            <w:tcW w:type="dxa" w:w="16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2,06</w:t>
            </w:r>
          </w:p>
        </w:tc>
      </w:tr>
      <w:tr>
        <w:trPr>
          <w:tblHeader w:val="false"/>
        </w:trPr>
        <w:tc>
          <w:tcPr>
            <w:tcW w:type="dxa" w:w="3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10 %</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18,4 %</w:t>
            </w:r>
          </w:p>
        </w:tc>
        <w:tc>
          <w:tcPr>
            <w:tcW w:type="dxa" w:w="1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57,5 %</w:t>
            </w:r>
          </w:p>
        </w:tc>
        <w:tc>
          <w:tcPr>
            <w:tcW w:type="dxa" w:w="16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93,8 %</w:t>
            </w:r>
          </w:p>
        </w:tc>
        <w:tc>
          <w:tcPr>
            <w:tcW w:type="dxa" w:w="16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1,84</w:t>
            </w:r>
          </w:p>
        </w:tc>
      </w:tr>
      <w:tr>
        <w:trPr>
          <w:tblHeader w:val="false"/>
        </w:trPr>
        <w:tc>
          <w:tcPr>
            <w:tcW w:type="dxa" w:w="3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20 %</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33,7 %</w:t>
            </w:r>
          </w:p>
        </w:tc>
        <w:tc>
          <w:tcPr>
            <w:tcW w:type="dxa" w:w="1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52,6 %</w:t>
            </w:r>
          </w:p>
        </w:tc>
        <w:tc>
          <w:tcPr>
            <w:tcW w:type="dxa" w:w="16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w:t>
            </w:r>
          </w:p>
        </w:tc>
        <w:tc>
          <w:tcPr>
            <w:tcW w:type="dxa" w:w="16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1,69</w:t>
            </w:r>
          </w:p>
        </w:tc>
      </w:tr>
      <w:tr>
        <w:trPr>
          <w:tblHeader w:val="false"/>
        </w:trPr>
        <w:tc>
          <w:tcPr>
            <w:tcW w:type="dxa" w:w="3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30 %</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46,5 %</w:t>
            </w:r>
          </w:p>
        </w:tc>
        <w:tc>
          <w:tcPr>
            <w:tcW w:type="dxa" w:w="1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48,5 %</w:t>
            </w:r>
          </w:p>
        </w:tc>
        <w:tc>
          <w:tcPr>
            <w:tcW w:type="dxa" w:w="16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77,6 %</w:t>
            </w:r>
          </w:p>
        </w:tc>
        <w:tc>
          <w:tcPr>
            <w:tcW w:type="dxa" w:w="16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1,55</w:t>
            </w:r>
          </w:p>
        </w:tc>
      </w:tr>
      <w:tr>
        <w:trPr>
          <w:tblHeader w:val="false"/>
        </w:trPr>
        <w:tc>
          <w:tcPr>
            <w:tcW w:type="dxa" w:w="3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50 %</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68,5 %</w:t>
            </w:r>
          </w:p>
        </w:tc>
        <w:tc>
          <w:tcPr>
            <w:tcW w:type="dxa" w:w="1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42,8 %</w:t>
            </w:r>
          </w:p>
        </w:tc>
        <w:tc>
          <w:tcPr>
            <w:tcW w:type="dxa" w:w="16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w:t>
            </w:r>
          </w:p>
        </w:tc>
        <w:tc>
          <w:tcPr>
            <w:tcW w:type="dxa" w:w="16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1,37</w:t>
            </w:r>
          </w:p>
        </w:tc>
      </w:tr>
      <w:tr>
        <w:trPr>
          <w:tblHeader w:val="false"/>
        </w:trPr>
        <w:tc>
          <w:tcPr>
            <w:tcW w:type="dxa" w:w="3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60 % (recálculo complementario)</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76,9 %</w:t>
            </w:r>
          </w:p>
        </w:tc>
        <w:tc>
          <w:tcPr>
            <w:tcW w:type="dxa" w:w="1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40,0 %</w:t>
            </w:r>
          </w:p>
        </w:tc>
        <w:tc>
          <w:tcPr>
            <w:tcW w:type="dxa" w:w="16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47,7 %</w:t>
            </w:r>
          </w:p>
        </w:tc>
        <w:tc>
          <w:tcPr>
            <w:tcW w:type="dxa" w:w="16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1,28</w:t>
            </w:r>
          </w:p>
        </w:tc>
      </w:tr>
    </w:tbl>
    <w:p>
      <w:pPr>
        <w:spacing w:after="120"/>
      </w:pPr>
    </w:p>
    <w:p>
      <w:pPr>
        <w:spacing w:after="200" w:before="0" w:line="260"/>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Filas del 5 % al 50 %: notebook 06. Fila del 60 %: recálculo con el mismo modelo y los mismos datos. Las diferencias frente al notebook son menores a 1 pp, por el entrenamiento en paralelo. La especificidad no se reportó en el notebook para 5 %, 20 % y 50 %.</w:t>
      </w:r>
    </w:p>
    <w:p>
      <w:r>
        <w:rPr>
          <w:rFonts w:ascii="Times New Roman" w:cs="Times New Roman" w:eastAsia="Times New Roman" w:hAnsi="Times New Roman"/>
          <w:b/>
          <w:bCs/>
        </w:rPr>
        <w:t xml:space="preserve">Hallazgo.</w:t>
      </w:r>
      <w:r>
        <w:rPr>
          <w:rFonts w:ascii="Times New Roman" w:cs="Times New Roman" w:eastAsia="Times New Roman" w:hAnsi="Times New Roman"/>
        </w:rPr>
        <w:t xml:space="preserve"> El recall ≥ 75 % planteado en la pregunta SMART solo se alcanza interviniendo cerca del 60 % de las citas diarias, con una precisión del 40 %.</w:t>
      </w:r>
    </w:p>
    <w:p>
      <w:r>
        <w:rPr>
          <w:rFonts w:ascii="Times New Roman" w:cs="Times New Roman" w:eastAsia="Times New Roman" w:hAnsi="Times New Roman"/>
          <w:b/>
          <w:bCs/>
        </w:rPr>
        <w:t xml:space="preserve">Significado.</w:t>
      </w:r>
      <w:r>
        <w:rPr>
          <w:rFonts w:ascii="Times New Roman" w:cs="Times New Roman" w:eastAsia="Times New Roman" w:hAnsi="Times New Roman"/>
        </w:rPr>
        <w:t xml:space="preserve"> Con capacidad para llamadas personalizadas (10 %), el modelo cubre ~18 % de las inasistencias con una precisión casi 2 veces mayor que el azar. Para acercarse al recall de la meta hace falta un canal masivo y barato, como los mensajes automáticos.</w:t>
      </w:r>
    </w:p>
    <w:p>
      <w:r>
        <w:rPr>
          <w:rFonts w:ascii="Times New Roman" w:cs="Times New Roman" w:eastAsia="Times New Roman" w:hAnsi="Times New Roman"/>
          <w:b/>
          <w:bCs/>
        </w:rPr>
        <w:t xml:space="preserve">Apoyo a la decisión.</w:t>
      </w:r>
      <w:r>
        <w:rPr>
          <w:rFonts w:ascii="Times New Roman" w:cs="Times New Roman" w:eastAsia="Times New Roman" w:hAnsi="Times New Roman"/>
        </w:rPr>
        <w:t xml:space="preserve"> Combinar canales: llamada para el riesgo alto y mensaje automático para el riesgo medio.</w:t>
      </w:r>
    </w:p>
    <w:p>
      <w:pPr>
        <w:spacing w:after="60" w:before="12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764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5. Ganancia acumulada y lift en test</w:t>
      </w:r>
    </w:p>
    <w:p>
      <w:pPr>
        <w:pStyle w:val="Heading1"/>
      </w:pPr>
      <w:r>
        <w:rPr>
          <w:rFonts w:ascii="Times New Roman" w:cs="Times New Roman" w:eastAsia="Times New Roman" w:hAnsi="Times New Roman"/>
        </w:rPr>
        <w:t xml:space="preserve">5.6 Equidad entre grupos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9"/>
        <w:gridCol w:w="968"/>
        <w:gridCol w:w="2259"/>
        <w:gridCol w:w="2152"/>
        <w:gridCol w:w="2582"/>
      </w:tblGrid>
      <w:tr>
        <w:trPr>
          <w:tblHeader/>
        </w:trPr>
        <w:tc>
          <w:tcPr>
            <w:tcW w:type="dxa" w:w="139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Grupo</w:t>
            </w:r>
          </w:p>
        </w:tc>
        <w:tc>
          <w:tcPr>
            <w:tcW w:type="dxa" w:w="96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Tasa real</w:t>
            </w:r>
          </w:p>
        </w:tc>
        <w:tc>
          <w:tcPr>
            <w:tcW w:type="dxa" w:w="225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Probabilidad predicha</w:t>
            </w:r>
          </w:p>
        </w:tc>
        <w:tc>
          <w:tcPr>
            <w:tcW w:type="dxa" w:w="2152"/>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AUC dentro del grupo</w:t>
            </w:r>
          </w:p>
        </w:tc>
        <w:tc>
          <w:tcPr>
            <w:tcW w:type="dxa" w:w="2582"/>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 marcado en el top 10 %</w:t>
            </w:r>
          </w:p>
        </w:tc>
      </w:tr>
      <w:tr>
        <w:trPr>
          <w:tblHeader w:val="false"/>
        </w:trPr>
        <w:tc>
          <w:tcPr>
            <w:tcW w:type="dxa" w:w="13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Contributivo</w:t>
            </w:r>
          </w:p>
        </w:tc>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31,0 %</w:t>
            </w:r>
          </w:p>
        </w:tc>
        <w:tc>
          <w:tcPr>
            <w:tcW w:type="dxa" w:w="22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32,1 %</w:t>
            </w:r>
          </w:p>
        </w:tc>
        <w:tc>
          <w:tcPr>
            <w:tcW w:type="dxa" w:w="2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0,681</w:t>
            </w:r>
          </w:p>
        </w:tc>
        <w:tc>
          <w:tcPr>
            <w:tcW w:type="dxa" w:w="25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9,7 %</w:t>
            </w:r>
          </w:p>
        </w:tc>
      </w:tr>
      <w:tr>
        <w:trPr>
          <w:tblHeader w:val="false"/>
        </w:trPr>
        <w:tc>
          <w:tcPr>
            <w:tcW w:type="dxa" w:w="13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Subsidiado</w:t>
            </w:r>
          </w:p>
        </w:tc>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39,2 %</w:t>
            </w:r>
          </w:p>
        </w:tc>
        <w:tc>
          <w:tcPr>
            <w:tcW w:type="dxa" w:w="22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40,4 %</w:t>
            </w:r>
          </w:p>
        </w:tc>
        <w:tc>
          <w:tcPr>
            <w:tcW w:type="dxa" w:w="2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0,688</w:t>
            </w:r>
          </w:p>
        </w:tc>
        <w:tc>
          <w:tcPr>
            <w:tcW w:type="dxa" w:w="25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19,5 %</w:t>
            </w:r>
          </w:p>
        </w:tc>
      </w:tr>
      <w:tr>
        <w:trPr>
          <w:tblHeader w:val="false"/>
        </w:trPr>
        <w:tc>
          <w:tcPr>
            <w:tcW w:type="dxa" w:w="13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Femenino</w:t>
            </w:r>
          </w:p>
        </w:tc>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31,6 %</w:t>
            </w:r>
          </w:p>
        </w:tc>
        <w:tc>
          <w:tcPr>
            <w:tcW w:type="dxa" w:w="22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32,7 %</w:t>
            </w:r>
          </w:p>
        </w:tc>
        <w:tc>
          <w:tcPr>
            <w:tcW w:type="dxa" w:w="2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0,684</w:t>
            </w:r>
          </w:p>
        </w:tc>
        <w:tc>
          <w:tcPr>
            <w:tcW w:type="dxa" w:w="25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10,8 %</w:t>
            </w:r>
          </w:p>
        </w:tc>
      </w:tr>
      <w:tr>
        <w:trPr>
          <w:tblHeader w:val="false"/>
        </w:trPr>
        <w:tc>
          <w:tcPr>
            <w:tcW w:type="dxa" w:w="13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Masculino</w:t>
            </w:r>
          </w:p>
        </w:tc>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30,7 %</w:t>
            </w:r>
          </w:p>
        </w:tc>
        <w:tc>
          <w:tcPr>
            <w:tcW w:type="dxa" w:w="22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31,6 %</w:t>
            </w:r>
          </w:p>
        </w:tc>
        <w:tc>
          <w:tcPr>
            <w:tcW w:type="dxa" w:w="2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0,677</w:t>
            </w:r>
          </w:p>
        </w:tc>
        <w:tc>
          <w:tcPr>
            <w:tcW w:type="dxa" w:w="25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8,6 %</w:t>
            </w:r>
          </w:p>
        </w:tc>
      </w:tr>
      <w:tr>
        <w:trPr>
          <w:tblHeader w:val="false"/>
        </w:trPr>
        <w:tc>
          <w:tcPr>
            <w:tcW w:type="dxa" w:w="13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Especialistas</w:t>
            </w:r>
          </w:p>
        </w:tc>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23,7 %</w:t>
            </w:r>
          </w:p>
        </w:tc>
        <w:tc>
          <w:tcPr>
            <w:tcW w:type="dxa" w:w="22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29,8 %</w:t>
            </w:r>
          </w:p>
        </w:tc>
        <w:tc>
          <w:tcPr>
            <w:tcW w:type="dxa" w:w="2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0,639</w:t>
            </w:r>
          </w:p>
        </w:tc>
        <w:tc>
          <w:tcPr>
            <w:tcW w:type="dxa" w:w="25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7,3 %</w:t>
            </w:r>
          </w:p>
        </w:tc>
      </w:tr>
    </w:tbl>
    <w:p>
      <w:pPr>
        <w:spacing w:after="120"/>
      </w:pPr>
    </w:p>
    <w:p>
      <w:r>
        <w:rPr>
          <w:rFonts w:ascii="Times New Roman" w:cs="Times New Roman" w:eastAsia="Times New Roman" w:hAnsi="Times New Roman"/>
          <w:b/>
          <w:bCs/>
        </w:rPr>
        <w:t xml:space="preserve">Resultados:</w:t>
      </w:r>
    </w:p>
    <w:p>
      <w:pPr>
        <w:pStyle w:val="ListParagraph"/>
        <w:numPr>
          <w:ilvl w:val="0"/>
          <w:numId w:val="2"/>
        </w:numPr>
      </w:pPr>
      <w:r>
        <w:rPr>
          <w:rFonts w:ascii="Times New Roman" w:cs="Times New Roman" w:eastAsia="Times New Roman" w:hAnsi="Times New Roman"/>
        </w:rPr>
        <w:t xml:space="preserve">Entre regímenes, sexos y sedes, la AUC (~0,68) y la calibración (brecha ≤ 2,3 pp) son similares.</w:t>
      </w:r>
    </w:p>
    <w:p>
      <w:pPr>
        <w:pStyle w:val="ListParagraph"/>
        <w:numPr>
          <w:ilvl w:val="0"/>
          <w:numId w:val="2"/>
        </w:numPr>
      </w:pPr>
      <w:r>
        <w:rPr>
          <w:rFonts w:ascii="Times New Roman" w:cs="Times New Roman" w:eastAsia="Times New Roman" w:hAnsi="Times New Roman"/>
        </w:rPr>
        <w:t xml:space="preserve">Por curso de vida, la AUC dentro de cada grupo es menor (0,62–0,66), pero la brecha de calibración es ≤ 3,2 pp.</w:t>
      </w:r>
    </w:p>
    <w:p>
      <w:pPr>
        <w:pStyle w:val="ListParagraph"/>
        <w:numPr>
          <w:ilvl w:val="0"/>
          <w:numId w:val="2"/>
        </w:numPr>
      </w:pPr>
      <w:r>
        <w:rPr>
          <w:rFonts w:ascii="Times New Roman" w:cs="Times New Roman" w:eastAsia="Times New Roman" w:hAnsi="Times New Roman"/>
        </w:rPr>
        <w:t xml:space="preserve">El único grupo con brecha relevante es </w:t>
      </w:r>
      <w:r>
        <w:rPr>
          <w:rFonts w:ascii="Times New Roman" w:cs="Times New Roman" w:eastAsia="Times New Roman" w:hAnsi="Times New Roman"/>
          <w:b/>
          <w:bCs/>
        </w:rPr>
        <w:t xml:space="preserve">Especialistas (+6,0 pp)</w:t>
      </w:r>
      <w:r>
        <w:rPr>
          <w:rFonts w:ascii="Times New Roman" w:cs="Times New Roman" w:eastAsia="Times New Roman" w:hAnsi="Times New Roman"/>
        </w:rPr>
        <w:t xml:space="preserve">.</w:t>
      </w:r>
    </w:p>
    <w:p>
      <w:r>
        <w:rPr>
          <w:rFonts w:ascii="Times New Roman" w:cs="Times New Roman" w:eastAsia="Times New Roman" w:hAnsi="Times New Roman"/>
          <w:b/>
          <w:bCs/>
        </w:rPr>
        <w:t xml:space="preserve">Interpretación.</w:t>
      </w:r>
      <w:r>
        <w:rPr>
          <w:rFonts w:ascii="Times New Roman" w:cs="Times New Roman" w:eastAsia="Times New Roman" w:hAnsi="Times New Roman"/>
        </w:rPr>
        <w:t xml:space="preserve"> El subsidiado recibe proporcionalmente más marcas porque su inasistencia real es mayor, no por un sesgo de calibración. La sobreestimación en especialistas coincide con la tendencia a la baja de algunas especialidades (dermatología). Si la intervención reduce o amplía la brecha de asistencia entre regímenes (meta SMART) no se puede saber sin un piloto: [Información no disponible en los datos proporcionados].</w:t>
      </w:r>
    </w:p>
    <w:p>
      <w:pPr>
        <w:pStyle w:val="Heading1"/>
      </w:pPr>
      <w:r>
        <w:rPr>
          <w:rFonts w:ascii="Times New Roman" w:cs="Times New Roman" w:eastAsia="Times New Roman" w:hAnsi="Times New Roman"/>
        </w:rPr>
        <w:t xml:space="preserve">5.7 Variables más influyentes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7"/>
        <w:gridCol w:w="2743"/>
        <w:gridCol w:w="5760"/>
      </w:tblGrid>
      <w:tr>
        <w:trPr>
          <w:tblHeader/>
        </w:trPr>
        <w:tc>
          <w:tcPr>
            <w:tcW w:type="dxa" w:w="85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w:t>
            </w:r>
          </w:p>
        </w:tc>
        <w:tc>
          <w:tcPr>
            <w:tcW w:type="dxa" w:w="2743"/>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Variable</w:t>
            </w:r>
          </w:p>
        </w:tc>
        <w:tc>
          <w:tcPr>
            <w:tcW w:type="dxa" w:w="57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Interpretación</w:t>
            </w:r>
          </w:p>
        </w:tc>
      </w:tr>
      <w:tr>
        <w:trPr>
          <w:tblHeader w:val="false"/>
        </w:trPr>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w:t>
            </w:r>
          </w:p>
        </w:tc>
        <w:tc>
          <w:tcPr>
            <w:tcW w:type="dxa" w:w="27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Programa RCV</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Los pacientes de programas crónicos faltan menos</w:t>
            </w:r>
          </w:p>
        </w:tc>
      </w:tr>
      <w:tr>
        <w:trPr>
          <w:tblHeader w:val="false"/>
        </w:trPr>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w:t>
            </w:r>
          </w:p>
        </w:tc>
        <w:tc>
          <w:tcPr>
            <w:tcW w:type="dxa" w:w="27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Edad</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Los jóvenes (12–28) faltan más; los adultos mayores, menos</w:t>
            </w:r>
          </w:p>
        </w:tc>
      </w:tr>
      <w:tr>
        <w:trPr>
          <w:tblHeader w:val="false"/>
        </w:trPr>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w:t>
            </w:r>
          </w:p>
        </w:tc>
        <w:tc>
          <w:tcPr>
            <w:tcW w:type="dxa" w:w="27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Servicio homologado</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Salud mental y nutrición tienen más inasistencia; crónicos y medicina general, menos</w:t>
            </w:r>
          </w:p>
        </w:tc>
      </w:tr>
      <w:tr>
        <w:trPr>
          <w:tblHeader w:val="false"/>
        </w:trPr>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w:t>
            </w:r>
          </w:p>
        </w:tc>
        <w:tc>
          <w:tcPr>
            <w:tcW w:type="dxa" w:w="27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Tasa histórica suavizada</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Quien ha faltado antes tiende a volver a faltar</w:t>
            </w:r>
          </w:p>
        </w:tc>
      </w:tr>
      <w:tr>
        <w:trPr>
          <w:tblHeader w:val="false"/>
        </w:trPr>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w:t>
            </w:r>
          </w:p>
        </w:tc>
        <w:tc>
          <w:tcPr>
            <w:tcW w:type="dxa" w:w="27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Familia de servicio × lead time</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El efecto del tiempo de espera depende del servicio</w:t>
            </w:r>
          </w:p>
        </w:tc>
      </w:tr>
      <w:tr>
        <w:trPr>
          <w:tblHeader w:val="false"/>
        </w:trPr>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w:t>
            </w:r>
          </w:p>
        </w:tc>
        <w:tc>
          <w:tcPr>
            <w:tcW w:type="dxa" w:w="27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Días desde la última cita en el servicio</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Los pacientes frecuentes en el servicio son más cumplidos</w:t>
            </w:r>
          </w:p>
        </w:tc>
      </w:tr>
      <w:tr>
        <w:trPr>
          <w:tblHeader w:val="false"/>
        </w:trPr>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w:t>
            </w:r>
          </w:p>
        </w:tc>
        <w:tc>
          <w:tcPr>
            <w:tcW w:type="dxa" w:w="27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Lead time</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Más días entre la asignación y la cita, más riesgo</w:t>
            </w:r>
          </w:p>
        </w:tc>
      </w:tr>
      <w:tr>
        <w:trPr>
          <w:tblHeader w:val="false"/>
        </w:trPr>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8</w:t>
            </w:r>
          </w:p>
        </w:tc>
        <w:tc>
          <w:tcPr>
            <w:tcW w:type="dxa" w:w="27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Otras citas el mismo día</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Quien tiene varias citas el mismo día suele asistir</w:t>
            </w:r>
          </w:p>
        </w:tc>
      </w:tr>
      <w:tr>
        <w:trPr>
          <w:tblHeader w:val="false"/>
        </w:trPr>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9</w:t>
            </w:r>
          </w:p>
        </w:tc>
        <w:tc>
          <w:tcPr>
            <w:tcW w:type="dxa" w:w="27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Estado de la última cita en el servicio</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Faltar a la última cita del servicio eleva el riesgo</w:t>
            </w:r>
          </w:p>
        </w:tc>
      </w:tr>
      <w:tr>
        <w:trPr>
          <w:tblHeader w:val="false"/>
        </w:trPr>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w:t>
            </w:r>
          </w:p>
        </w:tc>
        <w:tc>
          <w:tcPr>
            <w:tcW w:type="dxa" w:w="27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Citas en los 7 días siguientes</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Otras citas próximas (tratamiento activo)</w:t>
            </w:r>
          </w:p>
        </w:tc>
      </w:tr>
    </w:tbl>
    <w:p>
      <w:pPr>
        <w:spacing w:after="120"/>
      </w:pPr>
    </w:p>
    <w:p>
      <w:pPr>
        <w:spacing w:after="200" w:before="0" w:line="260"/>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Importancia por permutación sobre la validación (junio). La interpretación de la dirección del efecto se apoya en el EDA (5.2) y en los coeficientes de la regresión logística (Figura 7).</w:t>
      </w:r>
    </w:p>
    <w:p>
      <w:pPr>
        <w:spacing w:after="60" w:before="12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6. Importancia por permutación</w:t>
      </w:r>
    </w:p>
    <w:p>
      <w:pPr>
        <w:spacing w:after="60" w:before="12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955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7. Regresión logística: factores que más aumentan y reducen el riesgo (odds ratio)</w:t>
      </w:r>
    </w:p>
    <w:p>
      <w:r>
        <w:rPr>
          <w:rFonts w:ascii="Times New Roman" w:cs="Times New Roman" w:eastAsia="Times New Roman" w:hAnsi="Times New Roman"/>
          <w:b/>
          <w:bCs/>
        </w:rPr>
        <w:t xml:space="preserve">Análisis de errores (resultado).</w:t>
      </w:r>
    </w:p>
    <w:p>
      <w:pPr>
        <w:pStyle w:val="ListParagraph"/>
        <w:numPr>
          <w:ilvl w:val="0"/>
          <w:numId w:val="2"/>
        </w:numPr>
      </w:pPr>
      <w:r>
        <w:rPr>
          <w:rFonts w:ascii="Times New Roman" w:cs="Times New Roman" w:eastAsia="Times New Roman" w:hAnsi="Times New Roman"/>
          <w:b/>
          <w:bCs/>
        </w:rPr>
        <w:t xml:space="preserve">Falsos negativos:</w:t>
      </w:r>
      <w:r>
        <w:rPr>
          <w:rFonts w:ascii="Times New Roman" w:cs="Times New Roman" w:eastAsia="Times New Roman" w:hAnsi="Times New Roman"/>
        </w:rPr>
        <w:t xml:space="preserve"> el 53 % de las inasistencias quedó fuera del top 30 %. Son pacientes algo mayores (54 vs. 50 años en promedio) y con mejor historial (tasa de 0,28 vs. 0,31). Son las inasistencias ocasionales, difíciles de anticipar.</w:t>
      </w:r>
    </w:p>
    <w:p>
      <w:pPr>
        <w:pStyle w:val="ListParagraph"/>
        <w:numPr>
          <w:ilvl w:val="0"/>
          <w:numId w:val="2"/>
        </w:numPr>
      </w:pPr>
      <w:r>
        <w:rPr>
          <w:rFonts w:ascii="Times New Roman" w:cs="Times New Roman" w:eastAsia="Times New Roman" w:hAnsi="Times New Roman"/>
          <w:b/>
          <w:bCs/>
        </w:rPr>
        <w:t xml:space="preserve">Falsos positivos del top 10 %:</w:t>
      </w:r>
      <w:r>
        <w:rPr>
          <w:rFonts w:ascii="Times New Roman" w:cs="Times New Roman" w:eastAsia="Times New Roman" w:hAnsi="Times New Roman"/>
        </w:rPr>
        <w:t xml:space="preserve"> son más jóvenes (31 años) y con un historial de inasistencia alto (0,48).</w:t>
      </w:r>
    </w:p>
    <w:p>
      <w:pPr>
        <w:pStyle w:val="ListParagraph"/>
        <w:numPr>
          <w:ilvl w:val="0"/>
          <w:numId w:val="2"/>
        </w:numPr>
      </w:pPr>
      <w:r>
        <w:rPr>
          <w:rFonts w:ascii="Times New Roman" w:cs="Times New Roman" w:eastAsia="Times New Roman" w:hAnsi="Times New Roman"/>
          <w:b/>
          <w:bCs/>
        </w:rPr>
        <w:t xml:space="preserve">Sin historial:</w:t>
      </w:r>
      <w:r>
        <w:rPr>
          <w:rFonts w:ascii="Times New Roman" w:cs="Times New Roman" w:eastAsia="Times New Roman" w:hAnsi="Times New Roman"/>
        </w:rPr>
        <w:t xml:space="preserve"> el desempeño es menor (AUC 0,643 vs. 0,682).</w:t>
      </w:r>
    </w:p>
    <w:p>
      <w:pPr>
        <w:pStyle w:val="Heading1"/>
      </w:pPr>
      <w:r>
        <w:rPr>
          <w:rFonts w:ascii="Times New Roman" w:cs="Times New Roman" w:eastAsia="Times New Roman" w:hAnsi="Times New Roman"/>
        </w:rPr>
        <w:t xml:space="preserve">5.8 Comportamiento fuera del periodo de desarrollo (producción simulada)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74"/>
        <w:gridCol w:w="896"/>
        <w:gridCol w:w="1310"/>
        <w:gridCol w:w="1892"/>
        <w:gridCol w:w="896"/>
        <w:gridCol w:w="1892"/>
      </w:tblGrid>
      <w:tr>
        <w:trPr>
          <w:tblHeader/>
        </w:trPr>
        <w:tc>
          <w:tcPr>
            <w:tcW w:type="dxa" w:w="2474"/>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Mes</w:t>
            </w:r>
          </w:p>
        </w:tc>
        <w:tc>
          <w:tcPr>
            <w:tcW w:type="dxa" w:w="89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Citas</w:t>
            </w:r>
          </w:p>
        </w:tc>
        <w:tc>
          <w:tcPr>
            <w:tcW w:type="dxa" w:w="131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Tasa real</w:t>
            </w:r>
          </w:p>
        </w:tc>
        <w:tc>
          <w:tcPr>
            <w:tcW w:type="dxa" w:w="1892"/>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Tasa predicha</w:t>
            </w:r>
          </w:p>
        </w:tc>
        <w:tc>
          <w:tcPr>
            <w:tcW w:type="dxa" w:w="89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AUC</w:t>
            </w:r>
          </w:p>
        </w:tc>
        <w:tc>
          <w:tcPr>
            <w:tcW w:type="dxa" w:w="1892"/>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Precisión@10%</w:t>
            </w:r>
          </w:p>
        </w:tc>
      </w:tr>
      <w:tr>
        <w:trPr>
          <w:tblHeader w:val="false"/>
        </w:trPr>
        <w:tc>
          <w:tcPr>
            <w:tcW w:type="dxa" w:w="24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Julio (test)</w:t>
            </w:r>
          </w:p>
        </w:tc>
        <w:tc>
          <w:tcPr>
            <w:tcW w:type="dxa" w:w="8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41.148</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31,2 %</w:t>
            </w:r>
          </w:p>
        </w:tc>
        <w:tc>
          <w:tcPr>
            <w:tcW w:type="dxa" w:w="1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32,3 %</w:t>
            </w:r>
          </w:p>
        </w:tc>
        <w:tc>
          <w:tcPr>
            <w:tcW w:type="dxa" w:w="8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0,682</w:t>
            </w:r>
          </w:p>
        </w:tc>
        <w:tc>
          <w:tcPr>
            <w:tcW w:type="dxa" w:w="1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57,5 %</w:t>
            </w:r>
          </w:p>
        </w:tc>
      </w:tr>
      <w:tr>
        <w:trPr>
          <w:tblHeader w:val="false"/>
        </w:trPr>
        <w:tc>
          <w:tcPr>
            <w:tcW w:type="dxa" w:w="24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Agosto</w:t>
            </w:r>
          </w:p>
        </w:tc>
        <w:tc>
          <w:tcPr>
            <w:tcW w:type="dxa" w:w="8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30.350</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31,6 %</w:t>
            </w:r>
          </w:p>
        </w:tc>
        <w:tc>
          <w:tcPr>
            <w:tcW w:type="dxa" w:w="1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30,6 %</w:t>
            </w:r>
          </w:p>
        </w:tc>
        <w:tc>
          <w:tcPr>
            <w:tcW w:type="dxa" w:w="8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0,692</w:t>
            </w:r>
          </w:p>
        </w:tc>
        <w:tc>
          <w:tcPr>
            <w:tcW w:type="dxa" w:w="1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60,9 %</w:t>
            </w:r>
          </w:p>
        </w:tc>
      </w:tr>
      <w:tr>
        <w:trPr>
          <w:tblHeader w:val="false"/>
        </w:trPr>
        <w:tc>
          <w:tcPr>
            <w:tcW w:type="dxa" w:w="24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Septiembre (1–11)</w:t>
            </w:r>
          </w:p>
        </w:tc>
        <w:tc>
          <w:tcPr>
            <w:tcW w:type="dxa" w:w="8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15.756</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28,8 %</w:t>
            </w:r>
          </w:p>
        </w:tc>
        <w:tc>
          <w:tcPr>
            <w:tcW w:type="dxa" w:w="1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29,6 %</w:t>
            </w:r>
          </w:p>
        </w:tc>
        <w:tc>
          <w:tcPr>
            <w:tcW w:type="dxa" w:w="8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0,694</w:t>
            </w:r>
          </w:p>
        </w:tc>
        <w:tc>
          <w:tcPr>
            <w:tcW w:type="dxa" w:w="1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57,5 %</w:t>
            </w:r>
          </w:p>
        </w:tc>
      </w:tr>
    </w:tbl>
    <w:p>
      <w:pPr>
        <w:spacing w:after="120"/>
      </w:pPr>
    </w:p>
    <w:p>
      <w:r>
        <w:rPr>
          <w:rFonts w:ascii="Times New Roman" w:cs="Times New Roman" w:eastAsia="Times New Roman" w:hAnsi="Times New Roman"/>
          <w:b/>
          <w:bCs/>
        </w:rPr>
        <w:t xml:space="preserve">Resultados:</w:t>
      </w:r>
    </w:p>
    <w:p>
      <w:pPr>
        <w:pStyle w:val="ListParagraph"/>
        <w:numPr>
          <w:ilvl w:val="0"/>
          <w:numId w:val="2"/>
        </w:numPr>
      </w:pPr>
      <w:r>
        <w:rPr>
          <w:rFonts w:ascii="Times New Roman" w:cs="Times New Roman" w:eastAsia="Times New Roman" w:hAnsi="Times New Roman"/>
          <w:b/>
          <w:bCs/>
        </w:rPr>
        <w:t xml:space="preserve">Producción simulada:</w:t>
      </w:r>
      <w:r>
        <w:rPr>
          <w:rFonts w:ascii="Times New Roman" w:cs="Times New Roman" w:eastAsia="Times New Roman" w:hAnsi="Times New Roman"/>
        </w:rPr>
        <w:t xml:space="preserve"> el modelo de producción (entrenado hasta julio) mantuvo la AUC y la calibración en agosto y septiembre, dentro de los umbrales de alerta definidos.</w:t>
      </w:r>
    </w:p>
    <w:p>
      <w:pPr>
        <w:pStyle w:val="ListParagraph"/>
        <w:numPr>
          <w:ilvl w:val="0"/>
          <w:numId w:val="2"/>
        </w:numPr>
      </w:pPr>
      <w:r>
        <w:rPr>
          <w:rFonts w:ascii="Times New Roman" w:cs="Times New Roman" w:eastAsia="Times New Roman" w:hAnsi="Times New Roman"/>
          <w:b/>
          <w:bCs/>
        </w:rPr>
        <w:t xml:space="preserve">Día de ejemplo (27-ago-2026):</w:t>
      </w:r>
      <w:r>
        <w:rPr>
          <w:rFonts w:ascii="Times New Roman" w:cs="Times New Roman" w:eastAsia="Times New Roman" w:hAnsi="Times New Roman"/>
        </w:rPr>
        <w:t xml:space="preserve"> 1.834 citas evaluadas. La inasistencia real fue de 70,5 % en riesgo Alto (183 citas), 43,3 % en Medio (367) y 27,6 % en Bajo (1.284).</w:t>
      </w:r>
    </w:p>
    <w:p>
      <w:pPr>
        <w:pStyle w:val="ListParagraph"/>
        <w:numPr>
          <w:ilvl w:val="0"/>
          <w:numId w:val="2"/>
        </w:numPr>
      </w:pPr>
      <w:r>
        <w:rPr>
          <w:rFonts w:ascii="Times New Roman" w:cs="Times New Roman" w:eastAsia="Times New Roman" w:hAnsi="Times New Roman"/>
          <w:b/>
          <w:bCs/>
        </w:rPr>
        <w:t xml:space="preserve">Consistencia entre entrenamiento y producción:</w:t>
      </w:r>
      <w:r>
        <w:rPr>
          <w:rFonts w:ascii="Times New Roman" w:cs="Times New Roman" w:eastAsia="Times New Roman" w:hAnsi="Times New Roman"/>
        </w:rPr>
        <w:t xml:space="preserve"> las variables calculadas por la herramienta diaria coincidieron con las de entrenamiento en 99,5–100 % de los casos, con una correlación de 0,9999 en las probabilidades.</w:t>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86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8. Tasa real vs. predicha por semana en producción simulada</w:t>
      </w:r>
    </w:p>
    <w:p>
      <w:pPr>
        <w:pStyle w:val="Heading1"/>
      </w:pPr>
      <w:r>
        <w:rPr>
          <w:rFonts w:ascii="Times New Roman" w:cs="Times New Roman" w:eastAsia="Times New Roman" w:hAnsi="Times New Roman"/>
        </w:rPr>
        <w:t xml:space="preserve">5.9 Costo-efectividad de la llamada del día siguiente</w:t>
      </w:r>
    </w:p>
    <w:p>
      <w:r>
        <w:rPr>
          <w:rFonts w:ascii="Times New Roman" w:cs="Times New Roman" w:eastAsia="Times New Roman" w:hAnsi="Times New Roman"/>
          <w:b/>
          <w:bCs/>
        </w:rPr>
        <w:t xml:space="preserve">Por qué este análisis.</w:t>
      </w:r>
      <w:r>
        <w:rPr>
          <w:rFonts w:ascii="Times New Roman" w:cs="Times New Roman" w:eastAsia="Times New Roman" w:hAnsi="Times New Roman"/>
        </w:rPr>
        <w:t xml:space="preserve"> El modelo ordena las citas por riesgo, pero la decisión de la IPS es financiera: </w:t>
      </w:r>
      <w:r>
        <w:rPr>
          <w:rFonts w:ascii="Times New Roman" w:cs="Times New Roman" w:eastAsia="Times New Roman" w:hAnsi="Times New Roman"/>
          <w:i/>
          <w:iCs/>
        </w:rPr>
        <w:t xml:space="preserve">¿cada llamada recupera más de lo que cuesta?</w:t>
      </w:r>
      <w:r>
        <w:rPr>
          <w:rFonts w:ascii="Times New Roman" w:cs="Times New Roman" w:eastAsia="Times New Roman" w:hAnsi="Times New Roman"/>
        </w:rPr>
        <w:t xml:space="preserve"> El documento del problema pedía priorizar "según la pérdida esperada". El notebook 07 traduce las probabilidades del modelo a dinero, con una regla simple:</w:t>
      </w:r>
    </w:p>
    <w:p>
      <w:pPr>
        <w:pStyle w:val="ListParagraph"/>
        <w:numPr>
          <w:ilvl w:val="0"/>
          <w:numId w:val="2"/>
        </w:numPr>
      </w:pPr>
      <w:r>
        <w:rPr>
          <w:rFonts w:ascii="Times New Roman" w:cs="Times New Roman" w:eastAsia="Times New Roman" w:hAnsi="Times New Roman"/>
          <w:b/>
          <w:bCs/>
        </w:rPr>
        <w:t xml:space="preserve">Beneficio esperado de llamar</w:t>
      </w:r>
      <w:r>
        <w:rPr>
          <w:rFonts w:ascii="Times New Roman" w:cs="Times New Roman" w:eastAsia="Times New Roman" w:hAnsi="Times New Roman"/>
        </w:rPr>
        <w:t xml:space="preserve"> = probabilidad de inasistencia × efectividad de la llamada × valor del cupo − costo de la llamada.</w:t>
      </w:r>
    </w:p>
    <w:p>
      <w:pPr>
        <w:pStyle w:val="ListParagraph"/>
        <w:numPr>
          <w:ilvl w:val="0"/>
          <w:numId w:val="2"/>
        </w:numPr>
      </w:pPr>
      <w:r>
        <w:rPr>
          <w:rFonts w:ascii="Times New Roman" w:cs="Times New Roman" w:eastAsia="Times New Roman" w:hAnsi="Times New Roman"/>
        </w:rPr>
        <w:t xml:space="preserve">Una llamada es rentable cuando la </w:t>
      </w:r>
      <w:r>
        <w:rPr>
          <w:rFonts w:ascii="Times New Roman" w:cs="Times New Roman" w:eastAsia="Times New Roman" w:hAnsi="Times New Roman"/>
          <w:b/>
          <w:bCs/>
        </w:rPr>
        <w:t xml:space="preserve">precisión</w:t>
      </w:r>
      <w:r>
        <w:rPr>
          <w:rFonts w:ascii="Times New Roman" w:cs="Times New Roman" w:eastAsia="Times New Roman" w:hAnsi="Times New Roman"/>
        </w:rPr>
        <w:t xml:space="preserve"> (fracción de llamados que realmente iban a faltar) supera la </w:t>
      </w:r>
      <w:r>
        <w:rPr>
          <w:rFonts w:ascii="Times New Roman" w:cs="Times New Roman" w:eastAsia="Times New Roman" w:hAnsi="Times New Roman"/>
          <w:b/>
          <w:bCs/>
        </w:rPr>
        <w:t xml:space="preserve">precisión de equilibrio</w:t>
      </w:r>
      <w:r>
        <w:rPr>
          <w:rFonts w:ascii="Times New Roman" w:cs="Times New Roman" w:eastAsia="Times New Roman" w:hAnsi="Times New Roman"/>
        </w:rPr>
        <w:t xml:space="preserve"> = costo de la llamada / (efectividad × valor del cupo).</w:t>
      </w:r>
    </w:p>
    <w:p>
      <w:r>
        <w:rPr>
          <w:rFonts w:ascii="Times New Roman" w:cs="Times New Roman" w:eastAsia="Times New Roman" w:hAnsi="Times New Roman"/>
          <w:b/>
          <w:bCs/>
        </w:rPr>
        <w:t xml:space="preserve">Parámetros (supuestos editables):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5"/>
        <w:gridCol w:w="4009"/>
        <w:gridCol w:w="4466"/>
      </w:tblGrid>
      <w:tr>
        <w:trPr>
          <w:tblHeader/>
        </w:trPr>
        <w:tc>
          <w:tcPr>
            <w:tcW w:type="dxa" w:w="88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Parámetro</w:t>
            </w:r>
          </w:p>
        </w:tc>
        <w:tc>
          <w:tcPr>
            <w:tcW w:type="dxa" w:w="400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Valor</w:t>
            </w:r>
          </w:p>
        </w:tc>
        <w:tc>
          <w:tcPr>
            <w:tcW w:type="dxa" w:w="446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Origen</w:t>
            </w:r>
          </w:p>
        </w:tc>
      </w:tr>
      <w:tr>
        <w:trPr>
          <w:tblHeader w:val="false"/>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Valor del cupo por servicio</w:t>
            </w:r>
          </w:p>
        </w:tc>
        <w:tc>
          <w:tcPr>
            <w:tcW w:type="dxa" w:w="40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$5.000 (enfermería / PyP) a $60.000 (dolor y cuidados paliativos). Medicina general y crónicos: $14.500; odontología, psicología y nutrición: $12.500</w:t>
            </w:r>
          </w:p>
        </w:tc>
        <w:tc>
          <w:tcPr>
            <w:tcW w:type="dxa" w:w="44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Registrado por el equipo del proyecto en </w:t>
            </w:r>
            <w:r>
              <w:rPr>
                <w:rFonts w:ascii="Consolas" w:cs="Consolas" w:eastAsia="Consolas" w:hAnsi="Consolas"/>
                <w:sz w:val="19"/>
                <w:szCs w:val="19"/>
              </w:rPr>
              <w:t xml:space="preserve">costos_por_servicio.xlsx</w:t>
            </w:r>
            <w:r>
              <w:rPr>
                <w:rFonts w:ascii="Times New Roman" w:cs="Times New Roman" w:eastAsia="Times New Roman" w:hAnsi="Times New Roman"/>
                <w:sz w:val="19"/>
                <w:szCs w:val="19"/>
              </w:rPr>
              <w:t xml:space="preserve"> (45 servicios). Tipo de contrato asociado: [Información no disponible en los datos proporcionados]</w:t>
            </w:r>
          </w:p>
        </w:tc>
      </w:tr>
      <w:tr>
        <w:trPr>
          <w:tblHeader w:val="false"/>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Costo por llamada</w:t>
            </w:r>
          </w:p>
        </w:tc>
        <w:tc>
          <w:tcPr>
            <w:tcW w:type="dxa" w:w="40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$2.500</w:t>
            </w:r>
          </w:p>
        </w:tc>
        <w:tc>
          <w:tcPr>
            <w:tcW w:type="dxa" w:w="44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Supuesto (</w:t>
            </w:r>
            <w:r>
              <w:rPr>
                <w:rFonts w:ascii="Consolas" w:cs="Consolas" w:eastAsia="Consolas" w:hAnsi="Consolas"/>
                <w:sz w:val="19"/>
                <w:szCs w:val="19"/>
              </w:rPr>
              <w:t xml:space="preserve">config_negocio.json</w:t>
            </w:r>
            <w:r>
              <w:rPr>
                <w:rFonts w:ascii="Times New Roman" w:cs="Times New Roman" w:eastAsia="Times New Roman" w:hAnsi="Times New Roman"/>
                <w:sz w:val="19"/>
                <w:szCs w:val="19"/>
              </w:rPr>
              <w:t xml:space="preserve">)</w:t>
            </w:r>
          </w:p>
        </w:tc>
      </w:tr>
      <w:tr>
        <w:trPr>
          <w:tblHeader w:val="false"/>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Efectividad de la llamada</w:t>
            </w:r>
          </w:p>
        </w:tc>
        <w:tc>
          <w:tcPr>
            <w:tcW w:type="dxa" w:w="40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25 % de las inasistencias evitadas</w:t>
            </w:r>
          </w:p>
        </w:tc>
        <w:tc>
          <w:tcPr>
            <w:tcW w:type="dxa" w:w="44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Supuesto no medido</w:t>
            </w:r>
          </w:p>
        </w:tc>
      </w:tr>
      <w:tr>
        <w:trPr>
          <w:tblHeader w:val="false"/>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Capacidad</w:t>
            </w:r>
          </w:p>
        </w:tc>
        <w:tc>
          <w:tcPr>
            <w:tcW w:type="dxa" w:w="40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10 % (principal) y 30 % (ampliada) de las citas del día</w:t>
            </w:r>
          </w:p>
        </w:tc>
        <w:tc>
          <w:tcPr>
            <w:tcW w:type="dxa" w:w="44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Supuesto</w:t>
            </w:r>
          </w:p>
        </w:tc>
      </w:tr>
    </w:tbl>
    <w:p>
      <w:pPr>
        <w:spacing w:after="120"/>
      </w:pPr>
    </w:p>
    <w:p>
      <w:r>
        <w:rPr>
          <w:rFonts w:ascii="Times New Roman" w:cs="Times New Roman" w:eastAsia="Times New Roman" w:hAnsi="Times New Roman"/>
          <w:b/>
          <w:bCs/>
        </w:rPr>
        <w:t xml:space="preserve">Método (resultado).</w:t>
      </w:r>
      <w:r>
        <w:rPr>
          <w:rFonts w:ascii="Times New Roman" w:cs="Times New Roman" w:eastAsia="Times New Roman" w:hAnsi="Times New Roman"/>
        </w:rPr>
        <w:t xml:space="preserve"> Se simuló la operación en agosto–septiembre de 2026 (32 días, 46.106 citas) con el modelo de producción, que nunca vio ese periodo, y con lo que realmente ocurrió en cada cita. Se compararon tres formas de escoger a quién llamar:</w:t>
      </w:r>
    </w:p>
    <w:p>
      <w:pPr>
        <w:pStyle w:val="ListParagraph"/>
        <w:numPr>
          <w:ilvl w:val="0"/>
          <w:numId w:val="4"/>
        </w:numPr>
      </w:pPr>
      <w:r>
        <w:rPr>
          <w:rFonts w:ascii="Times New Roman" w:cs="Times New Roman" w:eastAsia="Times New Roman" w:hAnsi="Times New Roman"/>
          <w:b/>
          <w:bCs/>
        </w:rPr>
        <w:t xml:space="preserve">Al azar:</w:t>
      </w:r>
      <w:r>
        <w:rPr>
          <w:rFonts w:ascii="Times New Roman" w:cs="Times New Roman" w:eastAsia="Times New Roman" w:hAnsi="Times New Roman"/>
        </w:rPr>
        <w:t xml:space="preserve"> lo que se lograría sin modelo.</w:t>
      </w:r>
    </w:p>
    <w:p>
      <w:pPr>
        <w:pStyle w:val="ListParagraph"/>
        <w:numPr>
          <w:ilvl w:val="0"/>
          <w:numId w:val="4"/>
        </w:numPr>
      </w:pPr>
      <w:r>
        <w:rPr>
          <w:rFonts w:ascii="Times New Roman" w:cs="Times New Roman" w:eastAsia="Times New Roman" w:hAnsi="Times New Roman"/>
          <w:b/>
          <w:bCs/>
        </w:rPr>
        <w:t xml:space="preserve">Por riesgo:</w:t>
      </w:r>
      <w:r>
        <w:rPr>
          <w:rFonts w:ascii="Times New Roman" w:cs="Times New Roman" w:eastAsia="Times New Roman" w:hAnsi="Times New Roman"/>
        </w:rPr>
        <w:t xml:space="preserve"> mayor probabilidad de inasistencia; es la lista actual de la herramienta.</w:t>
      </w:r>
    </w:p>
    <w:p>
      <w:pPr>
        <w:pStyle w:val="ListParagraph"/>
        <w:numPr>
          <w:ilvl w:val="0"/>
          <w:numId w:val="4"/>
        </w:numPr>
      </w:pPr>
      <w:r>
        <w:rPr>
          <w:rFonts w:ascii="Times New Roman" w:cs="Times New Roman" w:eastAsia="Times New Roman" w:hAnsi="Times New Roman"/>
          <w:b/>
          <w:bCs/>
        </w:rPr>
        <w:t xml:space="preserve">Por impacto financiero:</w:t>
      </w:r>
      <w:r>
        <w:rPr>
          <w:rFonts w:ascii="Times New Roman" w:cs="Times New Roman" w:eastAsia="Times New Roman" w:hAnsi="Times New Roman"/>
        </w:rPr>
        <w:t xml:space="preserve"> mayor probabilidad × efectividad × valor del cupo.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64"/>
        <w:gridCol w:w="800"/>
        <w:gridCol w:w="800"/>
        <w:gridCol w:w="1048"/>
        <w:gridCol w:w="986"/>
        <w:gridCol w:w="800"/>
        <w:gridCol w:w="863"/>
        <w:gridCol w:w="799"/>
      </w:tblGrid>
      <w:tr>
        <w:trPr>
          <w:tblHeader/>
        </w:trPr>
        <w:tc>
          <w:tcPr>
            <w:tcW w:type="dxa" w:w="8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Capacidad</w:t>
            </w:r>
          </w:p>
        </w:tc>
        <w:tc>
          <w:tcPr>
            <w:tcW w:type="dxa" w:w="2464"/>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Estrategia</w:t>
            </w:r>
          </w:p>
        </w:tc>
        <w:tc>
          <w:tcPr>
            <w:tcW w:type="dxa" w:w="8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Llamadas/día</w:t>
            </w:r>
          </w:p>
        </w:tc>
        <w:tc>
          <w:tcPr>
            <w:tcW w:type="dxa" w:w="8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Precisión</w:t>
            </w:r>
          </w:p>
        </w:tc>
        <w:tc>
          <w:tcPr>
            <w:tcW w:type="dxa" w:w="104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Cupos recuperados</w:t>
            </w:r>
          </w:p>
        </w:tc>
        <w:tc>
          <w:tcPr>
            <w:tcW w:type="dxa" w:w="98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Valor recuperado</w:t>
            </w:r>
          </w:p>
        </w:tc>
        <w:tc>
          <w:tcPr>
            <w:tcW w:type="dxa" w:w="8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Costo</w:t>
            </w:r>
          </w:p>
        </w:tc>
        <w:tc>
          <w:tcPr>
            <w:tcW w:type="dxa" w:w="863"/>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Beneficio neto</w:t>
            </w:r>
          </w:p>
        </w:tc>
        <w:tc>
          <w:tcPr>
            <w:tcW w:type="dxa" w:w="79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ROI</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10 %</w:t>
            </w:r>
          </w:p>
        </w:tc>
        <w:tc>
          <w:tcPr>
            <w:tcW w:type="dxa" w:w="24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Azar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144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29,6 %</w:t>
            </w:r>
          </w:p>
        </w:tc>
        <w:tc>
          <w:tcPr>
            <w:tcW w:type="dxa" w:w="10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341</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$5.406.550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$11.492.500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−$6.085.950</w:t>
            </w:r>
          </w:p>
        </w:tc>
        <w:tc>
          <w:tcPr>
            <w:tcW w:type="dxa" w:w="7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−0,53</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10 %</w:t>
            </w:r>
          </w:p>
        </w:tc>
        <w:tc>
          <w:tcPr>
            <w:tcW w:type="dxa" w:w="24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Por riesgo</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144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59,7 %</w:t>
            </w:r>
          </w:p>
        </w:tc>
        <w:tc>
          <w:tcPr>
            <w:tcW w:type="dxa" w:w="10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686</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$9.679.100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$11.492.500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−$1.813.400</w:t>
            </w:r>
          </w:p>
        </w:tc>
        <w:tc>
          <w:tcPr>
            <w:tcW w:type="dxa" w:w="7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−0,16</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10 %</w:t>
            </w:r>
          </w:p>
        </w:tc>
        <w:tc>
          <w:tcPr>
            <w:tcW w:type="dxa" w:w="24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Por impacto</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144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42,9 %</w:t>
            </w:r>
          </w:p>
        </w:tc>
        <w:tc>
          <w:tcPr>
            <w:tcW w:type="dxa" w:w="10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493</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$11.940.800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$11.492.500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+$448.300</w:t>
            </w:r>
          </w:p>
        </w:tc>
        <w:tc>
          <w:tcPr>
            <w:tcW w:type="dxa" w:w="7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0,04</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30 %</w:t>
            </w:r>
          </w:p>
        </w:tc>
        <w:tc>
          <w:tcPr>
            <w:tcW w:type="dxa" w:w="24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Azar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432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30,4 %</w:t>
            </w:r>
          </w:p>
        </w:tc>
        <w:tc>
          <w:tcPr>
            <w:tcW w:type="dxa" w:w="10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1.050</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$16.530.875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$34.545.000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−$18.014.125</w:t>
            </w:r>
          </w:p>
        </w:tc>
        <w:tc>
          <w:tcPr>
            <w:tcW w:type="dxa" w:w="7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−0,52</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30 %</w:t>
            </w:r>
          </w:p>
        </w:tc>
        <w:tc>
          <w:tcPr>
            <w:tcW w:type="dxa" w:w="24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Por riesgo</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432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48,3 %</w:t>
            </w:r>
          </w:p>
        </w:tc>
        <w:tc>
          <w:tcPr>
            <w:tcW w:type="dxa" w:w="10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1.668</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$23.897.375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$34.545.000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−$10.647.625</w:t>
            </w:r>
          </w:p>
        </w:tc>
        <w:tc>
          <w:tcPr>
            <w:tcW w:type="dxa" w:w="7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−0,31</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30 %</w:t>
            </w:r>
          </w:p>
        </w:tc>
        <w:tc>
          <w:tcPr>
            <w:tcW w:type="dxa" w:w="24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Por impacto</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432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41,4 %</w:t>
            </w:r>
          </w:p>
        </w:tc>
        <w:tc>
          <w:tcPr>
            <w:tcW w:type="dxa" w:w="10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1.430</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$27.120.175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$34.545.000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−$7.424.825</w:t>
            </w:r>
          </w:p>
        </w:tc>
        <w:tc>
          <w:tcPr>
            <w:tcW w:type="dxa" w:w="7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−0,21</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Sin límite</w:t>
            </w:r>
          </w:p>
        </w:tc>
        <w:tc>
          <w:tcPr>
            <w:tcW w:type="dxa" w:w="24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Solo llamadas con beneficio esperado &gt; 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76 (5 %)</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41,3 %</w:t>
            </w:r>
          </w:p>
        </w:tc>
        <w:tc>
          <w:tcPr>
            <w:tcW w:type="dxa" w:w="10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251</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$7.434.700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$6.075.000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+$1.359.700</w:t>
            </w:r>
          </w:p>
        </w:tc>
        <w:tc>
          <w:tcPr>
            <w:tcW w:type="dxa" w:w="7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0,22</w:t>
            </w:r>
          </w:p>
        </w:tc>
      </w:tr>
    </w:tbl>
    <w:p>
      <w:pPr>
        <w:spacing w:after="120"/>
      </w:pPr>
    </w:p>
    <w:p>
      <w:pPr>
        <w:spacing w:after="200" w:before="0" w:line="260"/>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Periodo de 32 días con citas. ROI = beneficio neto / costo. Fuente: notebook 07, secciones 4 y 5.</w:t>
      </w:r>
    </w:p>
    <w:p>
      <w:pPr>
        <w:spacing w:after="60" w:before="12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765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9. Beneficio neto según la capacidad de llamadas y la estrategia (producción simulada)</w:t>
      </w:r>
    </w:p>
    <w:p>
      <w:r>
        <w:rPr>
          <w:rFonts w:ascii="Times New Roman" w:cs="Times New Roman" w:eastAsia="Times New Roman" w:hAnsi="Times New Roman"/>
          <w:b/>
          <w:bCs/>
        </w:rPr>
        <w:t xml:space="preserve">Hallazgos (resultado):</w:t>
      </w:r>
    </w:p>
    <w:p>
      <w:pPr>
        <w:pStyle w:val="ListParagraph"/>
        <w:numPr>
          <w:ilvl w:val="0"/>
          <w:numId w:val="2"/>
        </w:numPr>
      </w:pPr>
      <w:r>
        <w:rPr>
          <w:rFonts w:ascii="Times New Roman" w:cs="Times New Roman" w:eastAsia="Times New Roman" w:hAnsi="Times New Roman"/>
          <w:b/>
          <w:bCs/>
        </w:rPr>
        <w:t xml:space="preserve">La capacidad óptima es baja.</w:t>
      </w:r>
      <w:r>
        <w:rPr>
          <w:rFonts w:ascii="Times New Roman" w:cs="Times New Roman" w:eastAsia="Times New Roman" w:hAnsi="Times New Roman"/>
        </w:rPr>
        <w:t xml:space="preserve"> Priorizando por impacto, el máximo beneficio se logra llamando al </w:t>
      </w:r>
      <w:r>
        <w:rPr>
          <w:rFonts w:ascii="Times New Roman" w:cs="Times New Roman" w:eastAsia="Times New Roman" w:hAnsi="Times New Roman"/>
          <w:b/>
          <w:bCs/>
        </w:rPr>
        <w:t xml:space="preserve">4 % de las citas diarias</w:t>
      </w:r>
      <w:r>
        <w:rPr>
          <w:rFonts w:ascii="Times New Roman" w:cs="Times New Roman" w:eastAsia="Times New Roman" w:hAnsi="Times New Roman"/>
        </w:rPr>
        <w:t xml:space="preserve"> (~57 llamadas/día): +$1,31 millones en 32 días (ROI 0,29). Por encima del 4 %, cada llamada adicional resta valor, y desde ~12 % de capacidad el beneficio total se vuelve negativo (Figura 9).</w:t>
      </w:r>
    </w:p>
    <w:p>
      <w:pPr>
        <w:pStyle w:val="ListParagraph"/>
        <w:numPr>
          <w:ilvl w:val="0"/>
          <w:numId w:val="2"/>
        </w:numPr>
      </w:pPr>
      <w:r>
        <w:rPr>
          <w:rFonts w:ascii="Times New Roman" w:cs="Times New Roman" w:eastAsia="Times New Roman" w:hAnsi="Times New Roman"/>
          <w:b/>
          <w:bCs/>
        </w:rPr>
        <w:t xml:space="preserve">El modelo agrega valor frente al azar:</w:t>
      </w:r>
      <w:r>
        <w:rPr>
          <w:rFonts w:ascii="Times New Roman" w:cs="Times New Roman" w:eastAsia="Times New Roman" w:hAnsi="Times New Roman"/>
        </w:rPr>
        <w:t xml:space="preserve"> +$6,5 millones con un 10 % de capacidad y +$10,6 millones con un 30 %. Pero con estos valores de cupo, ese valor no alcanza a volver rentable una operación de llamadas amplia.</w:t>
      </w:r>
    </w:p>
    <w:p>
      <w:pPr>
        <w:pStyle w:val="ListParagraph"/>
        <w:numPr>
          <w:ilvl w:val="0"/>
          <w:numId w:val="2"/>
        </w:numPr>
      </w:pPr>
      <w:r>
        <w:rPr>
          <w:rFonts w:ascii="Times New Roman" w:cs="Times New Roman" w:eastAsia="Times New Roman" w:hAnsi="Times New Roman"/>
          <w:b/>
          <w:bCs/>
        </w:rPr>
        <w:t xml:space="preserve">Priorizar por riesgo o por impacto da listas muy distintas.</w:t>
      </w:r>
      <w:r>
        <w:rPr>
          <w:rFonts w:ascii="Times New Roman" w:cs="Times New Roman" w:eastAsia="Times New Roman" w:hAnsi="Times New Roman"/>
        </w:rPr>
        <w:t xml:space="preserve"> El 27-ago-2026, de 183 llamadas posibles solo 75 coinciden (41 %). La lista por impacto recomendó 108 llamadas rentables, con una precisión real de 47,2 % y un beneficio neto realizado de $87.675.</w:t>
      </w:r>
    </w:p>
    <w:p>
      <w:pPr>
        <w:pStyle w:val="ListParagraph"/>
        <w:numPr>
          <w:ilvl w:val="0"/>
          <w:numId w:val="2"/>
        </w:numPr>
      </w:pPr>
      <w:r>
        <w:rPr>
          <w:rFonts w:ascii="Times New Roman" w:cs="Times New Roman" w:eastAsia="Times New Roman" w:hAnsi="Times New Roman"/>
          <w:b/>
          <w:bCs/>
        </w:rPr>
        <w:t xml:space="preserve">La rentabilidad es muy sensible a los supuestos.</w:t>
      </w:r>
      <w:r>
        <w:rPr>
          <w:rFonts w:ascii="Times New Roman" w:cs="Times New Roman" w:eastAsia="Times New Roman" w:hAnsi="Times New Roman"/>
        </w:rPr>
        <w:t xml:space="preserve"> Con un 10 % de capacidad, la estrategia deja de perder dinero solo si la llamada evita al menos el </w:t>
      </w:r>
      <w:r>
        <w:rPr>
          <w:rFonts w:ascii="Times New Roman" w:cs="Times New Roman" w:eastAsia="Times New Roman" w:hAnsi="Times New Roman"/>
          <w:b/>
          <w:bCs/>
        </w:rPr>
        <w:t xml:space="preserve">24,1 %</w:t>
      </w:r>
      <w:r>
        <w:rPr>
          <w:rFonts w:ascii="Times New Roman" w:cs="Times New Roman" w:eastAsia="Times New Roman" w:hAnsi="Times New Roman"/>
        </w:rPr>
        <w:t xml:space="preserve"> de las inasistencias (el supuesto es 25 %). Si el valor real del cupo fuera 25 % mayor, el beneficio subiría a +$3,4 millones; si fuera 25 % menor, caería a −$2,5 millones. Con un costo por llamada de $1.000 (canal automático), el beneficio sería de +$7,3 millones.</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195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10. Sensibilidad del beneficio neto a la efectividad y al costo de la llamada (capacidad 10 %, por impacto)</w:t>
      </w:r>
    </w:p>
    <w:p>
      <w:r>
        <w:rPr>
          <w:rFonts w:ascii="Times New Roman" w:cs="Times New Roman" w:eastAsia="Times New Roman" w:hAnsi="Times New Roman"/>
          <w:b/>
          <w:bCs/>
        </w:rPr>
        <w:t xml:space="preserve">Precisión necesaria vs. precisión lograda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408"/>
        <w:gridCol w:w="1619"/>
        <w:gridCol w:w="4011"/>
        <w:gridCol w:w="985"/>
      </w:tblGrid>
      <w:tr>
        <w:trPr>
          <w:tblHeader/>
        </w:trPr>
        <w:tc>
          <w:tcPr>
            <w:tcW w:type="dxa" w:w="133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Familia de servicio</w:t>
            </w:r>
          </w:p>
        </w:tc>
        <w:tc>
          <w:tcPr>
            <w:tcW w:type="dxa" w:w="140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Valor medio del cupo</w:t>
            </w:r>
          </w:p>
        </w:tc>
        <w:tc>
          <w:tcPr>
            <w:tcW w:type="dxa" w:w="161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Precisión de equilibrio</w:t>
            </w:r>
          </w:p>
        </w:tc>
        <w:tc>
          <w:tcPr>
            <w:tcW w:type="dxa" w:w="4011"/>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Precisión del modelo (10 % de mayor riesgo de la familia)</w:t>
            </w:r>
          </w:p>
        </w:tc>
        <w:tc>
          <w:tcPr>
            <w:tcW w:type="dxa" w:w="98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¿Rentable hoy?</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Medicina general</w:t>
            </w:r>
          </w:p>
        </w:tc>
        <w:tc>
          <w:tcPr>
            <w:tcW w:type="dxa" w:w="1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$14.493</w:t>
            </w:r>
          </w:p>
        </w:tc>
        <w:tc>
          <w:tcPr>
            <w:tcW w:type="dxa" w:w="16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69 %</w:t>
            </w:r>
          </w:p>
        </w:tc>
        <w:tc>
          <w:tcPr>
            <w:tcW w:type="dxa" w:w="40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59,1 %</w:t>
            </w:r>
          </w:p>
        </w:tc>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Crónicos</w:t>
            </w:r>
          </w:p>
        </w:tc>
        <w:tc>
          <w:tcPr>
            <w:tcW w:type="dxa" w:w="1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$14.450</w:t>
            </w:r>
          </w:p>
        </w:tc>
        <w:tc>
          <w:tcPr>
            <w:tcW w:type="dxa" w:w="16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69 %</w:t>
            </w:r>
          </w:p>
        </w:tc>
        <w:tc>
          <w:tcPr>
            <w:tcW w:type="dxa" w:w="40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45,0 %</w:t>
            </w:r>
          </w:p>
        </w:tc>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Odontología</w:t>
            </w:r>
          </w:p>
        </w:tc>
        <w:tc>
          <w:tcPr>
            <w:tcW w:type="dxa" w:w="1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$13.279</w:t>
            </w:r>
          </w:p>
        </w:tc>
        <w:tc>
          <w:tcPr>
            <w:tcW w:type="dxa" w:w="16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75 %</w:t>
            </w:r>
          </w:p>
        </w:tc>
        <w:tc>
          <w:tcPr>
            <w:tcW w:type="dxa" w:w="40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67,3 %</w:t>
            </w:r>
          </w:p>
        </w:tc>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Especialista</w:t>
            </w:r>
          </w:p>
        </w:tc>
        <w:tc>
          <w:tcPr>
            <w:tcW w:type="dxa" w:w="1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$33.911</w:t>
            </w:r>
          </w:p>
        </w:tc>
        <w:tc>
          <w:tcPr>
            <w:tcW w:type="dxa" w:w="16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29 %</w:t>
            </w:r>
          </w:p>
        </w:tc>
        <w:tc>
          <w:tcPr>
            <w:tcW w:type="dxa" w:w="40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46,6 %</w:t>
            </w:r>
          </w:p>
        </w:tc>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Sí</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Salud mental</w:t>
            </w:r>
          </w:p>
        </w:tc>
        <w:tc>
          <w:tcPr>
            <w:tcW w:type="dxa" w:w="1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$15.810</w:t>
            </w:r>
          </w:p>
        </w:tc>
        <w:tc>
          <w:tcPr>
            <w:tcW w:type="dxa" w:w="16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63 %</w:t>
            </w:r>
          </w:p>
        </w:tc>
        <w:tc>
          <w:tcPr>
            <w:tcW w:type="dxa" w:w="40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66,4 %</w:t>
            </w:r>
          </w:p>
        </w:tc>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Sí</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Enfermería / PyP</w:t>
            </w:r>
          </w:p>
        </w:tc>
        <w:tc>
          <w:tcPr>
            <w:tcW w:type="dxa" w:w="1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$5.000</w:t>
            </w:r>
          </w:p>
        </w:tc>
        <w:tc>
          <w:tcPr>
            <w:tcW w:type="dxa" w:w="16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200 % (imposible)</w:t>
            </w:r>
          </w:p>
        </w:tc>
        <w:tc>
          <w:tcPr>
            <w:tcW w:type="dxa" w:w="40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58,1 %</w:t>
            </w:r>
          </w:p>
        </w:tc>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Nutrición</w:t>
            </w:r>
          </w:p>
        </w:tc>
        <w:tc>
          <w:tcPr>
            <w:tcW w:type="dxa" w:w="1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$12.500</w:t>
            </w:r>
          </w:p>
        </w:tc>
        <w:tc>
          <w:tcPr>
            <w:tcW w:type="dxa" w:w="16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80 %</w:t>
            </w:r>
          </w:p>
        </w:tc>
        <w:tc>
          <w:tcPr>
            <w:tcW w:type="dxa" w:w="40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74,5 %</w:t>
            </w:r>
          </w:p>
        </w:tc>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Pediatría</w:t>
            </w:r>
          </w:p>
        </w:tc>
        <w:tc>
          <w:tcPr>
            <w:tcW w:type="dxa" w:w="1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$28.000</w:t>
            </w:r>
          </w:p>
        </w:tc>
        <w:tc>
          <w:tcPr>
            <w:tcW w:type="dxa" w:w="16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36 %</w:t>
            </w:r>
          </w:p>
        </w:tc>
        <w:tc>
          <w:tcPr>
            <w:tcW w:type="dxa" w:w="40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57,1 %</w:t>
            </w:r>
          </w:p>
        </w:tc>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Sí</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7"/>
        <w:gridCol w:w="2517"/>
        <w:gridCol w:w="4026"/>
        <w:gridCol w:w="1930"/>
      </w:tblGrid>
      <w:tr>
        <w:trPr>
          <w:tblHeader/>
        </w:trPr>
        <w:tc>
          <w:tcPr>
            <w:tcW w:type="dxa" w:w="88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Capacidad</w:t>
            </w:r>
          </w:p>
        </w:tc>
        <w:tc>
          <w:tcPr>
            <w:tcW w:type="dxa" w:w="251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Beneficio con el modelo actual</w:t>
            </w:r>
          </w:p>
        </w:tc>
        <w:tc>
          <w:tcPr>
            <w:tcW w:type="dxa" w:w="402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Beneficio con un modelo perfecto (techo teórico)</w:t>
            </w:r>
          </w:p>
        </w:tc>
        <w:tc>
          <w:tcPr>
            <w:tcW w:type="dxa" w:w="193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ROI del modelo perfecto</w:t>
            </w:r>
          </w:p>
        </w:tc>
      </w:tr>
      <w:tr>
        <w:trPr>
          <w:tblHeader w:val="false"/>
        </w:trPr>
        <w:tc>
          <w:tcPr>
            <w:tcW w:type="dxa" w:w="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10 %</w:t>
            </w:r>
          </w:p>
        </w:tc>
        <w:tc>
          <w:tcPr>
            <w:tcW w:type="dxa" w:w="2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$448.300</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$13.531.125</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1,18</w:t>
            </w:r>
          </w:p>
        </w:tc>
      </w:tr>
      <w:tr>
        <w:trPr>
          <w:tblHeader w:val="false"/>
        </w:trPr>
        <w:tc>
          <w:tcPr>
            <w:tcW w:type="dxa" w:w="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30 %</w:t>
            </w:r>
          </w:p>
        </w:tc>
        <w:tc>
          <w:tcPr>
            <w:tcW w:type="dxa" w:w="2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−$7.424.825</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$20.097.075</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0,60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8"/>
        <w:gridCol w:w="857"/>
        <w:gridCol w:w="2017"/>
        <w:gridCol w:w="857"/>
        <w:gridCol w:w="2351"/>
      </w:tblGrid>
      <w:tr>
        <w:trPr>
          <w:tblHeader/>
        </w:trPr>
        <w:tc>
          <w:tcPr>
            <w:tcW w:type="dxa" w:w="327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Mejora de precisión (10 %, por impacto)</w:t>
            </w:r>
          </w:p>
        </w:tc>
        <w:tc>
          <w:tcPr>
            <w:tcW w:type="dxa" w:w="85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Precisión</w:t>
            </w:r>
          </w:p>
        </w:tc>
        <w:tc>
          <w:tcPr>
            <w:tcW w:type="dxa" w:w="201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Beneficio neto (32 días)</w:t>
            </w:r>
          </w:p>
        </w:tc>
        <w:tc>
          <w:tcPr>
            <w:tcW w:type="dxa" w:w="85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ROI</w:t>
            </w:r>
          </w:p>
        </w:tc>
        <w:tc>
          <w:tcPr>
            <w:tcW w:type="dxa" w:w="2351"/>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Proyección mensual (24 días)</w:t>
            </w:r>
          </w:p>
        </w:tc>
      </w:tr>
      <w:tr>
        <w:trPr>
          <w:tblHeader w:val="false"/>
        </w:trPr>
        <w:tc>
          <w:tcPr>
            <w:tcW w:type="dxa" w:w="3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Actual</w:t>
            </w:r>
          </w:p>
        </w:tc>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42,9 %</w:t>
            </w:r>
          </w:p>
        </w:tc>
        <w:tc>
          <w:tcPr>
            <w:tcW w:type="dxa" w:w="2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$448.300</w:t>
            </w:r>
          </w:p>
        </w:tc>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0,04</w:t>
            </w:r>
          </w:p>
        </w:tc>
        <w:tc>
          <w:tcPr>
            <w:tcW w:type="dxa" w:w="23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$336.225</w:t>
            </w:r>
          </w:p>
        </w:tc>
      </w:tr>
      <w:tr>
        <w:trPr>
          <w:tblHeader w:val="false"/>
        </w:trPr>
        <w:tc>
          <w:tcPr>
            <w:tcW w:type="dxa" w:w="3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 pp</w:t>
            </w:r>
          </w:p>
        </w:tc>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47,9 %</w:t>
            </w:r>
          </w:p>
        </w:tc>
        <w:tc>
          <w:tcPr>
            <w:tcW w:type="dxa" w:w="2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$1.840.081</w:t>
            </w:r>
          </w:p>
        </w:tc>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0,16</w:t>
            </w:r>
          </w:p>
        </w:tc>
        <w:tc>
          <w:tcPr>
            <w:tcW w:type="dxa" w:w="23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$1.380.061</w:t>
            </w:r>
          </w:p>
        </w:tc>
      </w:tr>
      <w:tr>
        <w:trPr>
          <w:tblHeader w:val="false"/>
        </w:trPr>
        <w:tc>
          <w:tcPr>
            <w:tcW w:type="dxa" w:w="3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 pp</w:t>
            </w:r>
          </w:p>
        </w:tc>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52,9 %</w:t>
            </w:r>
          </w:p>
        </w:tc>
        <w:tc>
          <w:tcPr>
            <w:tcW w:type="dxa" w:w="2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$3.231.863</w:t>
            </w:r>
          </w:p>
        </w:tc>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0,28</w:t>
            </w:r>
          </w:p>
        </w:tc>
        <w:tc>
          <w:tcPr>
            <w:tcW w:type="dxa" w:w="23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$2.423.897</w:t>
            </w:r>
          </w:p>
        </w:tc>
      </w:tr>
      <w:tr>
        <w:trPr>
          <w:tblHeader w:val="false"/>
        </w:trPr>
        <w:tc>
          <w:tcPr>
            <w:tcW w:type="dxa" w:w="3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+15 pp</w:t>
            </w:r>
          </w:p>
        </w:tc>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57,9 %</w:t>
            </w:r>
          </w:p>
        </w:tc>
        <w:tc>
          <w:tcPr>
            <w:tcW w:type="dxa" w:w="2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$4.623.644</w:t>
            </w:r>
          </w:p>
        </w:tc>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0,40</w:t>
            </w:r>
          </w:p>
        </w:tc>
        <w:tc>
          <w:tcPr>
            <w:tcW w:type="dxa" w:w="23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$3.467.733</w:t>
            </w:r>
          </w:p>
        </w:tc>
      </w:tr>
      <w:tr>
        <w:trPr>
          <w:tblHeader w:val="false"/>
        </w:trPr>
        <w:tc>
          <w:tcPr>
            <w:tcW w:type="dxa" w:w="3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+20 pp</w:t>
            </w:r>
          </w:p>
        </w:tc>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62,9 %</w:t>
            </w:r>
          </w:p>
        </w:tc>
        <w:tc>
          <w:tcPr>
            <w:tcW w:type="dxa" w:w="2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$6.015.426</w:t>
            </w:r>
          </w:p>
        </w:tc>
        <w:tc>
          <w:tcPr>
            <w:tcW w:type="dxa" w:w="8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0,52</w:t>
            </w:r>
          </w:p>
        </w:tc>
        <w:tc>
          <w:tcPr>
            <w:tcW w:type="dxa" w:w="23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$4.511.569</w:t>
            </w:r>
          </w:p>
        </w:tc>
      </w:tr>
    </w:tbl>
    <w:p>
      <w:pPr>
        <w:spacing w:after="120"/>
      </w:pPr>
    </w:p>
    <w:p>
      <w:pPr>
        <w:spacing w:after="200" w:before="0" w:line="260"/>
      </w:pPr>
      <w:r>
        <w:rPr>
          <w:rFonts w:ascii="Times New Roman" w:cs="Times New Roman" w:eastAsia="Times New Roman" w:hAnsi="Times New Roman"/>
          <w:i/>
          <w:iCs/>
          <w:sz w:val="19"/>
          <w:szCs w:val="19"/>
        </w:rPr>
        <w:t xml:space="preserve">Nota.</w:t>
      </w:r>
      <w:r>
        <w:rPr>
          <w:rFonts w:ascii="Times New Roman" w:cs="Times New Roman" w:eastAsia="Times New Roman" w:hAnsi="Times New Roman"/>
          <w:sz w:val="19"/>
          <w:szCs w:val="19"/>
        </w:rPr>
        <w:t xml:space="preserve"> La tabla de mejoras es una aproximación: supone las mismas llamadas y escala proporcionalmente el valor recuperado. El techo teórico supone un modelo que solo llama a quienes realmente faltarán. Los 24 días de atención por mes son un supuesto. Fuente: notebook 07, secciones 7 y 9.</w:t>
      </w:r>
    </w:p>
    <w:p>
      <w:pPr>
        <w:pStyle w:val="Title"/>
      </w:pPr>
      <w:r>
        <w:rPr>
          <w:rFonts w:ascii="Times New Roman" w:cs="Times New Roman" w:eastAsia="Times New Roman" w:hAnsi="Times New Roman"/>
        </w:rPr>
        <w:t xml:space="preserve">6. Prototipo de despliegue y uso</w:t>
      </w:r>
    </w:p>
    <w:p>
      <w:r>
        <w:rPr>
          <w:rFonts w:ascii="Times New Roman" w:cs="Times New Roman" w:eastAsia="Times New Roman" w:hAnsi="Times New Roman"/>
          <w:b/>
          <w:bCs/>
        </w:rPr>
        <w:t xml:space="preserve">Proceso actual (dato observado).</w:t>
      </w:r>
      <w:r>
        <w:rPr>
          <w:rFonts w:ascii="Times New Roman" w:cs="Times New Roman" w:eastAsia="Times New Roman" w:hAnsi="Times New Roman"/>
        </w:rPr>
        <w:t xml:space="preserve"> Sobreagendamiento generalizado y mensajes de texto a algunos pacientes, sin priorización por riesgo.</w:t>
      </w:r>
    </w:p>
    <w:p>
      <w:r>
        <w:rPr>
          <w:rFonts w:ascii="Times New Roman" w:cs="Times New Roman" w:eastAsia="Times New Roman" w:hAnsi="Times New Roman"/>
          <w:b/>
          <w:bCs/>
        </w:rPr>
        <w:t xml:space="preserve">Lo que ya fue construido y probado con datos históricos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1"/>
        <w:gridCol w:w="8139"/>
      </w:tblGrid>
      <w:tr>
        <w:trPr>
          <w:tblHeader/>
        </w:trPr>
        <w:tc>
          <w:tcPr>
            <w:tcW w:type="dxa" w:w="1221"/>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Componente</w:t>
            </w:r>
          </w:p>
        </w:tc>
        <w:tc>
          <w:tcPr>
            <w:tcW w:type="dxa" w:w="8139"/>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Descripción</w:t>
            </w:r>
          </w:p>
        </w:tc>
      </w:tr>
      <w:tr>
        <w:trPr>
          <w:tblHeader w:val="false"/>
        </w:trPr>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Consolas" w:cs="Consolas" w:eastAsia="Consolas" w:hAnsi="Consolas"/>
                <w:sz w:val="19"/>
                <w:szCs w:val="19"/>
              </w:rPr>
              <w:t xml:space="preserve">funciones_inasistencia.py</w:t>
            </w:r>
          </w:p>
        </w:tc>
        <w:tc>
          <w:tcPr>
            <w:tcW w:type="dxa" w:w="8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Limpieza, etiqueta y cálculo de variables. Lo usan tanto el entrenamiento como la herramienta diaria</w:t>
            </w:r>
          </w:p>
        </w:tc>
      </w:tr>
      <w:tr>
        <w:trPr>
          <w:tblHeader w:val="false"/>
        </w:trPr>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Consolas" w:cs="Consolas" w:eastAsia="Consolas" w:hAnsi="Consolas"/>
                <w:sz w:val="19"/>
                <w:szCs w:val="19"/>
              </w:rPr>
              <w:t xml:space="preserve">modelos/modelo_inasistencia.joblib</w:t>
            </w:r>
          </w:p>
        </w:tc>
        <w:tc>
          <w:tcPr>
            <w:tcW w:type="dxa" w:w="8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Modelo LightGBM entrenado hasta el 31-jul-2026, con variables, parámetros y reglas aprendidas</w:t>
            </w:r>
          </w:p>
        </w:tc>
      </w:tr>
      <w:tr>
        <w:trPr>
          <w:tblHeader w:val="false"/>
        </w:trPr>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Consolas" w:cs="Consolas" w:eastAsia="Consolas" w:hAnsi="Consolas"/>
                <w:sz w:val="19"/>
                <w:szCs w:val="19"/>
              </w:rPr>
              <w:t xml:space="preserve">prediccion_diaria.py</w:t>
            </w:r>
          </w:p>
        </w:tc>
        <w:tc>
          <w:tcPr>
            <w:tcW w:type="dxa" w:w="8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ejecuta en D-1 con la fecha de las citas. Usa solo la agenda asignada hasta D-1 y RIPS y medicamentos hasta D-2</w:t>
            </w:r>
          </w:p>
        </w:tc>
      </w:tr>
      <w:tr>
        <w:trPr>
          <w:tblHeader w:val="false"/>
        </w:trPr>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Salida en Excel</w:t>
            </w:r>
          </w:p>
        </w:tc>
        <w:tc>
          <w:tcPr>
            <w:tcW w:type="dxa" w:w="8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Hoja </w:t>
            </w:r>
            <w:r>
              <w:rPr>
                <w:rFonts w:ascii="Times New Roman" w:cs="Times New Roman" w:eastAsia="Times New Roman" w:hAnsi="Times New Roman"/>
                <w:i/>
                <w:iCs/>
                <w:sz w:val="19"/>
                <w:szCs w:val="19"/>
              </w:rPr>
              <w:t xml:space="preserve">Resumen</w:t>
            </w:r>
            <w:r>
              <w:rPr>
                <w:rFonts w:ascii="Times New Roman" w:cs="Times New Roman" w:eastAsia="Times New Roman" w:hAnsi="Times New Roman"/>
                <w:sz w:val="19"/>
                <w:szCs w:val="19"/>
              </w:rPr>
              <w:t xml:space="preserve">; hoja </w:t>
            </w:r>
            <w:r>
              <w:rPr>
                <w:rFonts w:ascii="Times New Roman" w:cs="Times New Roman" w:eastAsia="Times New Roman" w:hAnsi="Times New Roman"/>
                <w:i/>
                <w:iCs/>
                <w:sz w:val="19"/>
                <w:szCs w:val="19"/>
              </w:rPr>
              <w:t xml:space="preserve">Prioridad de llamadas</w:t>
            </w:r>
            <w:r>
              <w:rPr>
                <w:rFonts w:ascii="Times New Roman" w:cs="Times New Roman" w:eastAsia="Times New Roman" w:hAnsi="Times New Roman"/>
                <w:sz w:val="19"/>
                <w:szCs w:val="19"/>
              </w:rPr>
              <w:t xml:space="preserve"> (probabilidad, nivel Alto = top 10 %, Medio = siguiente 20 %, Bajo = resto, y motivos en lenguaje sencillo); hoja </w:t>
            </w:r>
            <w:r>
              <w:rPr>
                <w:rFonts w:ascii="Times New Roman" w:cs="Times New Roman" w:eastAsia="Times New Roman" w:hAnsi="Times New Roman"/>
                <w:i/>
                <w:iCs/>
                <w:sz w:val="19"/>
                <w:szCs w:val="19"/>
              </w:rPr>
              <w:t xml:space="preserve">No evaluadas</w:t>
            </w:r>
            <w:r>
              <w:rPr>
                <w:rFonts w:ascii="Times New Roman" w:cs="Times New Roman" w:eastAsia="Times New Roman" w:hAnsi="Times New Roman"/>
                <w:sz w:val="19"/>
                <w:szCs w:val="19"/>
              </w:rPr>
              <w:t xml:space="preserve"> (procedimientos, terapias y códigos descontinuados, con el motivo)</w:t>
            </w:r>
          </w:p>
        </w:tc>
      </w:tr>
      <w:tr>
        <w:trPr>
          <w:tblHeader w:val="false"/>
        </w:trPr>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Consolas" w:cs="Consolas" w:eastAsia="Consolas" w:hAnsi="Consolas"/>
                <w:sz w:val="19"/>
                <w:szCs w:val="19"/>
              </w:rPr>
              <w:t xml:space="preserve">app_streamlit.py</w:t>
            </w:r>
          </w:p>
        </w:tc>
        <w:tc>
          <w:tcPr>
            <w:tcW w:type="dxa" w:w="8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Interfaz web local: selección de fecha, filtros por nivel de riesgo y sede, y descarga del Excel</w:t>
            </w:r>
          </w:p>
        </w:tc>
      </w:tr>
      <w:tr>
        <w:trPr>
          <w:tblHeader w:val="false"/>
        </w:trPr>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Monitoreo simulado</w:t>
            </w:r>
          </w:p>
        </w:tc>
        <w:tc>
          <w:tcPr>
            <w:tcW w:type="dxa" w:w="8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Tasa real vs. predicha, AUC y precisión por mes (sección 5.8)</w:t>
            </w:r>
          </w:p>
        </w:tc>
      </w:tr>
    </w:tbl>
    <w:p>
      <w:pPr>
        <w:spacing w:after="120"/>
      </w:pPr>
    </w:p>
    <w:p>
      <w:r>
        <w:rPr>
          <w:rFonts w:ascii="Times New Roman" w:cs="Times New Roman" w:eastAsia="Times New Roman" w:hAnsi="Times New Roman"/>
          <w:b/>
          <w:bCs/>
        </w:rPr>
        <w:t xml:space="preserve">Propuesta de despliegue (recomendación, no implementada):</w:t>
      </w:r>
    </w:p>
    <w:p>
      <w:pPr>
        <w:pStyle w:val="ListParagraph"/>
        <w:numPr>
          <w:ilvl w:val="0"/>
          <w:numId w:val="2"/>
        </w:numPr>
      </w:pPr>
      <w:r>
        <w:rPr>
          <w:rFonts w:ascii="Times New Roman" w:cs="Times New Roman" w:eastAsia="Times New Roman" w:hAnsi="Times New Roman"/>
          <w:b/>
          <w:bCs/>
        </w:rPr>
        <w:t xml:space="preserve">Punto de integración:</w:t>
      </w:r>
      <w:r>
        <w:rPr>
          <w:rFonts w:ascii="Times New Roman" w:cs="Times New Roman" w:eastAsia="Times New Roman" w:hAnsi="Times New Roman"/>
        </w:rPr>
        <w:t xml:space="preserve"> después del cierre de la agenda del día anterior (D-1), antes de la jornada de confirmaciones.</w:t>
      </w:r>
    </w:p>
    <w:p>
      <w:pPr>
        <w:pStyle w:val="ListParagraph"/>
        <w:numPr>
          <w:ilvl w:val="0"/>
          <w:numId w:val="2"/>
        </w:numPr>
      </w:pPr>
      <w:r>
        <w:rPr>
          <w:rFonts w:ascii="Times New Roman" w:cs="Times New Roman" w:eastAsia="Times New Roman" w:hAnsi="Times New Roman"/>
          <w:b/>
          <w:bCs/>
        </w:rPr>
        <w:t xml:space="preserve">Flujo de información:</w:t>
      </w:r>
      <w:r>
        <w:rPr>
          <w:rFonts w:ascii="Times New Roman" w:cs="Times New Roman" w:eastAsia="Times New Roman" w:hAnsi="Times New Roman"/>
        </w:rPr>
        <w:t xml:space="preserve"> agenda y RIPS → preparación → modelo → lista priorizada → acción → registro del resultado → monitoreo.</w:t>
      </w:r>
    </w:p>
    <w:p>
      <w:pPr>
        <w:pStyle w:val="ListParagraph"/>
        <w:numPr>
          <w:ilvl w:val="0"/>
          <w:numId w:val="2"/>
        </w:numPr>
      </w:pPr>
      <w:r>
        <w:rPr>
          <w:rFonts w:ascii="Times New Roman" w:cs="Times New Roman" w:eastAsia="Times New Roman" w:hAnsi="Times New Roman"/>
          <w:b/>
          <w:bCs/>
        </w:rPr>
        <w:t xml:space="preserve">Usuarios finales propuestos:</w:t>
      </w:r>
      <w:r>
        <w:rPr>
          <w:rFonts w:ascii="Times New Roman" w:cs="Times New Roman" w:eastAsia="Times New Roman" w:hAnsi="Times New Roman"/>
        </w:rPr>
        <w:t xml:space="preserve"> equipo de confirmación de citas (call center), coordinadores de agenda por sede y gerencia (tablero de seguimiento). Validación con los usuarios: [Información no disponible en los datos proporcionados].</w:t>
      </w:r>
    </w:p>
    <w:p>
      <w:pPr>
        <w:pStyle w:val="ListParagraph"/>
        <w:numPr>
          <w:ilvl w:val="0"/>
          <w:numId w:val="2"/>
        </w:numPr>
      </w:pPr>
      <w:r>
        <w:rPr>
          <w:rFonts w:ascii="Times New Roman" w:cs="Times New Roman" w:eastAsia="Times New Roman" w:hAnsi="Times New Roman"/>
          <w:b/>
          <w:bCs/>
        </w:rPr>
        <w:t xml:space="preserve">Frecuencia:</w:t>
      </w:r>
      <w:r>
        <w:rPr>
          <w:rFonts w:ascii="Times New Roman" w:cs="Times New Roman" w:eastAsia="Times New Roman" w:hAnsi="Times New Roman"/>
        </w:rPr>
        <w:t xml:space="preserve"> predicción diaria; monitoreo semanal y mensual; reentrenamiento mensual con auditoría previa de la etiqueta.</w:t>
      </w:r>
    </w:p>
    <w:p>
      <w:pPr>
        <w:pStyle w:val="ListParagraph"/>
        <w:numPr>
          <w:ilvl w:val="0"/>
          <w:numId w:val="2"/>
        </w:numPr>
      </w:pPr>
      <w:r>
        <w:rPr>
          <w:rFonts w:ascii="Times New Roman" w:cs="Times New Roman" w:eastAsia="Times New Roman" w:hAnsi="Times New Roman"/>
          <w:b/>
          <w:bCs/>
        </w:rPr>
        <w:t xml:space="preserve">Decisiones que apoya:</w:t>
      </w:r>
    </w:p>
    <w:p>
      <w:pPr>
        <w:pStyle w:val="ListParagraph"/>
        <w:numPr>
          <w:ilvl w:val="1"/>
          <w:numId w:val="2"/>
        </w:numPr>
      </w:pPr>
      <w:r>
        <w:rPr>
          <w:rFonts w:ascii="Times New Roman" w:cs="Times New Roman" w:eastAsia="Times New Roman" w:hAnsi="Times New Roman"/>
        </w:rPr>
        <w:t xml:space="preserve">a quién llamar y en qué orden;</w:t>
      </w:r>
    </w:p>
    <w:p>
      <w:pPr>
        <w:pStyle w:val="ListParagraph"/>
        <w:numPr>
          <w:ilvl w:val="1"/>
          <w:numId w:val="2"/>
        </w:numPr>
      </w:pPr>
      <w:r>
        <w:rPr>
          <w:rFonts w:ascii="Times New Roman" w:cs="Times New Roman" w:eastAsia="Times New Roman" w:hAnsi="Times New Roman"/>
        </w:rPr>
        <w:t xml:space="preserve">qué canal usar según el nivel de riesgo;</w:t>
      </w:r>
    </w:p>
    <w:p>
      <w:pPr>
        <w:pStyle w:val="ListParagraph"/>
        <w:numPr>
          <w:ilvl w:val="1"/>
          <w:numId w:val="2"/>
        </w:numPr>
      </w:pPr>
      <w:r>
        <w:rPr>
          <w:rFonts w:ascii="Times New Roman" w:cs="Times New Roman" w:eastAsia="Times New Roman" w:hAnsi="Times New Roman"/>
        </w:rPr>
        <w:t xml:space="preserve">cuánto sobreagendar por franja o servicio, usando la suma de probabilidades como inasistencias esperadas.</w:t>
      </w:r>
    </w:p>
    <w:p>
      <w:pPr>
        <w:pStyle w:val="ListParagraph"/>
        <w:numPr>
          <w:ilvl w:val="0"/>
          <w:numId w:val="2"/>
        </w:numPr>
      </w:pPr>
      <w:r>
        <w:rPr>
          <w:rFonts w:ascii="Times New Roman" w:cs="Times New Roman" w:eastAsia="Times New Roman" w:hAnsi="Times New Roman"/>
          <w:b/>
          <w:bCs/>
        </w:rPr>
        <w:t xml:space="preserve">Acciones posteriores:</w:t>
      </w:r>
      <w:r>
        <w:rPr>
          <w:rFonts w:ascii="Times New Roman" w:cs="Times New Roman" w:eastAsia="Times New Roman" w:hAnsi="Times New Roman"/>
        </w:rPr>
        <w:t xml:space="preserve"> llamada de confirmación (riesgo alto), mensaje automático (riesgo medio), liberación y reasignación del cupo si el paciente cancela, y registro del resultado de la gestión.</w:t>
      </w:r>
    </w:p>
    <w:p>
      <w:pPr>
        <w:pStyle w:val="ListParagraph"/>
        <w:numPr>
          <w:ilvl w:val="0"/>
          <w:numId w:val="2"/>
        </w:numPr>
      </w:pPr>
      <w:r>
        <w:rPr>
          <w:rFonts w:ascii="Times New Roman" w:cs="Times New Roman" w:eastAsia="Times New Roman" w:hAnsi="Times New Roman"/>
          <w:b/>
          <w:bCs/>
        </w:rPr>
        <w:t xml:space="preserve">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91"/>
        <w:gridCol w:w="1783"/>
        <w:gridCol w:w="2786"/>
      </w:tblGrid>
      <w:tr>
        <w:trPr>
          <w:tblHeader/>
        </w:trPr>
        <w:tc>
          <w:tcPr>
            <w:tcW w:type="dxa" w:w="4791"/>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Indicador</w:t>
            </w:r>
          </w:p>
        </w:tc>
        <w:tc>
          <w:tcPr>
            <w:tcW w:type="dxa" w:w="1783"/>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Umbral de alerta</w:t>
            </w:r>
          </w:p>
        </w:tc>
        <w:tc>
          <w:tcPr>
            <w:tcW w:type="dxa" w:w="2786"/>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Acción</w:t>
            </w:r>
          </w:p>
        </w:tc>
      </w:tr>
      <w:tr>
        <w:trPr>
          <w:tblHeader w:val="false"/>
        </w:trPr>
        <w:tc>
          <w:tcPr>
            <w:tcW w:type="dxa" w:w="47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Brecha entre tasa real y predicha (semanal)</w:t>
            </w:r>
          </w:p>
        </w:tc>
        <w:tc>
          <w:tcPr>
            <w:tcW w:type="dxa" w:w="17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Más de 3 pp</w:t>
            </w:r>
          </w:p>
        </w:tc>
        <w:tc>
          <w:tcPr>
            <w:tcW w:type="dxa" w:w="27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Revisar RIPS y recalibrar</w:t>
            </w:r>
          </w:p>
        </w:tc>
      </w:tr>
      <w:tr>
        <w:trPr>
          <w:tblHeader w:val="false"/>
        </w:trPr>
        <w:tc>
          <w:tcPr>
            <w:tcW w:type="dxa" w:w="47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Caída de la AUC frente al test (mensual)</w:t>
            </w:r>
          </w:p>
        </w:tc>
        <w:tc>
          <w:tcPr>
            <w:tcW w:type="dxa" w:w="17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Más de 0,03</w:t>
            </w:r>
          </w:p>
        </w:tc>
        <w:tc>
          <w:tcPr>
            <w:tcW w:type="dxa" w:w="27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Reentrenar</w:t>
            </w:r>
          </w:p>
        </w:tc>
      </w:tr>
      <w:tr>
        <w:trPr>
          <w:tblHeader w:val="false"/>
        </w:trPr>
        <w:tc>
          <w:tcPr>
            <w:tcW w:type="dxa" w:w="47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Brecha de calibración por subgrupo</w:t>
            </w:r>
          </w:p>
        </w:tc>
        <w:tc>
          <w:tcPr>
            <w:tcW w:type="dxa" w:w="17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Más de 5 pp</w:t>
            </w:r>
          </w:p>
        </w:tc>
        <w:tc>
          <w:tcPr>
            <w:tcW w:type="dxa" w:w="27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Analizar el grupo</w:t>
            </w:r>
          </w:p>
        </w:tc>
      </w:tr>
    </w:tbl>
    <w:p>
      <w:pPr>
        <w:spacing w:after="120"/>
      </w:pPr>
    </w:p>
    <w:p>
      <w:pPr>
        <w:spacing w:after="60" w:before="12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241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11. Flujo conceptual de despliegue (línea continua: construido; línea discontinua: propuesta)</w:t>
      </w:r>
    </w:p>
    <w:p>
      <w:pPr>
        <w:pStyle w:val="Title"/>
      </w:pPr>
      <w:r>
        <w:rPr>
          <w:rFonts w:ascii="Times New Roman" w:cs="Times New Roman" w:eastAsia="Times New Roman" w:hAnsi="Times New Roman"/>
        </w:rPr>
        <w:t xml:space="preserve">7. Conclusiones</w:t>
      </w:r>
    </w:p>
    <w:p>
      <w:pPr>
        <w:pStyle w:val="Heading1"/>
      </w:pPr>
      <w:r>
        <w:rPr>
          <w:rFonts w:ascii="Times New Roman" w:cs="Times New Roman" w:eastAsia="Times New Roman" w:hAnsi="Times New Roman"/>
        </w:rPr>
        <w:t xml:space="preserve">7.1 Valor generado</w:t>
      </w:r>
    </w:p>
    <w:p>
      <w:r>
        <w:rPr>
          <w:rFonts w:ascii="Times New Roman" w:cs="Times New Roman" w:eastAsia="Times New Roman" w:hAnsi="Times New Roman"/>
          <w:b/>
          <w:bCs/>
        </w:rPr>
        <w:t xml:space="preserve">Valor demostrado por los resultados:</w:t>
      </w:r>
    </w:p>
    <w:p>
      <w:pPr>
        <w:pStyle w:val="ListParagraph"/>
        <w:numPr>
          <w:ilvl w:val="0"/>
          <w:numId w:val="2"/>
        </w:numPr>
      </w:pPr>
      <w:r>
        <w:rPr>
          <w:rFonts w:ascii="Times New Roman" w:cs="Times New Roman" w:eastAsia="Times New Roman" w:hAnsi="Times New Roman"/>
          <w:b/>
          <w:bCs/>
        </w:rPr>
        <w:t xml:space="preserve">Analítico.</w:t>
      </w:r>
      <w:r>
        <w:rPr>
          <w:rFonts w:ascii="Times New Roman" w:cs="Times New Roman" w:eastAsia="Times New Roman" w:hAnsi="Times New Roman"/>
        </w:rPr>
        <w:t xml:space="preserve"> Se construyó una variable objetivo auditada y se documentaron siete fuentes de error en los registros de agenda y RIPS, incluido un cambio de codificación de la agenda que afectaba cualquier análisis de la inasistencia por servicio.</w:t>
      </w:r>
    </w:p>
    <w:p>
      <w:pPr>
        <w:pStyle w:val="ListParagraph"/>
        <w:numPr>
          <w:ilvl w:val="0"/>
          <w:numId w:val="2"/>
        </w:numPr>
      </w:pPr>
      <w:r>
        <w:rPr>
          <w:rFonts w:ascii="Times New Roman" w:cs="Times New Roman" w:eastAsia="Times New Roman" w:hAnsi="Times New Roman"/>
          <w:b/>
          <w:bCs/>
        </w:rPr>
        <w:t xml:space="preserve">Predictivo.</w:t>
      </w:r>
      <w:r>
        <w:rPr>
          <w:rFonts w:ascii="Times New Roman" w:cs="Times New Roman" w:eastAsia="Times New Roman" w:hAnsi="Times New Roman"/>
        </w:rPr>
        <w:t xml:space="preserve"> Sobre datos no usados en el desarrollo, el modelo ordena las citas con una AUC de 0,682. En el 10 % de mayor riesgo concentra una inasistencia de 57,5 %, frente a 31,2 % de base. Sus probabilidades están calibradas (±1 pp mensual) y fue estable en agosto y septiembre.</w:t>
      </w:r>
    </w:p>
    <w:p>
      <w:pPr>
        <w:pStyle w:val="ListParagraph"/>
        <w:numPr>
          <w:ilvl w:val="0"/>
          <w:numId w:val="2"/>
        </w:numPr>
      </w:pPr>
      <w:r>
        <w:rPr>
          <w:rFonts w:ascii="Times New Roman" w:cs="Times New Roman" w:eastAsia="Times New Roman" w:hAnsi="Times New Roman"/>
          <w:b/>
          <w:bCs/>
        </w:rPr>
        <w:t xml:space="preserve">Operativo (prototipo).</w:t>
      </w:r>
      <w:r>
        <w:rPr>
          <w:rFonts w:ascii="Times New Roman" w:cs="Times New Roman" w:eastAsia="Times New Roman" w:hAnsi="Times New Roman"/>
        </w:rPr>
        <w:t xml:space="preserve"> Existe una herramienta reproducible que genera la lista diaria con la información disponible en D-1 y que es consistente con el entrenamiento.</w:t>
      </w:r>
    </w:p>
    <w:p>
      <w:pPr>
        <w:pStyle w:val="ListParagraph"/>
        <w:numPr>
          <w:ilvl w:val="0"/>
          <w:numId w:val="2"/>
        </w:numPr>
      </w:pPr>
      <w:r>
        <w:rPr>
          <w:rFonts w:ascii="Times New Roman" w:cs="Times New Roman" w:eastAsia="Times New Roman" w:hAnsi="Times New Roman"/>
          <w:b/>
          <w:bCs/>
        </w:rPr>
        <w:t xml:space="preserve">Conocimiento para la gerencia.</w:t>
      </w:r>
      <w:r>
        <w:rPr>
          <w:rFonts w:ascii="Times New Roman" w:cs="Times New Roman" w:eastAsia="Times New Roman" w:hAnsi="Times New Roman"/>
        </w:rPr>
        <w:t xml:space="preserve"> Se identificaron los perfiles de mayor riesgo (jóvenes, pacientes sin programa crónico, con inasistencias recientes, salud mental y nutrición) y los de menor riesgo (programas RCV, adultos mayores).</w:t>
      </w:r>
    </w:p>
    <w:p>
      <w:r>
        <w:rPr>
          <w:rFonts w:ascii="Times New Roman" w:cs="Times New Roman" w:eastAsia="Times New Roman" w:hAnsi="Times New Roman"/>
          <w:b/>
          <w:bCs/>
        </w:rPr>
        <w:t xml:space="preserve">Valor potencial que requiere validación:</w:t>
      </w:r>
    </w:p>
    <w:p>
      <w:pPr>
        <w:pStyle w:val="ListParagraph"/>
        <w:numPr>
          <w:ilvl w:val="0"/>
          <w:numId w:val="2"/>
        </w:numPr>
      </w:pPr>
      <w:r>
        <w:rPr>
          <w:rFonts w:ascii="Times New Roman" w:cs="Times New Roman" w:eastAsia="Times New Roman" w:hAnsi="Times New Roman"/>
        </w:rPr>
        <w:t xml:space="preserve">Reducción de cupos perdidos y aporte a la meta de productividad del 2,9 %.</w:t>
      </w:r>
    </w:p>
    <w:p>
      <w:pPr>
        <w:pStyle w:val="ListParagraph"/>
        <w:numPr>
          <w:ilvl w:val="0"/>
          <w:numId w:val="2"/>
        </w:numPr>
      </w:pPr>
      <w:r>
        <w:rPr>
          <w:rFonts w:ascii="Times New Roman" w:cs="Times New Roman" w:eastAsia="Times New Roman" w:hAnsi="Times New Roman"/>
        </w:rPr>
        <w:t xml:space="preserve">Beneficio económico. Con los valores por servicio registrados, la estrategia de llamadas es apenas rentable (+$0,45 millones en 32 días con un 10 % de capacidad priorizando por impacto; +$1,31 millones en el óptimo del 4 %). El resultado depende de supuestos no validados (sección 7.3).</w:t>
      </w:r>
    </w:p>
    <w:p>
      <w:pPr>
        <w:pStyle w:val="ListParagraph"/>
        <w:numPr>
          <w:ilvl w:val="0"/>
          <w:numId w:val="2"/>
        </w:numPr>
      </w:pPr>
      <w:r>
        <w:rPr>
          <w:rFonts w:ascii="Times New Roman" w:cs="Times New Roman" w:eastAsia="Times New Roman" w:hAnsi="Times New Roman"/>
        </w:rPr>
        <w:t xml:space="preserve">Menor sobrecarga del personal, al reemplazar el sobreagendamiento generalizado por uno dirigido.</w:t>
      </w:r>
    </w:p>
    <w:p>
      <w:pPr>
        <w:pStyle w:val="ListParagraph"/>
        <w:numPr>
          <w:ilvl w:val="0"/>
          <w:numId w:val="2"/>
        </w:numPr>
      </w:pPr>
      <w:r>
        <w:rPr>
          <w:rFonts w:ascii="Times New Roman" w:cs="Times New Roman" w:eastAsia="Times New Roman" w:hAnsi="Times New Roman"/>
        </w:rPr>
        <w:t xml:space="preserve">Mejor experiencia del usuario y mayor oportunidad de atención.</w:t>
      </w:r>
    </w:p>
    <w:p>
      <w:pPr>
        <w:pStyle w:val="ListParagraph"/>
        <w:numPr>
          <w:ilvl w:val="0"/>
          <w:numId w:val="2"/>
        </w:numPr>
      </w:pPr>
      <w:r>
        <w:rPr>
          <w:rFonts w:ascii="Times New Roman" w:cs="Times New Roman" w:eastAsia="Times New Roman" w:hAnsi="Times New Roman"/>
        </w:rPr>
        <w:t xml:space="preserve">Efecto sobre la brecha entre regímenes.</w:t>
      </w:r>
    </w:p>
    <w:p>
      <w:r>
        <w:rPr>
          <w:rFonts w:ascii="Times New Roman" w:cs="Times New Roman" w:eastAsia="Times New Roman" w:hAnsi="Times New Roman"/>
        </w:rPr>
        <w:t xml:space="preserve">Ninguno de estos efectos ha sido medido: [Información no disponible en los datos proporcionados].</w:t>
      </w:r>
    </w:p>
    <w:p>
      <w:pPr>
        <w:pStyle w:val="Heading1"/>
      </w:pPr>
      <w:r>
        <w:rPr>
          <w:rFonts w:ascii="Times New Roman" w:cs="Times New Roman" w:eastAsia="Times New Roman" w:hAnsi="Times New Roman"/>
        </w:rPr>
        <w:t xml:space="preserve">7.2 Recomendaciones y siguientes pasos (en orden de prioridad)</w:t>
      </w:r>
    </w:p>
    <w:p>
      <w:pPr>
        <w:pStyle w:val="ListParagraph"/>
        <w:numPr>
          <w:ilvl w:val="0"/>
          <w:numId w:val="5"/>
        </w:numPr>
      </w:pPr>
      <w:r>
        <w:rPr>
          <w:rFonts w:ascii="Times New Roman" w:cs="Times New Roman" w:eastAsia="Times New Roman" w:hAnsi="Times New Roman"/>
          <w:b/>
          <w:bCs/>
        </w:rPr>
        <w:t xml:space="preserve">Validaciones pendientes:</w:t>
      </w:r>
      <w:r>
        <w:rPr>
          <w:rFonts w:ascii="Times New Roman" w:cs="Times New Roman" w:eastAsia="Times New Roman" w:hAnsi="Times New Roman"/>
        </w:rPr>
        <w:t xml:space="preserve"> reemplazar los supuestos de costo, efectividad y capacidad por los valores reales de la IPS, y confirmar con el área de facturación la lista de servicios que no se reportan en el RIPS de consultas.</w:t>
      </w:r>
    </w:p>
    <w:p>
      <w:pPr>
        <w:pStyle w:val="ListParagraph"/>
        <w:numPr>
          <w:ilvl w:val="0"/>
          <w:numId w:val="5"/>
        </w:numPr>
      </w:pPr>
      <w:r>
        <w:rPr>
          <w:rFonts w:ascii="Times New Roman" w:cs="Times New Roman" w:eastAsia="Times New Roman" w:hAnsi="Times New Roman"/>
          <w:b/>
          <w:bCs/>
        </w:rPr>
        <w:t xml:space="preserve">Mejoras de datos:</w:t>
      </w:r>
    </w:p>
    <w:p>
      <w:pPr>
        <w:pStyle w:val="ListParagraph"/>
        <w:numPr>
          <w:ilvl w:val="1"/>
          <w:numId w:val="2"/>
        </w:numPr>
      </w:pPr>
      <w:r>
        <w:rPr>
          <w:rFonts w:ascii="Times New Roman" w:cs="Times New Roman" w:eastAsia="Times New Roman" w:hAnsi="Times New Roman"/>
        </w:rPr>
        <w:t xml:space="preserve">registrar en la agenda el estado de cada cita (cumplida, cancelada por el paciente o por la IPS, reprogramada, inasistencia);</w:t>
      </w:r>
    </w:p>
    <w:p>
      <w:pPr>
        <w:pStyle w:val="ListParagraph"/>
        <w:numPr>
          <w:ilvl w:val="1"/>
          <w:numId w:val="2"/>
        </w:numPr>
      </w:pPr>
      <w:r>
        <w:rPr>
          <w:rFonts w:ascii="Times New Roman" w:cs="Times New Roman" w:eastAsia="Times New Roman" w:hAnsi="Times New Roman"/>
        </w:rPr>
        <w:t xml:space="preserve">incorporar el RIPS de procedimientos;</w:t>
      </w:r>
    </w:p>
    <w:p>
      <w:pPr>
        <w:pStyle w:val="ListParagraph"/>
        <w:numPr>
          <w:ilvl w:val="1"/>
          <w:numId w:val="2"/>
        </w:numPr>
      </w:pPr>
      <w:r>
        <w:rPr>
          <w:rFonts w:ascii="Times New Roman" w:cs="Times New Roman" w:eastAsia="Times New Roman" w:hAnsi="Times New Roman"/>
        </w:rPr>
        <w:t xml:space="preserve">documentar los cambios de codificación de la agenda;</w:t>
      </w:r>
    </w:p>
    <w:p>
      <w:pPr>
        <w:pStyle w:val="ListParagraph"/>
        <w:numPr>
          <w:ilvl w:val="1"/>
          <w:numId w:val="2"/>
        </w:numPr>
      </w:pPr>
      <w:r>
        <w:rPr>
          <w:rFonts w:ascii="Times New Roman" w:cs="Times New Roman" w:eastAsia="Times New Roman" w:hAnsi="Times New Roman"/>
        </w:rPr>
        <w:t xml:space="preserve">registrar el canal de agendamiento y los recordatorios;</w:t>
      </w:r>
    </w:p>
    <w:p>
      <w:pPr>
        <w:pStyle w:val="ListParagraph"/>
        <w:numPr>
          <w:ilvl w:val="1"/>
          <w:numId w:val="2"/>
        </w:numPr>
      </w:pPr>
      <w:r>
        <w:rPr>
          <w:rFonts w:ascii="Times New Roman" w:cs="Times New Roman" w:eastAsia="Times New Roman" w:hAnsi="Times New Roman"/>
        </w:rPr>
        <w:t xml:space="preserve">registrar la dirección o el barrio del paciente;</w:t>
      </w:r>
    </w:p>
    <w:p>
      <w:pPr>
        <w:pStyle w:val="ListParagraph"/>
        <w:numPr>
          <w:ilvl w:val="1"/>
          <w:numId w:val="2"/>
        </w:numPr>
      </w:pPr>
      <w:r>
        <w:rPr>
          <w:rFonts w:ascii="Times New Roman" w:cs="Times New Roman" w:eastAsia="Times New Roman" w:hAnsi="Times New Roman"/>
        </w:rPr>
        <w:t xml:space="preserve">registrar las fechas de ingreso a los programas RCV.</w:t>
      </w:r>
    </w:p>
    <w:p>
      <w:pPr>
        <w:pStyle w:val="ListParagraph"/>
        <w:numPr>
          <w:ilvl w:val="0"/>
          <w:numId w:val="6"/>
        </w:numPr>
      </w:pPr>
      <w:r>
        <w:rPr>
          <w:rFonts w:ascii="Times New Roman" w:cs="Times New Roman" w:eastAsia="Times New Roman" w:hAnsi="Times New Roman"/>
          <w:b/>
          <w:bCs/>
        </w:rPr>
        <w:t xml:space="preserve">Piloto controlado:</w:t>
      </w:r>
      <w:r>
        <w:rPr>
          <w:rFonts w:ascii="Times New Roman" w:cs="Times New Roman" w:eastAsia="Times New Roman" w:hAnsi="Times New Roman"/>
        </w:rPr>
        <w:t xml:space="preserve"> diseñar el piloto aleatorizado de 12 semanas planteado en la pregunta SMART, con tres grupos: gestión dirigida por el modelo, gestión no dirigida y proceso actual. Medir la reducción de cupos perdidos, el costo, la aceptabilidad y la brecha entre regímenes. Esto también responde al vacío de la literatura señalado por Oikonomidi et al. (2023).</w:t>
      </w:r>
    </w:p>
    <w:p>
      <w:pPr>
        <w:pStyle w:val="ListParagraph"/>
        <w:numPr>
          <w:ilvl w:val="0"/>
          <w:numId w:val="6"/>
        </w:numPr>
      </w:pPr>
      <w:r>
        <w:rPr>
          <w:rFonts w:ascii="Times New Roman" w:cs="Times New Roman" w:eastAsia="Times New Roman" w:hAnsi="Times New Roman"/>
          <w:b/>
          <w:bCs/>
        </w:rPr>
        <w:t xml:space="preserve">Validación con usuarios:</w:t>
      </w:r>
      <w:r>
        <w:rPr>
          <w:rFonts w:ascii="Times New Roman" w:cs="Times New Roman" w:eastAsia="Times New Roman" w:hAnsi="Times New Roman"/>
        </w:rPr>
        <w:t xml:space="preserve"> revisar con el equipo de agendamiento el formato del Excel, los motivos de riesgo y la carga de trabajo.</w:t>
      </w:r>
    </w:p>
    <w:p>
      <w:pPr>
        <w:pStyle w:val="ListParagraph"/>
        <w:numPr>
          <w:ilvl w:val="0"/>
          <w:numId w:val="6"/>
        </w:numPr>
      </w:pPr>
      <w:r>
        <w:rPr>
          <w:rFonts w:ascii="Times New Roman" w:cs="Times New Roman" w:eastAsia="Times New Roman" w:hAnsi="Times New Roman"/>
          <w:b/>
          <w:bCs/>
        </w:rPr>
        <w:t xml:space="preserve">Mejoras del modelo:</w:t>
      </w:r>
    </w:p>
    <w:p>
      <w:pPr>
        <w:pStyle w:val="ListParagraph"/>
        <w:numPr>
          <w:ilvl w:val="1"/>
          <w:numId w:val="2"/>
        </w:numPr>
      </w:pPr>
      <w:r>
        <w:rPr>
          <w:rFonts w:ascii="Times New Roman" w:cs="Times New Roman" w:eastAsia="Times New Roman" w:hAnsi="Times New Roman"/>
        </w:rPr>
        <w:t xml:space="preserve">reentrenar con más meses para capturar la estacionalidad;</w:t>
      </w:r>
    </w:p>
    <w:p>
      <w:pPr>
        <w:pStyle w:val="ListParagraph"/>
        <w:numPr>
          <w:ilvl w:val="1"/>
          <w:numId w:val="2"/>
        </w:numPr>
      </w:pPr>
      <w:r>
        <w:rPr>
          <w:rFonts w:ascii="Times New Roman" w:cs="Times New Roman" w:eastAsia="Times New Roman" w:hAnsi="Times New Roman"/>
        </w:rPr>
        <w:t xml:space="preserve">corregir la sobreestimación en especialistas;</w:t>
      </w:r>
    </w:p>
    <w:p>
      <w:pPr>
        <w:pStyle w:val="ListParagraph"/>
        <w:numPr>
          <w:ilvl w:val="1"/>
          <w:numId w:val="2"/>
        </w:numPr>
      </w:pPr>
      <w:r>
        <w:rPr>
          <w:rFonts w:ascii="Times New Roman" w:cs="Times New Roman" w:eastAsia="Times New Roman" w:hAnsi="Times New Roman"/>
        </w:rPr>
        <w:t xml:space="preserve">evaluar variables de distancia y recordatorio cuando estén disponibles;</w:t>
      </w:r>
    </w:p>
    <w:p>
      <w:pPr>
        <w:pStyle w:val="ListParagraph"/>
        <w:numPr>
          <w:ilvl w:val="1"/>
          <w:numId w:val="2"/>
        </w:numPr>
      </w:pPr>
      <w:r>
        <w:rPr>
          <w:rFonts w:ascii="Times New Roman" w:cs="Times New Roman" w:eastAsia="Times New Roman" w:hAnsi="Times New Roman"/>
        </w:rPr>
        <w:t xml:space="preserve">priorizar por pérdida esperada (probabilidad × valor contratado y clínico, como plantea la pregunta SMART), cuando se disponga de esos valores.</w:t>
      </w:r>
    </w:p>
    <w:p>
      <w:pPr>
        <w:pStyle w:val="ListParagraph"/>
        <w:numPr>
          <w:ilvl w:val="0"/>
          <w:numId w:val="7"/>
        </w:numPr>
      </w:pPr>
      <w:r>
        <w:rPr>
          <w:rFonts w:ascii="Times New Roman" w:cs="Times New Roman" w:eastAsia="Times New Roman" w:hAnsi="Times New Roman"/>
          <w:b/>
          <w:bCs/>
        </w:rPr>
        <w:t xml:space="preserve">Integración tecnológica:</w:t>
      </w:r>
      <w:r>
        <w:rPr>
          <w:rFonts w:ascii="Times New Roman" w:cs="Times New Roman" w:eastAsia="Times New Roman" w:hAnsi="Times New Roman"/>
        </w:rPr>
        <w:t xml:space="preserve"> automatizar la extracción diaria de la agenda y los RIPS y ejecutar la herramienta en un servidor institucional con control de acceso, en cumplimiento de la protección de datos.</w:t>
      </w:r>
    </w:p>
    <w:p>
      <w:pPr>
        <w:pStyle w:val="ListParagraph"/>
        <w:numPr>
          <w:ilvl w:val="0"/>
          <w:numId w:val="7"/>
        </w:numPr>
      </w:pPr>
      <w:r>
        <w:rPr>
          <w:rFonts w:ascii="Times New Roman" w:cs="Times New Roman" w:eastAsia="Times New Roman" w:hAnsi="Times New Roman"/>
          <w:b/>
          <w:bCs/>
        </w:rPr>
        <w:t xml:space="preserve">Monitoreo y escalamiento:</w:t>
      </w:r>
      <w:r>
        <w:rPr>
          <w:rFonts w:ascii="Times New Roman" w:cs="Times New Roman" w:eastAsia="Times New Roman" w:hAnsi="Times New Roman"/>
        </w:rPr>
        <w:t xml:space="preserve"> aplicar el protocolo de la sección 6 y, si el piloto es exitoso, extender a otras sedes y servicios con un modelo por servicio si el desempeño lo justifica.</w:t>
      </w:r>
    </w:p>
    <w:p>
      <w:pPr>
        <w:pStyle w:val="Heading1"/>
      </w:pPr>
      <w:r>
        <w:rPr>
          <w:rFonts w:ascii="Times New Roman" w:cs="Times New Roman" w:eastAsia="Times New Roman" w:hAnsi="Times New Roman"/>
        </w:rPr>
        <w:t xml:space="preserve">7.3 Conclusiones del análisis de costo-efectividad</w:t>
      </w:r>
    </w:p>
    <w:p>
      <w:r>
        <w:rPr>
          <w:rFonts w:ascii="Times New Roman" w:cs="Times New Roman" w:eastAsia="Times New Roman" w:hAnsi="Times New Roman"/>
          <w:b/>
          <w:bCs/>
        </w:rPr>
        <w:t xml:space="preserve">1. Por qué era necesario este análisis.</w:t>
      </w:r>
      <w:r>
        <w:rPr>
          <w:rFonts w:ascii="Times New Roman" w:cs="Times New Roman" w:eastAsia="Times New Roman" w:hAnsi="Times New Roman"/>
        </w:rPr>
        <w:t xml:space="preserve"> Un modelo con buena discriminación no garantiza una intervención rentable. Con ingresos estrechos (margen neto de ~4,8 %) y una meta de productividad del 2,9 %, la IPS necesita saber si cada llamada genera más valor del que consume. El análisis mostró que </w:t>
      </w:r>
      <w:r>
        <w:rPr>
          <w:rFonts w:ascii="Times New Roman" w:cs="Times New Roman" w:eastAsia="Times New Roman" w:hAnsi="Times New Roman"/>
          <w:b/>
          <w:bCs/>
        </w:rPr>
        <w:t xml:space="preserve">la respuesta depende de a quién se llama y de cuánto vale el cupo</w:t>
      </w:r>
      <w:r>
        <w:rPr>
          <w:rFonts w:ascii="Times New Roman" w:cs="Times New Roman" w:eastAsia="Times New Roman" w:hAnsi="Times New Roman"/>
        </w:rPr>
        <w:t xml:space="preserve">. Esa información no la da la AUC.</w:t>
      </w:r>
    </w:p>
    <w:p>
      <w:r>
        <w:rPr>
          <w:rFonts w:ascii="Times New Roman" w:cs="Times New Roman" w:eastAsia="Times New Roman" w:hAnsi="Times New Roman"/>
          <w:b/>
          <w:bCs/>
        </w:rPr>
        <w:t xml:space="preserve">2. Comparación de los tres abordajes (resultado e interpretación).</w:t>
      </w:r>
    </w:p>
    <w:p>
      <w:pPr>
        <w:pStyle w:val="ListParagraph"/>
        <w:numPr>
          <w:ilvl w:val="0"/>
          <w:numId w:val="2"/>
        </w:numPr>
      </w:pPr>
      <w:r>
        <w:rPr>
          <w:rFonts w:ascii="Times New Roman" w:cs="Times New Roman" w:eastAsia="Times New Roman" w:hAnsi="Times New Roman"/>
          <w:b/>
          <w:bCs/>
        </w:rPr>
        <w:t xml:space="preserve">Al azar:</w:t>
      </w:r>
      <w:r>
        <w:rPr>
          <w:rFonts w:ascii="Times New Roman" w:cs="Times New Roman" w:eastAsia="Times New Roman" w:hAnsi="Times New Roman"/>
        </w:rPr>
        <w:t xml:space="preserve"> pierde dinero en todos los escenarios (ROI ≈ −0,5). Confirma, con datos, lo que el documento del problema describía de los mensajes masivos: intervenir sin priorizar no es sostenible.</w:t>
      </w:r>
    </w:p>
    <w:p>
      <w:pPr>
        <w:pStyle w:val="ListParagraph"/>
        <w:numPr>
          <w:ilvl w:val="0"/>
          <w:numId w:val="2"/>
        </w:numPr>
      </w:pPr>
      <w:r>
        <w:rPr>
          <w:rFonts w:ascii="Times New Roman" w:cs="Times New Roman" w:eastAsia="Times New Roman" w:hAnsi="Times New Roman"/>
          <w:b/>
          <w:bCs/>
        </w:rPr>
        <w:t xml:space="preserve">Por riesgo:</w:t>
      </w:r>
      <w:r>
        <w:rPr>
          <w:rFonts w:ascii="Times New Roman" w:cs="Times New Roman" w:eastAsia="Times New Roman" w:hAnsi="Times New Roman"/>
        </w:rPr>
        <w:t xml:space="preserve"> es la estrategia con mayor precisión (59,7 % con un 10 % de capacidad) y la que más cupos recupera (686). Aun así, </w:t>
      </w:r>
      <w:r>
        <w:rPr>
          <w:rFonts w:ascii="Times New Roman" w:cs="Times New Roman" w:eastAsia="Times New Roman" w:hAnsi="Times New Roman"/>
          <w:b/>
          <w:bCs/>
        </w:rPr>
        <w:t xml:space="preserve">pierde dinero</w:t>
      </w:r>
      <w:r>
        <w:rPr>
          <w:rFonts w:ascii="Times New Roman" w:cs="Times New Roman" w:eastAsia="Times New Roman" w:hAnsi="Times New Roman"/>
        </w:rPr>
        <w:t xml:space="preserve"> (−$1,8 millones), porque concentra las llamadas en los servicios con más inasistencia, que son los de menor valor por cupo: el valor medio de los cupos llamados es de $14.210.</w:t>
      </w:r>
    </w:p>
    <w:p>
      <w:pPr>
        <w:pStyle w:val="ListParagraph"/>
        <w:numPr>
          <w:ilvl w:val="0"/>
          <w:numId w:val="2"/>
        </w:numPr>
      </w:pPr>
      <w:r>
        <w:rPr>
          <w:rFonts w:ascii="Times New Roman" w:cs="Times New Roman" w:eastAsia="Times New Roman" w:hAnsi="Times New Roman"/>
          <w:b/>
          <w:bCs/>
        </w:rPr>
        <w:t xml:space="preserve">Por impacto financiero:</w:t>
      </w:r>
      <w:r>
        <w:rPr>
          <w:rFonts w:ascii="Times New Roman" w:cs="Times New Roman" w:eastAsia="Times New Roman" w:hAnsi="Times New Roman"/>
        </w:rPr>
        <w:t xml:space="preserve"> es la única rentable con un 10 % de capacidad (+$0,45 millones; ROI 0,04). Recupera menos cupos (493), pero de mayor valor ($28.596 en promedio), con menor precisión (42,9 %). </w:t>
      </w:r>
      <w:r>
        <w:rPr>
          <w:rFonts w:ascii="Times New Roman" w:cs="Times New Roman" w:eastAsia="Times New Roman" w:hAnsi="Times New Roman"/>
          <w:b/>
          <w:bCs/>
        </w:rPr>
        <w:t xml:space="preserve">Conclusión:</w:t>
      </w:r>
      <w:r>
        <w:rPr>
          <w:rFonts w:ascii="Times New Roman" w:cs="Times New Roman" w:eastAsia="Times New Roman" w:hAnsi="Times New Roman"/>
        </w:rPr>
        <w:t xml:space="preserve"> para la IPS no es lo mismo </w:t>
      </w:r>
      <w:r>
        <w:rPr>
          <w:rFonts w:ascii="Times New Roman" w:cs="Times New Roman" w:eastAsia="Times New Roman" w:hAnsi="Times New Roman"/>
          <w:i/>
          <w:iCs/>
        </w:rPr>
        <w:t xml:space="preserve">evitar más inasistencias</w:t>
      </w:r>
      <w:r>
        <w:rPr>
          <w:rFonts w:ascii="Times New Roman" w:cs="Times New Roman" w:eastAsia="Times New Roman" w:hAnsi="Times New Roman"/>
        </w:rPr>
        <w:t xml:space="preserve"> que </w:t>
      </w:r>
      <w:r>
        <w:rPr>
          <w:rFonts w:ascii="Times New Roman" w:cs="Times New Roman" w:eastAsia="Times New Roman" w:hAnsi="Times New Roman"/>
          <w:i/>
          <w:iCs/>
        </w:rPr>
        <w:t xml:space="preserve">recuperar más valor</w:t>
      </w:r>
      <w:r>
        <w:rPr>
          <w:rFonts w:ascii="Times New Roman" w:cs="Times New Roman" w:eastAsia="Times New Roman" w:hAnsi="Times New Roman"/>
        </w:rPr>
        <w:t xml:space="preserve">. La lista diaria debería ordenarse por impacto financiero cuando el objetivo es económico, y por riesgo cuando el objetivo es de acceso o de continuidad del cuidado.</w:t>
      </w:r>
    </w:p>
    <w:p>
      <w:r>
        <w:rPr>
          <w:rFonts w:ascii="Times New Roman" w:cs="Times New Roman" w:eastAsia="Times New Roman" w:hAnsi="Times New Roman"/>
          <w:b/>
          <w:bCs/>
        </w:rPr>
        <w:t xml:space="preserve">3. Por qué la rentabilidad es baja: el problema es metodológico y económico (interpretación sustentada en los resultados).</w:t>
      </w:r>
    </w:p>
    <w:p>
      <w:pPr>
        <w:pStyle w:val="ListParagraph"/>
        <w:numPr>
          <w:ilvl w:val="0"/>
          <w:numId w:val="2"/>
        </w:numPr>
      </w:pPr>
      <w:r>
        <w:rPr>
          <w:rFonts w:ascii="Times New Roman" w:cs="Times New Roman" w:eastAsia="Times New Roman" w:hAnsi="Times New Roman"/>
          <w:b/>
          <w:bCs/>
        </w:rPr>
        <w:t xml:space="preserve">Economía unitaria desfavorable.</w:t>
      </w:r>
      <w:r>
        <w:rPr>
          <w:rFonts w:ascii="Times New Roman" w:cs="Times New Roman" w:eastAsia="Times New Roman" w:hAnsi="Times New Roman"/>
        </w:rPr>
        <w:t xml:space="preserve"> En los servicios de mayor volumen, el valor esperado que recupera una llamada es menor que su costo. En medicina general: 59 % de precisión × 25 % de efectividad × $14.500 ≈ $2.140, frente a $2.500 por llamada. Hace falta un 69 % de precisión; en odontología, un 75 %; en nutrición, un 80 %. En enfermería / PyP ($5.000) ninguna precisión alcanza.</w:t>
      </w:r>
    </w:p>
    <w:p>
      <w:pPr>
        <w:pStyle w:val="ListParagraph"/>
        <w:numPr>
          <w:ilvl w:val="0"/>
          <w:numId w:val="2"/>
        </w:numPr>
      </w:pPr>
      <w:r>
        <w:rPr>
          <w:rFonts w:ascii="Times New Roman" w:cs="Times New Roman" w:eastAsia="Times New Roman" w:hAnsi="Times New Roman"/>
          <w:b/>
          <w:bCs/>
        </w:rPr>
        <w:t xml:space="preserve">Desalineación entre riesgo y valor.</w:t>
      </w:r>
      <w:r>
        <w:rPr>
          <w:rFonts w:ascii="Times New Roman" w:cs="Times New Roman" w:eastAsia="Times New Roman" w:hAnsi="Times New Roman"/>
        </w:rPr>
        <w:t xml:space="preserve"> Los servicios con más inasistencia (salud mental, nutrición, PyP) tienen cupos de bajo valor, y los de alto valor (especialistas) tienen menos inasistencia (23,7 % en julio). Por eso el modelo, entrenado para detectar riesgo y no valor, apunta a las citas que menos dinero devuelven.</w:t>
      </w:r>
    </w:p>
    <w:p>
      <w:pPr>
        <w:pStyle w:val="ListParagraph"/>
        <w:numPr>
          <w:ilvl w:val="0"/>
          <w:numId w:val="2"/>
        </w:numPr>
      </w:pPr>
      <w:r>
        <w:rPr>
          <w:rFonts w:ascii="Times New Roman" w:cs="Times New Roman" w:eastAsia="Times New Roman" w:hAnsi="Times New Roman"/>
          <w:b/>
          <w:bCs/>
        </w:rPr>
        <w:t xml:space="preserve">Discriminación moderada del modelo (AUC ≈ 0,68).</w:t>
      </w:r>
      <w:r>
        <w:rPr>
          <w:rFonts w:ascii="Times New Roman" w:cs="Times New Roman" w:eastAsia="Times New Roman" w:hAnsi="Times New Roman"/>
        </w:rPr>
        <w:t xml:space="preserve"> La precisión cae rápido al ampliar la capacidad (59,7 % → 48,3 % al pasar del 10 % al 30 %). Por eso cada llamada adicional es menos rentable y la capacidad óptima es de solo un 4 %.</w:t>
      </w:r>
    </w:p>
    <w:p>
      <w:pPr>
        <w:pStyle w:val="ListParagraph"/>
        <w:numPr>
          <w:ilvl w:val="0"/>
          <w:numId w:val="2"/>
        </w:numPr>
      </w:pPr>
      <w:r>
        <w:rPr>
          <w:rFonts w:ascii="Times New Roman" w:cs="Times New Roman" w:eastAsia="Times New Roman" w:hAnsi="Times New Roman"/>
          <w:b/>
          <w:bCs/>
        </w:rPr>
        <w:t xml:space="preserve">Etiqueta imperfecta.</w:t>
      </w:r>
      <w:r>
        <w:rPr>
          <w:rFonts w:ascii="Times New Roman" w:cs="Times New Roman" w:eastAsia="Times New Roman" w:hAnsi="Times New Roman"/>
        </w:rPr>
        <w:t xml:space="preserve"> La variable objetivo es un proxy: incluye cancelaciones sin nueva cita y posibles fallas de registro residuales. Eso limita la precisión que el modelo puede aprender y medir, y puede subestimar su precisión real.</w:t>
      </w:r>
    </w:p>
    <w:p>
      <w:pPr>
        <w:pStyle w:val="ListParagraph"/>
        <w:numPr>
          <w:ilvl w:val="0"/>
          <w:numId w:val="2"/>
        </w:numPr>
      </w:pPr>
      <w:r>
        <w:rPr>
          <w:rFonts w:ascii="Times New Roman" w:cs="Times New Roman" w:eastAsia="Times New Roman" w:hAnsi="Times New Roman"/>
          <w:b/>
          <w:bCs/>
        </w:rPr>
        <w:t xml:space="preserve">Beneficio medido de forma conservadora.</w:t>
      </w:r>
      <w:r>
        <w:rPr>
          <w:rFonts w:ascii="Times New Roman" w:cs="Times New Roman" w:eastAsia="Times New Roman" w:hAnsi="Times New Roman"/>
        </w:rPr>
        <w:t xml:space="preserve"> Solo se cuenta el valor del cupo atendido. No se incluyen la reasignación del cupo cuando el paciente cancela en la llamada, el valor clínico de la atención oportuna ni el efecto sobre los indicadores contractuales: [Información no disponible en los datos proporcionados].</w:t>
      </w:r>
    </w:p>
    <w:p>
      <w:pPr>
        <w:pStyle w:val="ListParagraph"/>
        <w:numPr>
          <w:ilvl w:val="0"/>
          <w:numId w:val="2"/>
        </w:numPr>
      </w:pPr>
      <w:r>
        <w:rPr>
          <w:rFonts w:ascii="Times New Roman" w:cs="Times New Roman" w:eastAsia="Times New Roman" w:hAnsi="Times New Roman"/>
          <w:b/>
          <w:bCs/>
        </w:rPr>
        <w:t xml:space="preserve">Efectividad no medida.</w:t>
      </w:r>
      <w:r>
        <w:rPr>
          <w:rFonts w:ascii="Times New Roman" w:cs="Times New Roman" w:eastAsia="Times New Roman" w:hAnsi="Times New Roman"/>
        </w:rPr>
        <w:t xml:space="preserve"> El resultado está en el límite: la efectividad de equilibrio (24,1 %) es casi igual a la supuesta (25 %). Sin un piloto, la rentabilidad no se puede afirmar ni descartar.</w:t>
      </w:r>
    </w:p>
    <w:p>
      <w:r>
        <w:rPr>
          <w:rFonts w:ascii="Times New Roman" w:cs="Times New Roman" w:eastAsia="Times New Roman" w:hAnsi="Times New Roman"/>
          <w:b/>
          <w:bCs/>
        </w:rPr>
        <w:t xml:space="preserve">4. Qué debería mejorar en la precisión del modelo (recomendación basada en los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5"/>
        <w:gridCol w:w="3367"/>
        <w:gridCol w:w="2193"/>
        <w:gridCol w:w="2255"/>
      </w:tblGrid>
      <w:tr>
        <w:trPr>
          <w:tblHeader/>
        </w:trPr>
        <w:tc>
          <w:tcPr>
            <w:tcW w:type="dxa" w:w="154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Palanca</w:t>
            </w:r>
          </w:p>
        </w:tc>
        <w:tc>
          <w:tcPr>
            <w:tcW w:type="dxa" w:w="336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Meta indicativa</w:t>
            </w:r>
          </w:p>
        </w:tc>
        <w:tc>
          <w:tcPr>
            <w:tcW w:type="dxa" w:w="2193"/>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Efecto estimado</w:t>
            </w:r>
          </w:p>
        </w:tc>
        <w:tc>
          <w:tcPr>
            <w:tcW w:type="dxa" w:w="2255"/>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Cómo lograrlo</w:t>
            </w:r>
          </w:p>
        </w:tc>
      </w:tr>
      <w:tr>
        <w:trPr>
          <w:tblHeader w:val="false"/>
        </w:trPr>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Precisión en el 10 % de mayor riesgo (por impacto)</w:t>
            </w:r>
          </w:p>
        </w:tc>
        <w:tc>
          <w:tcPr>
            <w:tcW w:type="dxa" w:w="33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+10 pp (de 42,9 % a ~53 %)</w:t>
            </w:r>
          </w:p>
        </w:tc>
        <w:tc>
          <w:tcPr>
            <w:tcW w:type="dxa" w:w="2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Beneficio de $0,45 → $3,2 millones en 32 días; ROI de 0,04 → 0,28</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Mejor etiqueta y variables nuevas (filas siguientes)</w:t>
            </w:r>
          </w:p>
        </w:tc>
      </w:tr>
      <w:tr>
        <w:trPr>
          <w:tblHeader w:val="false"/>
        </w:trPr>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Precisión en medicina general</w:t>
            </w:r>
          </w:p>
        </w:tc>
        <w:tc>
          <w:tcPr>
            <w:tcW w:type="dxa" w:w="33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De 59,1 % a ≥ 69 %</w:t>
            </w:r>
          </w:p>
        </w:tc>
        <w:tc>
          <w:tcPr>
            <w:tcW w:type="dxa" w:w="2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Vuelve rentable el servicio de mayor volumen</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Modelo específico por servicio de alto volumen</w:t>
            </w:r>
          </w:p>
        </w:tc>
      </w:tr>
      <w:tr>
        <w:trPr>
          <w:tblHeader w:val="false"/>
        </w:trPr>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Precisión en crónicos</w:t>
            </w:r>
          </w:p>
        </w:tc>
        <w:tc>
          <w:tcPr>
            <w:tcW w:type="dxa" w:w="33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De 45,0 % a ≥ 69 %</w:t>
            </w:r>
          </w:p>
        </w:tc>
        <w:tc>
          <w:tcPr>
            <w:tcW w:type="dxa" w:w="2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Vuelve rentable el segundo servicio en volumen</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Variables de adherencia al programa y fechas de ingreso a RCV</w:t>
            </w:r>
          </w:p>
        </w:tc>
      </w:tr>
      <w:tr>
        <w:trPr>
          <w:tblHeader w:val="false"/>
        </w:trPr>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Calidad de la etiqueta</w:t>
            </w:r>
          </w:p>
        </w:tc>
        <w:tc>
          <w:tcPr>
            <w:tcW w:type="dxa" w:w="33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Estado de la cita registrado en la agenda</w:t>
            </w:r>
          </w:p>
        </w:tc>
        <w:tc>
          <w:tcPr>
            <w:tcW w:type="dxa" w:w="2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Entrenar y medir con inasistencia real, no con un proxy</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Registro de cumplida, cancelada o reprogramada</w:t>
            </w:r>
          </w:p>
        </w:tc>
      </w:tr>
      <w:tr>
        <w:trPr>
          <w:tblHeader w:val="false"/>
        </w:trPr>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Variables con evidencia en la literatura</w:t>
            </w:r>
          </w:p>
        </w:tc>
        <w:tc>
          <w:tcPr>
            <w:tcW w:type="dxa" w:w="33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Distancia o zona, canal de agendamiento, recordatorio y confirmación previa (documento del problema, Tabla 3)</w:t>
            </w:r>
          </w:p>
        </w:tc>
        <w:tc>
          <w:tcPr>
            <w:tcW w:type="dxa" w:w="2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Mayor discriminación, en especial en pacientes sin historial (AUC 0,64)</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Integrar la dirección y el registro de recordatorios</w:t>
            </w:r>
          </w:p>
        </w:tc>
      </w:tr>
      <w:tr>
        <w:trPr>
          <w:tblHeader w:val="false"/>
        </w:trPr>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Historia más larga</w:t>
            </w:r>
          </w:p>
        </w:tc>
        <w:tc>
          <w:tcPr>
            <w:tcW w:type="dxa" w:w="33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 12 meses (pregunta SMART)</w:t>
            </w:r>
          </w:p>
        </w:tc>
        <w:tc>
          <w:tcPr>
            <w:tcW w:type="dxa" w:w="2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Estacionalidad y menos arranque en frío</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Acumular datos y reentrenar mensualmente</w:t>
            </w:r>
          </w:p>
        </w:tc>
      </w:tr>
      <w:tr>
        <w:trPr>
          <w:tblHeader w:val="false"/>
        </w:trPr>
        <w:tc>
          <w:tcPr>
            <w:tcW w:type="dxa" w:w="1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Entrenamiento sensible al valor</w:t>
            </w:r>
          </w:p>
        </w:tc>
        <w:tc>
          <w:tcPr>
            <w:tcW w:type="dxa" w:w="33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Priorizar en el entrenamiento las citas de alto valor</w:t>
            </w:r>
          </w:p>
        </w:tc>
        <w:tc>
          <w:tcPr>
            <w:tcW w:type="dxa" w:w="2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Alinear el modelo con el objetivo financiero</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Ponderar por valor del cupo o evaluar con precisión@k ponderada por valor</w:t>
            </w:r>
          </w:p>
        </w:tc>
      </w:tr>
    </w:tbl>
    <w:p>
      <w:pPr>
        <w:spacing w:after="120"/>
      </w:pPr>
    </w:p>
    <w:p>
      <w:r>
        <w:rPr>
          <w:rFonts w:ascii="Times New Roman" w:cs="Times New Roman" w:eastAsia="Times New Roman" w:hAnsi="Times New Roman"/>
          <w:b/>
          <w:bCs/>
        </w:rPr>
        <w:t xml:space="preserve">5. Palancas que no dependen del modelo (recomendación).</w:t>
      </w:r>
      <w:r>
        <w:rPr>
          <w:rFonts w:ascii="Times New Roman" w:cs="Times New Roman" w:eastAsia="Times New Roman" w:hAnsi="Times New Roman"/>
        </w:rPr>
        <w:t xml:space="preserve"> La sensibilidad muestra que </w:t>
      </w:r>
      <w:r>
        <w:rPr>
          <w:rFonts w:ascii="Times New Roman" w:cs="Times New Roman" w:eastAsia="Times New Roman" w:hAnsi="Times New Roman"/>
          <w:b/>
          <w:bCs/>
        </w:rPr>
        <w:t xml:space="preserve">el canal pesa tanto como la precisión</w:t>
      </w:r>
      <w:r>
        <w:rPr>
          <w:rFonts w:ascii="Times New Roman" w:cs="Times New Roman" w:eastAsia="Times New Roman" w:hAnsi="Times New Roman"/>
        </w:rPr>
        <w:t xml:space="preserve">:</w:t>
      </w:r>
    </w:p>
    <w:p>
      <w:pPr>
        <w:pStyle w:val="ListParagraph"/>
        <w:numPr>
          <w:ilvl w:val="0"/>
          <w:numId w:val="2"/>
        </w:numPr>
      </w:pPr>
      <w:r>
        <w:rPr>
          <w:rFonts w:ascii="Times New Roman" w:cs="Times New Roman" w:eastAsia="Times New Roman" w:hAnsi="Times New Roman"/>
        </w:rPr>
        <w:t xml:space="preserve">Con un costo por llamada de $1.000 (mensaje automático), el beneficio pasaría de $0,4 a $7,3 millones en 32 días.</w:t>
      </w:r>
    </w:p>
    <w:p>
      <w:pPr>
        <w:pStyle w:val="ListParagraph"/>
        <w:numPr>
          <w:ilvl w:val="0"/>
          <w:numId w:val="2"/>
        </w:numPr>
      </w:pPr>
      <w:r>
        <w:rPr>
          <w:rFonts w:ascii="Times New Roman" w:cs="Times New Roman" w:eastAsia="Times New Roman" w:hAnsi="Times New Roman"/>
        </w:rPr>
        <w:t xml:space="preserve">Si la efectividad fuera del 40 %, sería de $7,6 millones.</w:t>
      </w:r>
    </w:p>
    <w:p>
      <w:r>
        <w:rPr>
          <w:rFonts w:ascii="Times New Roman" w:cs="Times New Roman" w:eastAsia="Times New Roman" w:hAnsi="Times New Roman"/>
        </w:rPr>
        <w:t xml:space="preserve">Por eso se recomienda:</w:t>
      </w:r>
    </w:p>
    <w:p>
      <w:pPr>
        <w:pStyle w:val="ListParagraph"/>
        <w:numPr>
          <w:ilvl w:val="0"/>
          <w:numId w:val="2"/>
        </w:numPr>
      </w:pPr>
      <w:r>
        <w:rPr>
          <w:rFonts w:ascii="Times New Roman" w:cs="Times New Roman" w:eastAsia="Times New Roman" w:hAnsi="Times New Roman"/>
        </w:rPr>
        <w:t xml:space="preserve">una estrategia mixta: llamada personal solo para las citas con beneficio esperado positivo (~4–5 % diario, sobre todo especialistas, pediatría, ginecología y psiquiatría) y mensaje automático de bajo costo para el resto del riesgo alto;</w:t>
      </w:r>
    </w:p>
    <w:p>
      <w:pPr>
        <w:pStyle w:val="ListParagraph"/>
        <w:numPr>
          <w:ilvl w:val="0"/>
          <w:numId w:val="2"/>
        </w:numPr>
      </w:pPr>
      <w:r>
        <w:rPr>
          <w:rFonts w:ascii="Times New Roman" w:cs="Times New Roman" w:eastAsia="Times New Roman" w:hAnsi="Times New Roman"/>
        </w:rPr>
        <w:t xml:space="preserve">no usar llamadas personales en servicios con valor de cupo inferior al costo de la llamada dividido por la efectividad (por ejemplo, enfermería / PyP);</w:t>
      </w:r>
    </w:p>
    <w:p>
      <w:pPr>
        <w:pStyle w:val="ListParagraph"/>
        <w:numPr>
          <w:ilvl w:val="0"/>
          <w:numId w:val="2"/>
        </w:numPr>
      </w:pPr>
      <w:r>
        <w:rPr>
          <w:rFonts w:ascii="Times New Roman" w:cs="Times New Roman" w:eastAsia="Times New Roman" w:hAnsi="Times New Roman"/>
        </w:rPr>
        <w:t xml:space="preserve">medir la efectividad real y el valor recuperado en el piloto aleatorizado propuesto.</w:t>
      </w:r>
    </w:p>
    <w:p>
      <w:r>
        <w:rPr>
          <w:rFonts w:ascii="Times New Roman" w:cs="Times New Roman" w:eastAsia="Times New Roman" w:hAnsi="Times New Roman"/>
          <w:b/>
          <w:bCs/>
        </w:rPr>
        <w:t xml:space="preserve">6. Síntesis.</w:t>
      </w:r>
      <w:r>
        <w:rPr>
          <w:rFonts w:ascii="Times New Roman" w:cs="Times New Roman" w:eastAsia="Times New Roman" w:hAnsi="Times New Roman"/>
        </w:rPr>
        <w:t xml:space="preserve"> El modelo es </w:t>
      </w:r>
      <w:r>
        <w:rPr>
          <w:rFonts w:ascii="Times New Roman" w:cs="Times New Roman" w:eastAsia="Times New Roman" w:hAnsi="Times New Roman"/>
          <w:b/>
          <w:bCs/>
        </w:rPr>
        <w:t xml:space="preserve">necesario pero no suficiente</w:t>
      </w:r>
      <w:r>
        <w:rPr>
          <w:rFonts w:ascii="Times New Roman" w:cs="Times New Roman" w:eastAsia="Times New Roman" w:hAnsi="Times New Roman"/>
        </w:rPr>
        <w:t xml:space="preserve">. Frente al azar, mejora el resultado financiero en $6,5 millones en 32 días con un 10 % de capacidad. Sin embargo, con los valores de cupo registrados y llamadas de $2.500, la confirmación telefónica solo es rentable en un segmento pequeño y de alto valor. La mayor rentabilidad potencial vendrá de combinar tres cosas: </w:t>
      </w:r>
      <w:r>
        <w:rPr>
          <w:rFonts w:ascii="Times New Roman" w:cs="Times New Roman" w:eastAsia="Times New Roman" w:hAnsi="Times New Roman"/>
          <w:b/>
          <w:bCs/>
        </w:rPr>
        <w:t xml:space="preserve">un modelo más preciso (+10 pp)</w:t>
      </w:r>
      <w:r>
        <w:rPr>
          <w:rFonts w:ascii="Times New Roman" w:cs="Times New Roman" w:eastAsia="Times New Roman" w:hAnsi="Times New Roman"/>
        </w:rPr>
        <w:t xml:space="preserve">, </w:t>
      </w:r>
      <w:r>
        <w:rPr>
          <w:rFonts w:ascii="Times New Roman" w:cs="Times New Roman" w:eastAsia="Times New Roman" w:hAnsi="Times New Roman"/>
          <w:b/>
          <w:bCs/>
        </w:rPr>
        <w:t xml:space="preserve">un canal más barato</w:t>
      </w:r>
      <w:r>
        <w:rPr>
          <w:rFonts w:ascii="Times New Roman" w:cs="Times New Roman" w:eastAsia="Times New Roman" w:hAnsi="Times New Roman"/>
        </w:rPr>
        <w:t xml:space="preserve"> y </w:t>
      </w:r>
      <w:r>
        <w:rPr>
          <w:rFonts w:ascii="Times New Roman" w:cs="Times New Roman" w:eastAsia="Times New Roman" w:hAnsi="Times New Roman"/>
          <w:b/>
          <w:bCs/>
        </w:rPr>
        <w:t xml:space="preserve">una priorización por impacto financiero</w:t>
      </w:r>
      <w:r>
        <w:rPr>
          <w:rFonts w:ascii="Times New Roman" w:cs="Times New Roman" w:eastAsia="Times New Roman" w:hAnsi="Times New Roman"/>
        </w:rPr>
        <w:t xml:space="preserve">, validadas con un piloto que mida la efectividad real.</w:t>
      </w:r>
    </w:p>
    <w:p>
      <w:r>
        <w:br w:type="page"/>
      </w:r>
    </w:p>
    <w:p>
      <w:pPr>
        <w:pStyle w:val="Title"/>
      </w:pPr>
      <w:r>
        <w:rPr>
          <w:rFonts w:ascii="Times New Roman" w:cs="Times New Roman" w:eastAsia="Times New Roman" w:hAnsi="Times New Roman"/>
        </w:rPr>
        <w:t xml:space="preserve">Anexo A. Consistencia entre el documento del problema y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4"/>
        <w:gridCol w:w="1357"/>
        <w:gridCol w:w="3201"/>
        <w:gridCol w:w="3608"/>
      </w:tblGrid>
      <w:tr>
        <w:trPr>
          <w:tblHeader/>
        </w:trPr>
        <w:tc>
          <w:tcPr>
            <w:tcW w:type="dxa" w:w="1194"/>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Tema</w:t>
            </w:r>
          </w:p>
        </w:tc>
        <w:tc>
          <w:tcPr>
            <w:tcW w:type="dxa" w:w="1357"/>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Documento del problema (septiembre de 2026)</w:t>
            </w:r>
          </w:p>
        </w:tc>
        <w:tc>
          <w:tcPr>
            <w:tcW w:type="dxa" w:w="3201"/>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Proyecto con datos reales</w:t>
            </w:r>
          </w:p>
        </w:tc>
        <w:tc>
          <w:tcPr>
            <w:tcW w:type="dxa" w:w="360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9"/>
                <w:szCs w:val="19"/>
              </w:rPr>
              <w:t xml:space="preserve">Decisión</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Datos usados</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Base simulada mientras llegaba la información</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Datos reales de la IPS</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usan los datos reales (más recientes y explícitos)</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Formato</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Fuentes en CSV</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Archivos Excel (.xlsx)</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Diferencia de formato sin impacto en el análisis</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Horizonte histórico</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12 meses de datos (pregunta SMART)</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~8 meses con etiqueta (02-ene a 11-sep-2026)</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trabaja con lo disponible y se documenta como limitación</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Evento a predecir</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Inasistencia o cancelación tardía</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Solo inasistencia (proxy): no hay registro de cancelaciones</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predice la inasistencia; la cancelación tardía queda como mejora de datos</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Recall ≥ 75 %</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Meta de la pregunta SMART</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Recall@10 % = 18,4 %; ≥ 75 % solo marcando ~60 % de las citas diarias</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reporta el compromiso capacidad–recall; la meta depende del canal de intervención</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Reducción de 5 pp y efecto en la facturación</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Meta de la pregunta SMART</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 medible sin un piloto</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propone el piloto (7.2)</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Priorización por pérdida esperada</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Valor contratado más valor clínico</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Implementada en el notebook 07 con valores por servicio registrados por el equipo; el valor clínico no está disponible</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Valor clínico y tipo de contrato quedan como recomendación futura</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Desempeño típico en la literatura</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AUC entre 0,75 y 0,95 (Toffaha et al., 2025)</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AUC de 0,682</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Posibles causas (interpretación): etiqueta con ruido residual (cancelaciones), ausencia de distancia y recordatorios, horizonte corto</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Tasa de inasistencia de referencia</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~23 % global (Oikonomidi et al., 2023)</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31,9 % observado (proxy)</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La tasa observada puede incluir cancelaciones sin nueva cita</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Desbalance de clases</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La literatura usa SMOTE, submuestreo o ponderación</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 se balanceó: la ponderación infló las probabilidades sin mejorar el ordenamiento</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prioriza la calibración, necesaria para sobreagendar</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Polifarmacia</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"Por confirmar"</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Disponible (Medicamentos.xlsx)</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Incluida (n.º de medicamentos en 90 días)</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Hospitalización y cirugía</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"Por confirmar"</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 disponibles</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 incluidas; documentadas como limitación</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Zona de residencia</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"Por confirmar" (dirección)</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 disponible; se usa la sede como aproximación</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Documentado como limitación</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Tipo de cita "derivada"</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"Probable"</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Solo primera vez / control; "derivada" no existe como dato</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Se usa primera vez / control</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Reprogramación previa</w:t>
            </w:r>
          </w:p>
        </w:tc>
        <w:tc>
          <w:tcPr>
            <w:tcW w:type="dxa" w:w="13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Disponible; baja importancia en la literatura</w:t>
            </w:r>
          </w:p>
        </w:tc>
        <w:tc>
          <w:tcPr>
            <w:tcW w:type="dxa" w:w="32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Construida con una heurística; no mejoró el modelo</w:t>
            </w:r>
          </w:p>
        </w:tc>
        <w:tc>
          <w:tcPr>
            <w:tcW w:type="dxa" w:w="36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40"/>
            </w:pPr>
            <w:r>
              <w:rPr>
                <w:rFonts w:ascii="Times New Roman" w:cs="Times New Roman" w:eastAsia="Times New Roman" w:hAnsi="Times New Roman"/>
                <w:sz w:val="19"/>
                <w:szCs w:val="19"/>
              </w:rPr>
              <w:t xml:space="preserve">No entra como variable; se usa para depurar la etiqueta</w:t>
            </w:r>
          </w:p>
        </w:tc>
      </w:tr>
    </w:tbl>
    <w:p>
      <w:pPr>
        <w:spacing w:after="120"/>
      </w:pPr>
    </w:p>
    <w:p>
      <w:pPr>
        <w:pStyle w:val="Title"/>
      </w:pPr>
      <w:r>
        <w:rPr>
          <w:rFonts w:ascii="Times New Roman" w:cs="Times New Roman" w:eastAsia="Times New Roman" w:hAnsi="Times New Roman"/>
        </w:rPr>
        <w:t xml:space="preserve">Referencias</w:t>
      </w:r>
    </w:p>
    <w:p>
      <w:r>
        <w:rPr>
          <w:rFonts w:ascii="Times New Roman" w:cs="Times New Roman" w:eastAsia="Times New Roman" w:hAnsi="Times New Roman"/>
        </w:rPr>
        <w:t xml:space="preserve">Dunstan, J., Villena, F., Hoyos, J. P., Riquelme, V., Royer, M., Ramírez, H., &amp; Peypouquet, J. (2023). Predicting no-show appointments in a pediatric hospital in Chile using machine learning. </w:t>
      </w:r>
      <w:r>
        <w:rPr>
          <w:rFonts w:ascii="Times New Roman" w:cs="Times New Roman" w:eastAsia="Times New Roman" w:hAnsi="Times New Roman"/>
          <w:i/>
          <w:iCs/>
        </w:rPr>
        <w:t xml:space="preserve">Health Care Management Science, 26</w:t>
      </w:r>
      <w:r>
        <w:rPr>
          <w:rFonts w:ascii="Times New Roman" w:cs="Times New Roman" w:eastAsia="Times New Roman" w:hAnsi="Times New Roman"/>
        </w:rPr>
        <w:t xml:space="preserve">(2), 313-329. https://doi.org/10.1007/s10729-022-09626-z</w:t>
      </w:r>
    </w:p>
    <w:p>
      <w:r>
        <w:rPr>
          <w:rFonts w:ascii="Times New Roman" w:cs="Times New Roman" w:eastAsia="Times New Roman" w:hAnsi="Times New Roman"/>
        </w:rPr>
        <w:t xml:space="preserve">Ministerio de Salud y Protección Social. (2018). </w:t>
      </w:r>
      <w:r>
        <w:rPr>
          <w:rFonts w:ascii="Times New Roman" w:cs="Times New Roman" w:eastAsia="Times New Roman" w:hAnsi="Times New Roman"/>
          <w:i/>
          <w:iCs/>
        </w:rPr>
        <w:t xml:space="preserve">Resolución 3280 de 2018</w:t>
      </w:r>
      <w:r>
        <w:rPr>
          <w:rFonts w:ascii="Times New Roman" w:cs="Times New Roman" w:eastAsia="Times New Roman" w:hAnsi="Times New Roman"/>
        </w:rPr>
        <w:t xml:space="preserve"> (cursos de vida utilizados para agrupar la edad).</w:t>
      </w:r>
    </w:p>
    <w:p>
      <w:r>
        <w:rPr>
          <w:rFonts w:ascii="Times New Roman" w:cs="Times New Roman" w:eastAsia="Times New Roman" w:hAnsi="Times New Roman"/>
        </w:rPr>
        <w:t xml:space="preserve">Ocampo Osorio, F., Pedroza Gomez, S., Rebellón Sanchez, D. E., Ramirez Fernandez, R., Tabares-Soto, R., Bravo-Ortíz, M. A., &amp; Cruz Suarez, G. A. (2025). Predicting no-shows at outpatient appointments in internal medicine using machine learning models. </w:t>
      </w:r>
      <w:r>
        <w:rPr>
          <w:rFonts w:ascii="Times New Roman" w:cs="Times New Roman" w:eastAsia="Times New Roman" w:hAnsi="Times New Roman"/>
          <w:i/>
          <w:iCs/>
        </w:rPr>
        <w:t xml:space="preserve">PeerJ Computer Science, 11</w:t>
      </w:r>
      <w:r>
        <w:rPr>
          <w:rFonts w:ascii="Times New Roman" w:cs="Times New Roman" w:eastAsia="Times New Roman" w:hAnsi="Times New Roman"/>
        </w:rPr>
        <w:t xml:space="preserve">, e2762. https://doi.org/10.7717/peerj-cs.2762</w:t>
      </w:r>
    </w:p>
    <w:p>
      <w:r>
        <w:rPr>
          <w:rFonts w:ascii="Times New Roman" w:cs="Times New Roman" w:eastAsia="Times New Roman" w:hAnsi="Times New Roman"/>
        </w:rPr>
        <w:t xml:space="preserve">Oikonomidi, T., Norman, G., McGarrigle, L., Stokes, J., van der Veer, S. N., &amp; Dowding, D. (2023). Predictive model-based interventions to reduce outpatient no-shows: A rapid systematic review. </w:t>
      </w:r>
      <w:r>
        <w:rPr>
          <w:rFonts w:ascii="Times New Roman" w:cs="Times New Roman" w:eastAsia="Times New Roman" w:hAnsi="Times New Roman"/>
          <w:i/>
          <w:iCs/>
        </w:rPr>
        <w:t xml:space="preserve">Journal of the American Medical Informatics Association, 30</w:t>
      </w:r>
      <w:r>
        <w:rPr>
          <w:rFonts w:ascii="Times New Roman" w:cs="Times New Roman" w:eastAsia="Times New Roman" w:hAnsi="Times New Roman"/>
        </w:rPr>
        <w:t xml:space="preserve">(3), 559-569. https://doi.org/10.1093/jamia/ocac242</w:t>
      </w:r>
    </w:p>
    <w:p>
      <w:r>
        <w:rPr>
          <w:rFonts w:ascii="Times New Roman" w:cs="Times New Roman" w:eastAsia="Times New Roman" w:hAnsi="Times New Roman"/>
        </w:rPr>
        <w:t xml:space="preserve">Osorio Idárraga, S., Pérez, L., Ospina Pérez, W., Alarcón, J., De La Ossa, J., &amp; Dominguez Castaño, D. (2026). </w:t>
      </w:r>
      <w:r>
        <w:rPr>
          <w:rFonts w:ascii="Times New Roman" w:cs="Times New Roman" w:eastAsia="Times New Roman" w:hAnsi="Times New Roman"/>
          <w:i/>
          <w:iCs/>
        </w:rPr>
        <w:t xml:space="preserve">Descripción del problema e impacto: inasistencia a citas de consulta externa en Viva1A IPS</w:t>
      </w:r>
      <w:r>
        <w:rPr>
          <w:rFonts w:ascii="Times New Roman" w:cs="Times New Roman" w:eastAsia="Times New Roman" w:hAnsi="Times New Roman"/>
        </w:rPr>
        <w:t xml:space="preserve"> [Documento académico]. Universidad Icesi.</w:t>
      </w:r>
    </w:p>
    <w:p>
      <w:r>
        <w:rPr>
          <w:rFonts w:ascii="Times New Roman" w:cs="Times New Roman" w:eastAsia="Times New Roman" w:hAnsi="Times New Roman"/>
        </w:rPr>
        <w:t xml:space="preserve">Toffaha, K. M., Simsekler, M. C. E., Omar, M. A., &amp; ElKebbi, I. (2025). Predicting patient no-shows using machine learning: A comprehensive review and future research agenda. </w:t>
      </w:r>
      <w:r>
        <w:rPr>
          <w:rFonts w:ascii="Times New Roman" w:cs="Times New Roman" w:eastAsia="Times New Roman" w:hAnsi="Times New Roman"/>
          <w:i/>
          <w:iCs/>
        </w:rPr>
        <w:t xml:space="preserve">Intelligence-Based Medicine, 11</w:t>
      </w:r>
      <w:r>
        <w:rPr>
          <w:rFonts w:ascii="Times New Roman" w:cs="Times New Roman" w:eastAsia="Times New Roman" w:hAnsi="Times New Roman"/>
        </w:rPr>
        <w:t xml:space="preserve">, 100229. https://doi.org/10.1016/j.ibmed.2025.100229</w:t>
      </w:r>
    </w:p>
    <w:p>
      <w:r>
        <w:rPr>
          <w:rFonts w:ascii="Times New Roman" w:cs="Times New Roman" w:eastAsia="Times New Roman" w:hAnsi="Times New Roman"/>
        </w:rPr>
        <w:t xml:space="preserve">Valero-Bover, D., González, P., Carot-Sans, G., Cano, I., Saura, P., Otermin, P., Garcia, C., Gálvez, M., Lupiáñez-Villanueva, F., &amp; Piera-Jiménez, J. (2022). Reducing non-attendance in outpatient appointments: Predictive model development, validation, and clinical assessment. </w:t>
      </w:r>
      <w:r>
        <w:rPr>
          <w:rFonts w:ascii="Times New Roman" w:cs="Times New Roman" w:eastAsia="Times New Roman" w:hAnsi="Times New Roman"/>
          <w:i/>
          <w:iCs/>
        </w:rPr>
        <w:t xml:space="preserve">BMC Health Services Research, 22</w:t>
      </w:r>
      <w:r>
        <w:rPr>
          <w:rFonts w:ascii="Times New Roman" w:cs="Times New Roman" w:eastAsia="Times New Roman" w:hAnsi="Times New Roman"/>
        </w:rPr>
        <w:t xml:space="preserve">, 451. https://doi.org/10.1186/s12913-022-07865-y</w:t>
      </w:r>
    </w:p>
    <w:p>
      <w:r>
        <w:rPr>
          <w:rFonts w:ascii="Times New Roman" w:cs="Times New Roman" w:eastAsia="Times New Roman" w:hAnsi="Times New Roman"/>
        </w:rPr>
        <w:t xml:space="preserve">Viva1A IPS. (2024). </w:t>
      </w:r>
      <w:r>
        <w:rPr>
          <w:rFonts w:ascii="Times New Roman" w:cs="Times New Roman" w:eastAsia="Times New Roman" w:hAnsi="Times New Roman"/>
          <w:i/>
          <w:iCs/>
        </w:rPr>
        <w:t xml:space="preserve">Plan estratégico institucional Cultura 1A 2024-2028</w:t>
      </w:r>
      <w:r>
        <w:rPr>
          <w:rFonts w:ascii="Times New Roman" w:cs="Times New Roman" w:eastAsia="Times New Roman" w:hAnsi="Times New Roman"/>
        </w:rPr>
        <w:t xml:space="preserve"> [Documento interno].</w:t>
      </w:r>
    </w:p>
    <w:p>
      <w:r>
        <w:rPr>
          <w:rFonts w:ascii="Times New Roman" w:cs="Times New Roman" w:eastAsia="Times New Roman" w:hAnsi="Times New Roman"/>
        </w:rPr>
        <w:t xml:space="preserve">Viva1A IPS. (2026). </w:t>
      </w:r>
      <w:r>
        <w:rPr>
          <w:rFonts w:ascii="Times New Roman" w:cs="Times New Roman" w:eastAsia="Times New Roman" w:hAnsi="Times New Roman"/>
          <w:i/>
          <w:iCs/>
        </w:rPr>
        <w:t xml:space="preserve">Estados financieros auditados 2025</w:t>
      </w:r>
      <w:r>
        <w:rPr>
          <w:rFonts w:ascii="Times New Roman" w:cs="Times New Roman" w:eastAsia="Times New Roman" w:hAnsi="Times New Roman"/>
        </w:rPr>
        <w:t xml:space="preserve">. [Información no disponible en los datos proporcionados: enlace de consulta].</w:t>
      </w:r>
    </w:p>
    <w:p>
      <w:r>
        <w:rPr>
          <w:rFonts w:ascii="Times New Roman" w:cs="Times New Roman" w:eastAsia="Times New Roman" w:hAnsi="Times New Roman"/>
        </w:rPr>
        <w:t xml:space="preserve">Viva1A IPS. (2026). </w:t>
      </w:r>
      <w:r>
        <w:rPr>
          <w:rFonts w:ascii="Times New Roman" w:cs="Times New Roman" w:eastAsia="Times New Roman" w:hAnsi="Times New Roman"/>
          <w:i/>
          <w:iCs/>
        </w:rPr>
        <w:t xml:space="preserve">Archivos de agendamiento, RIPS, RCV, gestantes y medicamentos, enero–septiembre de 2026</w:t>
      </w:r>
      <w:r>
        <w:rPr>
          <w:rFonts w:ascii="Times New Roman" w:cs="Times New Roman" w:eastAsia="Times New Roman" w:hAnsi="Times New Roman"/>
        </w:rPr>
        <w:t xml:space="preserve"> [Datos institucionales entregados para el proyecto].</w:t>
      </w:r>
    </w:p>
    <w:p>
      <w:r>
        <w:rPr>
          <w:rFonts w:ascii="Times New Roman" w:cs="Times New Roman" w:eastAsia="Times New Roman" w:hAnsi="Times New Roman"/>
          <w:b/>
          <w:bCs/>
        </w:rPr>
        <w:t xml:space="preserve">Notebooks y código del proyecto:</w:t>
      </w:r>
      <w:r>
        <w:rPr>
          <w:rFonts w:ascii="Times New Roman" w:cs="Times New Roman" w:eastAsia="Times New Roman" w:hAnsi="Times New Roman"/>
        </w:rPr>
        <w:t xml:space="preserve"> 01_Auditoria_Etiqueta, 02_Construccion_Dataset, 03_EDA, 04_Metricas_y_Variables_v2, 05_Modelado, 06_Evaluacion_Final y 07_Costo_Efectividad_Llamadas (Jupyter); funciones_inasistencia.py, funciones_modelado.py, prediccion_diaria.py y app_streamlit.py; parámetros en modelos/config_negocio.json y modelos/costos_por_servicio.xlsx.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after="180" w:before="360"/>
      <w:jc w:val="left"/>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jc w:val="left"/>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after="100" w:before="180"/>
      <w:jc w:val="left"/>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5303e46d248a2a90c6b51e5fe0f5ac8962e922.png"/><Relationship Id="rId9" Type="http://schemas.openxmlformats.org/officeDocument/2006/relationships/image" Target="media/00e29575ebb7b4453bc8a46d7787c388f8173658.png"/><Relationship Id="rId10" Type="http://schemas.openxmlformats.org/officeDocument/2006/relationships/image" Target="media/822a2ad8512af96f7e9d9aaa2a3ac1425ac2026b.png"/><Relationship Id="rId11" Type="http://schemas.openxmlformats.org/officeDocument/2006/relationships/image" Target="media/fdcaff7e139e81b4c32ab5f9ce002aa76117e2fb.png"/><Relationship Id="rId12" Type="http://schemas.openxmlformats.org/officeDocument/2006/relationships/image" Target="media/7ae59913940300e96b54dd64e0ef64b4066cbdd5.png"/><Relationship Id="rId13" Type="http://schemas.openxmlformats.org/officeDocument/2006/relationships/image" Target="media/36981ef4eabd89e95540864e6a1998c0e897ec9d.png"/><Relationship Id="rId14" Type="http://schemas.openxmlformats.org/officeDocument/2006/relationships/image" Target="media/764eab27e115ba834be94b1911370b7575286643.png"/><Relationship Id="rId15" Type="http://schemas.openxmlformats.org/officeDocument/2006/relationships/image" Target="media/e1344cabeb922bdabef888e68831cb1c83150a15.png"/><Relationship Id="rId16" Type="http://schemas.openxmlformats.org/officeDocument/2006/relationships/image" Target="media/ddcd1b09d13b8c8f24f2b4451cc7f34f29310a4b.png"/><Relationship Id="rId17" Type="http://schemas.openxmlformats.org/officeDocument/2006/relationships/image" Target="media/ac6388979200652a7e9299559b1ec85d67d93d4e.png"/><Relationship Id="rId18" Type="http://schemas.openxmlformats.org/officeDocument/2006/relationships/image" Target="media/0b265c9fdb1b8f22620e92e9b5dfbedae3c8b2f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2026-09-27T15:30:26.928Z</dcterms:created>
  <dcterms:modified xsi:type="dcterms:W3CDTF">2026-09-27T15:30:26.930Z</dcterms:modified>
</cp:coreProperties>
</file>

<file path=docProps/custom.xml><?xml version="1.0" encoding="utf-8"?>
<Properties xmlns="http://schemas.openxmlformats.org/officeDocument/2006/custom-properties" xmlns:vt="http://schemas.openxmlformats.org/officeDocument/2006/docPropsVTypes"/>
</file>