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lineRule="exact" w:line="360" w:before="0" w:after="120"/>
        <w:jc w:val="center"/>
        <w:rPr/>
      </w:pPr>
      <w:r>
        <w:rPr>
          <w:rFonts w:eastAsia="Times New Roman" w:cs="Times New Roman"/>
          <w:b/>
          <w:bCs/>
          <w:sz w:val="24"/>
          <w:szCs w:val="24"/>
        </w:rPr>
        <w:t>UNIVERSIDAD AUTÓNOMA DE SANTO DOMINGO (UASD)</w:t>
      </w:r>
    </w:p>
    <w:p>
      <w:pPr>
        <w:pStyle w:val="Normal"/>
        <w:spacing w:lineRule="exact" w:line="360" w:before="0" w:after="800"/>
        <w:jc w:val="center"/>
        <w:rPr/>
      </w:pPr>
      <w:r>
        <w:rPr>
          <w:rFonts w:eastAsia="Times New Roman" w:cs="Times New Roman"/>
          <w:sz w:val="24"/>
          <w:szCs w:val="24"/>
        </w:rPr>
        <w:t>Facultad de Ciencias — Escuela de Informática</w:t>
      </w:r>
    </w:p>
    <w:p>
      <w:pPr>
        <w:pStyle w:val="Normal"/>
        <w:spacing w:lineRule="exact" w:line="360" w:before="0" w:after="120"/>
        <w:jc w:val="center"/>
        <w:rPr/>
      </w:pPr>
      <w:r>
        <w:rPr>
          <w:rFonts w:eastAsia="Times New Roman" w:cs="Times New Roman"/>
          <w:b/>
          <w:bCs/>
          <w:sz w:val="28"/>
          <w:szCs w:val="28"/>
        </w:rPr>
        <w:t>Documento de Requerimientos de Producto (PRD)</w:t>
      </w:r>
    </w:p>
    <w:p>
      <w:pPr>
        <w:pStyle w:val="Normal"/>
        <w:spacing w:lineRule="exact" w:line="360" w:before="0" w:after="40"/>
        <w:jc w:val="center"/>
        <w:rPr/>
      </w:pPr>
      <w:r>
        <w:rPr>
          <w:rFonts w:eastAsia="Times New Roman" w:cs="Times New Roman"/>
          <w:b/>
          <w:bCs/>
          <w:sz w:val="40"/>
          <w:szCs w:val="40"/>
        </w:rPr>
        <w:t>ARS VitaSalud</w:t>
      </w:r>
    </w:p>
    <w:p>
      <w:pPr>
        <w:pStyle w:val="Normal"/>
        <w:spacing w:lineRule="exact" w:line="360" w:before="0" w:after="120"/>
        <w:jc w:val="center"/>
        <w:rPr/>
      </w:pPr>
      <w:r>
        <w:rPr>
          <w:rFonts w:eastAsia="Times New Roman" w:cs="Times New Roman"/>
          <w:b/>
          <w:bCs/>
          <w:sz w:val="28"/>
          <w:szCs w:val="28"/>
        </w:rPr>
        <w:t>Sistema de Gestión Básica para una ARS</w:t>
      </w:r>
    </w:p>
    <w:p>
      <w:pPr>
        <w:pStyle w:val="Normal"/>
        <w:spacing w:before="0" w:after="800"/>
        <w:rPr/>
      </w:pPr>
      <w:r>
        <w:rPr/>
      </w:r>
    </w:p>
    <w:p>
      <w:pPr>
        <w:pStyle w:val="Normal"/>
        <w:spacing w:lineRule="exact" w:line="360" w:before="0" w:after="800"/>
        <w:jc w:val="center"/>
        <w:rPr/>
      </w:pPr>
      <w:r>
        <w:rPr>
          <w:rFonts w:eastAsia="Times New Roman" w:cs="Times New Roman"/>
          <w:sz w:val="24"/>
          <w:szCs w:val="24"/>
        </w:rPr>
        <w:t>Aplicación de escritorio en Java (JavaFX + MySQL)</w:t>
      </w:r>
    </w:p>
    <w:p>
      <w:pPr>
        <w:pStyle w:val="Normal"/>
        <w:spacing w:lineRule="exact" w:line="360" w:before="0" w:after="40"/>
        <w:jc w:val="left"/>
        <w:rPr/>
      </w:pPr>
      <w:r>
        <w:rPr>
          <w:rFonts w:eastAsia="Times New Roman" w:cs="Times New Roman"/>
          <w:b/>
          <w:bCs/>
          <w:sz w:val="24"/>
          <w:szCs w:val="24"/>
        </w:rPr>
        <w:t>Integrantes:</w:t>
      </w:r>
    </w:p>
    <w:p>
      <w:pPr>
        <w:pStyle w:val="Normal"/>
        <w:spacing w:lineRule="exact" w:line="360" w:before="0" w:after="40"/>
        <w:jc w:val="left"/>
        <w:rPr/>
      </w:pPr>
      <w:r>
        <w:rPr>
          <w:rFonts w:eastAsia="Times New Roman" w:cs="Times New Roman"/>
          <w:sz w:val="24"/>
          <w:szCs w:val="24"/>
        </w:rPr>
        <w:t>Williams Rafael Villavizar Hernández — 100579534</w:t>
      </w:r>
    </w:p>
    <w:p>
      <w:pPr>
        <w:pStyle w:val="Normal"/>
        <w:spacing w:lineRule="exact" w:line="360" w:before="0" w:after="40"/>
        <w:jc w:val="left"/>
        <w:rPr/>
      </w:pPr>
      <w:r>
        <w:rPr>
          <w:rFonts w:eastAsia="Times New Roman" w:cs="Times New Roman"/>
          <w:sz w:val="24"/>
          <w:szCs w:val="24"/>
        </w:rPr>
        <w:t>Liannelis Pérez Pérez — 100669102</w:t>
      </w:r>
    </w:p>
    <w:p>
      <w:pPr>
        <w:pStyle w:val="Normal"/>
        <w:spacing w:lineRule="exact" w:line="360" w:before="0" w:after="40"/>
        <w:jc w:val="left"/>
        <w:rPr/>
      </w:pPr>
      <w:r>
        <w:rPr>
          <w:rFonts w:eastAsia="Times New Roman" w:cs="Times New Roman"/>
          <w:sz w:val="24"/>
          <w:szCs w:val="24"/>
        </w:rPr>
        <w:t>Luis Miguel Magallanes — 100688452</w:t>
      </w:r>
    </w:p>
    <w:p>
      <w:pPr>
        <w:pStyle w:val="Normal"/>
        <w:spacing w:lineRule="exact" w:line="360" w:before="0" w:after="200"/>
        <w:jc w:val="left"/>
        <w:rPr/>
      </w:pPr>
      <w:r>
        <w:rPr>
          <w:rFonts w:eastAsia="Times New Roman" w:cs="Times New Roman"/>
          <w:sz w:val="24"/>
          <w:szCs w:val="24"/>
        </w:rPr>
        <w:t>Joel Marte — 100455411</w:t>
      </w:r>
    </w:p>
    <w:p>
      <w:pPr>
        <w:pStyle w:val="Normal"/>
        <w:spacing w:lineRule="exact" w:line="360" w:before="0" w:after="40"/>
        <w:jc w:val="left"/>
        <w:rPr/>
      </w:pPr>
      <w:r>
        <w:rPr>
          <w:rFonts w:eastAsia="Times New Roman" w:cs="Times New Roman"/>
          <w:b/>
          <w:bCs/>
          <w:sz w:val="24"/>
          <w:szCs w:val="24"/>
        </w:rPr>
        <w:t xml:space="preserve">Asignatura: </w:t>
      </w:r>
      <w:r>
        <w:rPr>
          <w:rFonts w:eastAsia="Times New Roman" w:cs="Times New Roman"/>
          <w:sz w:val="24"/>
          <w:szCs w:val="24"/>
        </w:rPr>
        <w:t>Lenguaje de Programación II</w:t>
      </w:r>
    </w:p>
    <w:p>
      <w:pPr>
        <w:pStyle w:val="Normal"/>
        <w:spacing w:lineRule="exact" w:line="360" w:before="0" w:after="40"/>
        <w:jc w:val="left"/>
        <w:rPr/>
      </w:pPr>
      <w:r>
        <w:rPr>
          <w:rFonts w:eastAsia="Times New Roman" w:cs="Times New Roman"/>
          <w:b/>
          <w:bCs/>
          <w:sz w:val="24"/>
          <w:szCs w:val="24"/>
        </w:rPr>
        <w:t xml:space="preserve">Facilitador(a): </w:t>
      </w:r>
      <w:r>
        <w:rPr>
          <w:rFonts w:eastAsia="Times New Roman" w:cs="Times New Roman"/>
          <w:sz w:val="24"/>
          <w:szCs w:val="24"/>
        </w:rPr>
        <w:t>José Manuel Amado</w:t>
      </w:r>
    </w:p>
    <w:p>
      <w:pPr>
        <w:pStyle w:val="Normal"/>
        <w:spacing w:lineRule="exact" w:line="360" w:before="0" w:after="40"/>
        <w:jc w:val="left"/>
        <w:rPr/>
      </w:pPr>
      <w:r>
        <w:rPr>
          <w:rFonts w:eastAsia="Times New Roman" w:cs="Times New Roman"/>
          <w:b/>
          <w:bCs/>
          <w:sz w:val="24"/>
          <w:szCs w:val="24"/>
        </w:rPr>
        <w:t xml:space="preserve">Fecha: </w:t>
      </w:r>
      <w:r>
        <w:rPr>
          <w:rFonts w:eastAsia="Times New Roman" w:cs="Times New Roman"/>
          <w:sz w:val="24"/>
          <w:szCs w:val="24"/>
        </w:rPr>
        <w:t>7 de octubre de 2026</w:t>
      </w:r>
    </w:p>
    <w:p>
      <w:pPr>
        <w:pStyle w:val="Normal"/>
        <w:spacing w:lineRule="exact" w:line="360" w:before="0" w:after="40"/>
        <w:jc w:val="left"/>
        <w:rPr/>
      </w:pPr>
      <w:r>
        <w:rPr>
          <w:rFonts w:eastAsia="Times New Roman" w:cs="Times New Roman"/>
          <w:b/>
          <w:bCs/>
          <w:sz w:val="24"/>
          <w:szCs w:val="24"/>
        </w:rPr>
        <w:t xml:space="preserve">Versión: </w:t>
      </w:r>
      <w:r>
        <w:rPr>
          <w:rFonts w:eastAsia="Times New Roman" w:cs="Times New Roman"/>
          <w:sz w:val="24"/>
          <w:szCs w:val="24"/>
        </w:rPr>
        <w:t>1.7 — Borrador (Draft)</w:t>
      </w:r>
    </w:p>
    <w:p>
      <w:pPr>
        <w:pStyle w:val="Normal"/>
        <w:rPr/>
      </w:pPr>
      <w:r>
        <w:rPr/>
      </w:r>
      <w:r>
        <w:br w:type="page"/>
      </w:r>
    </w:p>
    <w:p>
      <w:pPr>
        <w:pStyle w:val="Normal"/>
        <w:spacing w:lineRule="exact" w:line="360" w:before="0" w:after="120"/>
        <w:jc w:val="center"/>
        <w:rPr/>
      </w:pPr>
      <w:r>
        <w:rPr>
          <w:rFonts w:eastAsia="Times New Roman" w:cs="Times New Roman"/>
          <w:b/>
          <w:bCs/>
          <w:sz w:val="28"/>
          <w:szCs w:val="28"/>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635_1228540938">
            <w:r>
              <w:rPr>
                <w:rStyle w:val="IndexLink"/>
              </w:rPr>
              <w:t>1. Ficha del documento</w:t>
              <w:tab/>
              <w:t>4</w:t>
            </w:r>
          </w:hyperlink>
        </w:p>
        <w:p>
          <w:pPr>
            <w:pStyle w:val="TOC2"/>
            <w:tabs>
              <w:tab w:val="clear" w:pos="9077"/>
              <w:tab w:val="right" w:pos="9359" w:leader="dot"/>
            </w:tabs>
            <w:rPr/>
          </w:pPr>
          <w:hyperlink w:anchor="__RefHeading___Toc2637_1228540938">
            <w:r>
              <w:rPr>
                <w:rStyle w:val="IndexLink"/>
              </w:rPr>
              <w:t>1.1 Historial de versiones</w:t>
              <w:tab/>
              <w:t>4</w:t>
            </w:r>
          </w:hyperlink>
        </w:p>
        <w:p>
          <w:pPr>
            <w:pStyle w:val="TOC1"/>
            <w:tabs>
              <w:tab w:val="clear" w:pos="9360"/>
              <w:tab w:val="right" w:pos="9359" w:leader="dot"/>
            </w:tabs>
            <w:rPr/>
          </w:pPr>
          <w:hyperlink w:anchor="__RefHeading___Toc2639_1228540938">
            <w:r>
              <w:rPr>
                <w:rStyle w:val="IndexLink"/>
              </w:rPr>
              <w:t>2. Resumen ejecutivo</w:t>
              <w:tab/>
              <w:t>5</w:t>
            </w:r>
          </w:hyperlink>
        </w:p>
        <w:p>
          <w:pPr>
            <w:pStyle w:val="TOC1"/>
            <w:tabs>
              <w:tab w:val="clear" w:pos="9360"/>
              <w:tab w:val="right" w:pos="9359" w:leader="dot"/>
            </w:tabs>
            <w:rPr/>
          </w:pPr>
          <w:hyperlink w:anchor="__RefHeading___Toc2641_1228540938">
            <w:r>
              <w:rPr>
                <w:rStyle w:val="IndexLink"/>
              </w:rPr>
              <w:t>3. Problema y contexto</w:t>
              <w:tab/>
              <w:t>5</w:t>
            </w:r>
          </w:hyperlink>
        </w:p>
        <w:p>
          <w:pPr>
            <w:pStyle w:val="TOC2"/>
            <w:tabs>
              <w:tab w:val="clear" w:pos="9077"/>
              <w:tab w:val="right" w:pos="9359" w:leader="dot"/>
            </w:tabs>
            <w:rPr/>
          </w:pPr>
          <w:hyperlink w:anchor="__RefHeading___Toc2643_1228540938">
            <w:r>
              <w:rPr>
                <w:rStyle w:val="IndexLink"/>
              </w:rPr>
              <w:t>3.1 Contexto del sector</w:t>
              <w:tab/>
              <w:t>5</w:t>
            </w:r>
          </w:hyperlink>
        </w:p>
        <w:p>
          <w:pPr>
            <w:pStyle w:val="TOC2"/>
            <w:tabs>
              <w:tab w:val="clear" w:pos="9077"/>
              <w:tab w:val="right" w:pos="9359" w:leader="dot"/>
            </w:tabs>
            <w:rPr/>
          </w:pPr>
          <w:hyperlink w:anchor="__RefHeading___Toc2645_1228540938">
            <w:r>
              <w:rPr>
                <w:rStyle w:val="IndexLink"/>
              </w:rPr>
              <w:t>3.2 Problema</w:t>
              <w:tab/>
              <w:t>6</w:t>
            </w:r>
          </w:hyperlink>
        </w:p>
        <w:p>
          <w:pPr>
            <w:pStyle w:val="TOC2"/>
            <w:tabs>
              <w:tab w:val="clear" w:pos="9077"/>
              <w:tab w:val="right" w:pos="9359" w:leader="dot"/>
            </w:tabs>
            <w:rPr/>
          </w:pPr>
          <w:hyperlink w:anchor="__RefHeading___Toc2647_1228540938">
            <w:r>
              <w:rPr>
                <w:rStyle w:val="IndexLink"/>
              </w:rPr>
              <w:t>3.3 ¿Por qué ahora?</w:t>
              <w:tab/>
              <w:t>6</w:t>
            </w:r>
          </w:hyperlink>
        </w:p>
        <w:p>
          <w:pPr>
            <w:pStyle w:val="TOC1"/>
            <w:tabs>
              <w:tab w:val="clear" w:pos="9360"/>
              <w:tab w:val="right" w:pos="9359" w:leader="dot"/>
            </w:tabs>
            <w:rPr/>
          </w:pPr>
          <w:hyperlink w:anchor="__RefHeading___Toc2649_1228540938">
            <w:r>
              <w:rPr>
                <w:rStyle w:val="IndexLink"/>
              </w:rPr>
              <w:t>4. Objetivos y no-objetivos</w:t>
              <w:tab/>
              <w:t>7</w:t>
            </w:r>
          </w:hyperlink>
        </w:p>
        <w:p>
          <w:pPr>
            <w:pStyle w:val="TOC2"/>
            <w:tabs>
              <w:tab w:val="clear" w:pos="9077"/>
              <w:tab w:val="right" w:pos="9359" w:leader="dot"/>
            </w:tabs>
            <w:rPr/>
          </w:pPr>
          <w:hyperlink w:anchor="__RefHeading___Toc2651_1228540938">
            <w:r>
              <w:rPr>
                <w:rStyle w:val="IndexLink"/>
              </w:rPr>
              <w:t>4.1 Objetivos (Goals)</w:t>
              <w:tab/>
              <w:t>7</w:t>
            </w:r>
          </w:hyperlink>
        </w:p>
        <w:p>
          <w:pPr>
            <w:pStyle w:val="TOC2"/>
            <w:tabs>
              <w:tab w:val="clear" w:pos="9077"/>
              <w:tab w:val="right" w:pos="9359" w:leader="dot"/>
            </w:tabs>
            <w:rPr/>
          </w:pPr>
          <w:hyperlink w:anchor="__RefHeading___Toc2653_1228540938">
            <w:r>
              <w:rPr>
                <w:rStyle w:val="IndexLink"/>
              </w:rPr>
              <w:t>4.2 No-objetivos (Non-Goals) de esta versión</w:t>
              <w:tab/>
              <w:t>7</w:t>
            </w:r>
          </w:hyperlink>
        </w:p>
        <w:p>
          <w:pPr>
            <w:pStyle w:val="TOC1"/>
            <w:tabs>
              <w:tab w:val="clear" w:pos="9360"/>
              <w:tab w:val="right" w:pos="9359" w:leader="dot"/>
            </w:tabs>
            <w:rPr/>
          </w:pPr>
          <w:hyperlink w:anchor="__RefHeading___Toc2655_1228540938">
            <w:r>
              <w:rPr>
                <w:rStyle w:val="IndexLink"/>
              </w:rPr>
              <w:t>5. Usuarios, perfiles y roles</w:t>
              <w:tab/>
              <w:t>8</w:t>
            </w:r>
          </w:hyperlink>
        </w:p>
        <w:p>
          <w:pPr>
            <w:pStyle w:val="TOC2"/>
            <w:tabs>
              <w:tab w:val="clear" w:pos="9077"/>
              <w:tab w:val="right" w:pos="9359" w:leader="dot"/>
            </w:tabs>
            <w:rPr/>
          </w:pPr>
          <w:hyperlink w:anchor="__RefHeading___Toc2657_1228540938">
            <w:r>
              <w:rPr>
                <w:rStyle w:val="IndexLink"/>
              </w:rPr>
              <w:t>5.1 Casos de uso principales</w:t>
              <w:tab/>
              <w:t>8</w:t>
            </w:r>
          </w:hyperlink>
        </w:p>
        <w:p>
          <w:pPr>
            <w:pStyle w:val="TOC1"/>
            <w:tabs>
              <w:tab w:val="clear" w:pos="9360"/>
              <w:tab w:val="right" w:pos="9359" w:leader="dot"/>
            </w:tabs>
            <w:rPr/>
          </w:pPr>
          <w:hyperlink w:anchor="__RefHeading___Toc2659_1228540938">
            <w:r>
              <w:rPr>
                <w:rStyle w:val="IndexLink"/>
              </w:rPr>
              <w:t>6. Requerimientos funcionales</w:t>
              <w:tab/>
              <w:t>9</w:t>
            </w:r>
          </w:hyperlink>
        </w:p>
        <w:p>
          <w:pPr>
            <w:pStyle w:val="TOC2"/>
            <w:tabs>
              <w:tab w:val="clear" w:pos="9077"/>
              <w:tab w:val="right" w:pos="9359" w:leader="dot"/>
            </w:tabs>
            <w:rPr/>
          </w:pPr>
          <w:hyperlink w:anchor="__RefHeading___Toc2661_1228540938">
            <w:r>
              <w:rPr>
                <w:rStyle w:val="IndexLink"/>
              </w:rPr>
              <w:t>6.1 Seguridad, núcleo y navegación (SEG)</w:t>
              <w:tab/>
              <w:t>9</w:t>
            </w:r>
          </w:hyperlink>
        </w:p>
        <w:p>
          <w:pPr>
            <w:pStyle w:val="TOC2"/>
            <w:tabs>
              <w:tab w:val="clear" w:pos="9077"/>
              <w:tab w:val="right" w:pos="9359" w:leader="dot"/>
            </w:tabs>
            <w:rPr/>
          </w:pPr>
          <w:hyperlink w:anchor="__RefHeading___Toc2663_1228540938">
            <w:r>
              <w:rPr>
                <w:rStyle w:val="IndexLink"/>
              </w:rPr>
              <w:t>6.2 Afiliados y dependientes (AFI)</w:t>
              <w:tab/>
              <w:t>10</w:t>
            </w:r>
          </w:hyperlink>
        </w:p>
        <w:p>
          <w:pPr>
            <w:pStyle w:val="TOC2"/>
            <w:tabs>
              <w:tab w:val="clear" w:pos="9077"/>
              <w:tab w:val="right" w:pos="9359" w:leader="dot"/>
            </w:tabs>
            <w:rPr/>
          </w:pPr>
          <w:hyperlink w:anchor="__RefHeading___Toc2665_1228540938">
            <w:r>
              <w:rPr>
                <w:rStyle w:val="IndexLink"/>
              </w:rPr>
              <w:t>6.3 Red de prestadores (PSS)</w:t>
              <w:tab/>
              <w:t>11</w:t>
            </w:r>
          </w:hyperlink>
        </w:p>
        <w:p>
          <w:pPr>
            <w:pStyle w:val="TOC2"/>
            <w:tabs>
              <w:tab w:val="clear" w:pos="9077"/>
              <w:tab w:val="right" w:pos="9359" w:leader="dot"/>
            </w:tabs>
            <w:rPr/>
          </w:pPr>
          <w:hyperlink w:anchor="__RefHeading___Toc2667_1228540938">
            <w:r>
              <w:rPr>
                <w:rStyle w:val="IndexLink"/>
              </w:rPr>
              <w:t>6.4 Planes, coberturas y servicios (PLA)</w:t>
              <w:tab/>
              <w:t>11</w:t>
            </w:r>
          </w:hyperlink>
        </w:p>
        <w:p>
          <w:pPr>
            <w:pStyle w:val="TOC2"/>
            <w:tabs>
              <w:tab w:val="clear" w:pos="9077"/>
              <w:tab w:val="right" w:pos="9359" w:leader="dot"/>
            </w:tabs>
            <w:rPr/>
          </w:pPr>
          <w:hyperlink w:anchor="__RefHeading___Toc2669_1228540938">
            <w:r>
              <w:rPr>
                <w:rStyle w:val="IndexLink"/>
              </w:rPr>
              <w:t>6.5 Autorizaciones (AUT)</w:t>
              <w:tab/>
              <w:t>11</w:t>
            </w:r>
          </w:hyperlink>
        </w:p>
        <w:p>
          <w:pPr>
            <w:pStyle w:val="TOC2"/>
            <w:tabs>
              <w:tab w:val="clear" w:pos="9077"/>
              <w:tab w:val="right" w:pos="9359" w:leader="dot"/>
            </w:tabs>
            <w:rPr/>
          </w:pPr>
          <w:hyperlink w:anchor="__RefHeading___Toc2671_1228540938">
            <w:r>
              <w:rPr>
                <w:rStyle w:val="IndexLink"/>
              </w:rPr>
              <w:t>6.6 Portal del prestador (PRE)</w:t>
              <w:tab/>
              <w:t>12</w:t>
            </w:r>
          </w:hyperlink>
        </w:p>
        <w:p>
          <w:pPr>
            <w:pStyle w:val="TOC2"/>
            <w:tabs>
              <w:tab w:val="clear" w:pos="9077"/>
              <w:tab w:val="right" w:pos="9359" w:leader="dot"/>
            </w:tabs>
            <w:rPr/>
          </w:pPr>
          <w:hyperlink w:anchor="__RefHeading___Toc2673_1228540938">
            <w:r>
              <w:rPr>
                <w:rStyle w:val="IndexLink"/>
              </w:rPr>
              <w:t>6.7 Reclamaciones (REC)</w:t>
              <w:tab/>
              <w:t>13</w:t>
            </w:r>
          </w:hyperlink>
        </w:p>
        <w:p>
          <w:pPr>
            <w:pStyle w:val="TOC2"/>
            <w:tabs>
              <w:tab w:val="clear" w:pos="9077"/>
              <w:tab w:val="right" w:pos="9359" w:leader="dot"/>
            </w:tabs>
            <w:rPr/>
          </w:pPr>
          <w:hyperlink w:anchor="__RefHeading___Toc2675_1228540938">
            <w:r>
              <w:rPr>
                <w:rStyle w:val="IndexLink"/>
              </w:rPr>
              <w:t>6.8 Panel y reportes internos (REP)</w:t>
              <w:tab/>
              <w:t>13</w:t>
            </w:r>
          </w:hyperlink>
        </w:p>
        <w:p>
          <w:pPr>
            <w:pStyle w:val="TOC1"/>
            <w:tabs>
              <w:tab w:val="clear" w:pos="9360"/>
              <w:tab w:val="right" w:pos="9359" w:leader="dot"/>
            </w:tabs>
            <w:rPr/>
          </w:pPr>
          <w:hyperlink w:anchor="__RefHeading___Toc2677_1228540938">
            <w:r>
              <w:rPr>
                <w:rStyle w:val="IndexLink"/>
              </w:rPr>
              <w:t>7. Reglas de negocio</w:t>
              <w:tab/>
              <w:t>14</w:t>
            </w:r>
          </w:hyperlink>
        </w:p>
        <w:p>
          <w:pPr>
            <w:pStyle w:val="TOC1"/>
            <w:tabs>
              <w:tab w:val="clear" w:pos="9360"/>
              <w:tab w:val="right" w:pos="9359" w:leader="dot"/>
            </w:tabs>
            <w:rPr/>
          </w:pPr>
          <w:hyperlink w:anchor="__RefHeading___Toc2679_1228540938">
            <w:r>
              <w:rPr>
                <w:rStyle w:val="IndexLink"/>
              </w:rPr>
              <w:t>8. Requerimientos no funcionales</w:t>
              <w:tab/>
              <w:t>15</w:t>
            </w:r>
          </w:hyperlink>
        </w:p>
        <w:p>
          <w:pPr>
            <w:pStyle w:val="TOC1"/>
            <w:tabs>
              <w:tab w:val="clear" w:pos="9360"/>
              <w:tab w:val="right" w:pos="9359" w:leader="dot"/>
            </w:tabs>
            <w:rPr/>
          </w:pPr>
          <w:hyperlink w:anchor="__RefHeading___Toc2681_1228540938">
            <w:r>
              <w:rPr>
                <w:rStyle w:val="IndexLink"/>
              </w:rPr>
              <w:t>9. Arquitectura técnica y stack</w:t>
              <w:tab/>
              <w:t>15</w:t>
            </w:r>
          </w:hyperlink>
        </w:p>
        <w:p>
          <w:pPr>
            <w:pStyle w:val="TOC2"/>
            <w:tabs>
              <w:tab w:val="clear" w:pos="9077"/>
              <w:tab w:val="right" w:pos="9359" w:leader="dot"/>
            </w:tabs>
            <w:rPr/>
          </w:pPr>
          <w:hyperlink w:anchor="__RefHeading___Toc2683_1228540938">
            <w:r>
              <w:rPr>
                <w:rStyle w:val="IndexLink"/>
              </w:rPr>
              <w:t>9.1 Stack seleccionado</w:t>
              <w:tab/>
              <w:t>15</w:t>
            </w:r>
          </w:hyperlink>
        </w:p>
        <w:p>
          <w:pPr>
            <w:pStyle w:val="TOC2"/>
            <w:tabs>
              <w:tab w:val="clear" w:pos="9077"/>
              <w:tab w:val="right" w:pos="9359" w:leader="dot"/>
            </w:tabs>
            <w:rPr/>
          </w:pPr>
          <w:hyperlink w:anchor="__RefHeading___Toc2685_1228540938">
            <w:r>
              <w:rPr>
                <w:rStyle w:val="IndexLink"/>
              </w:rPr>
              <w:t>9.2 Arquitectura en capas</w:t>
              <w:tab/>
              <w:t>16</w:t>
            </w:r>
          </w:hyperlink>
        </w:p>
        <w:p>
          <w:pPr>
            <w:pStyle w:val="TOC2"/>
            <w:tabs>
              <w:tab w:val="clear" w:pos="9077"/>
              <w:tab w:val="right" w:pos="9359" w:leader="dot"/>
            </w:tabs>
            <w:rPr/>
          </w:pPr>
          <w:hyperlink w:anchor="__RefHeading___Toc2687_1228540938">
            <w:r>
              <w:rPr>
                <w:rStyle w:val="IndexLink"/>
              </w:rPr>
              <w:t>9.3 Estructura de paquetes propuesta</w:t>
              <w:tab/>
              <w:t>16</w:t>
            </w:r>
          </w:hyperlink>
        </w:p>
        <w:p>
          <w:pPr>
            <w:pStyle w:val="TOC2"/>
            <w:tabs>
              <w:tab w:val="clear" w:pos="9077"/>
              <w:tab w:val="right" w:pos="9359" w:leader="dot"/>
            </w:tabs>
            <w:rPr/>
          </w:pPr>
          <w:hyperlink w:anchor="__RefHeading___Toc2689_1228540938">
            <w:r>
              <w:rPr>
                <w:rStyle w:val="IndexLink"/>
              </w:rPr>
              <w:t>9.4 Modelo de datos</w:t>
              <w:tab/>
              <w:t>17</w:t>
            </w:r>
          </w:hyperlink>
        </w:p>
        <w:p>
          <w:pPr>
            <w:pStyle w:val="TOC1"/>
            <w:tabs>
              <w:tab w:val="clear" w:pos="9360"/>
              <w:tab w:val="right" w:pos="9359" w:leader="dot"/>
            </w:tabs>
            <w:rPr/>
          </w:pPr>
          <w:hyperlink w:anchor="__RefHeading___Toc2691_1228540938">
            <w:r>
              <w:rPr>
                <w:rStyle w:val="IndexLink"/>
              </w:rPr>
              <w:t>10. División del trabajo por integrante</w:t>
              <w:tab/>
              <w:t>18</w:t>
            </w:r>
          </w:hyperlink>
        </w:p>
        <w:p>
          <w:pPr>
            <w:pStyle w:val="TOC2"/>
            <w:tabs>
              <w:tab w:val="clear" w:pos="9077"/>
              <w:tab w:val="right" w:pos="9359" w:leader="dot"/>
            </w:tabs>
            <w:rPr/>
          </w:pPr>
          <w:hyperlink w:anchor="__RefHeading___Toc2693_1228540938">
            <w:r>
              <w:rPr>
                <w:rStyle w:val="IndexLink"/>
              </w:rPr>
              <w:t>10.1 Acuerdos del equipo (día 1)</w:t>
              <w:tab/>
              <w:t>19</w:t>
            </w:r>
          </w:hyperlink>
        </w:p>
        <w:p>
          <w:pPr>
            <w:pStyle w:val="TOC2"/>
            <w:tabs>
              <w:tab w:val="clear" w:pos="9077"/>
              <w:tab w:val="right" w:pos="9359" w:leader="dot"/>
            </w:tabs>
            <w:rPr/>
          </w:pPr>
          <w:hyperlink w:anchor="__RefHeading___Toc2695_1228540938">
            <w:r>
              <w:rPr>
                <w:rStyle w:val="IndexLink"/>
              </w:rPr>
              <w:t>10.2 Asignación detallada por persona</w:t>
              <w:tab/>
              <w:t>19</w:t>
            </w:r>
          </w:hyperlink>
        </w:p>
        <w:p>
          <w:pPr>
            <w:pStyle w:val="TOC1"/>
            <w:tabs>
              <w:tab w:val="clear" w:pos="9360"/>
              <w:tab w:val="right" w:pos="9359" w:leader="dot"/>
            </w:tabs>
            <w:rPr/>
          </w:pPr>
          <w:hyperlink w:anchor="__RefHeading___Toc2697_1228540938">
            <w:r>
              <w:rPr>
                <w:rStyle w:val="IndexLink"/>
              </w:rPr>
              <w:t>11. Sistema de diseño y experiencia de usuario</w:t>
              <w:tab/>
              <w:t>22</w:t>
            </w:r>
          </w:hyperlink>
        </w:p>
        <w:p>
          <w:pPr>
            <w:pStyle w:val="TOC2"/>
            <w:tabs>
              <w:tab w:val="clear" w:pos="9077"/>
              <w:tab w:val="right" w:pos="9359" w:leader="dot"/>
            </w:tabs>
            <w:rPr/>
          </w:pPr>
          <w:hyperlink w:anchor="__RefHeading___Toc2699_1228540938">
            <w:r>
              <w:rPr>
                <w:rStyle w:val="IndexLink"/>
              </w:rPr>
              <w:t>11.1 Identidad de marca</w:t>
              <w:tab/>
              <w:t>22</w:t>
            </w:r>
          </w:hyperlink>
        </w:p>
        <w:p>
          <w:pPr>
            <w:pStyle w:val="TOC2"/>
            <w:tabs>
              <w:tab w:val="clear" w:pos="9077"/>
              <w:tab w:val="right" w:pos="9359" w:leader="dot"/>
            </w:tabs>
            <w:rPr/>
          </w:pPr>
          <w:hyperlink w:anchor="__RefHeading___Toc2701_1228540938">
            <w:r>
              <w:rPr>
                <w:rStyle w:val="IndexLink"/>
              </w:rPr>
              <w:t>11.2 Paleta de colores</w:t>
              <w:tab/>
              <w:t>23</w:t>
            </w:r>
          </w:hyperlink>
        </w:p>
        <w:p>
          <w:pPr>
            <w:pStyle w:val="TOC2"/>
            <w:tabs>
              <w:tab w:val="clear" w:pos="9077"/>
              <w:tab w:val="right" w:pos="9359" w:leader="dot"/>
            </w:tabs>
            <w:rPr/>
          </w:pPr>
          <w:hyperlink w:anchor="__RefHeading___Toc2703_1228540938">
            <w:r>
              <w:rPr>
                <w:rStyle w:val="IndexLink"/>
              </w:rPr>
              <w:t>11.3 Tipografía</w:t>
              <w:tab/>
              <w:t>23</w:t>
            </w:r>
          </w:hyperlink>
        </w:p>
        <w:p>
          <w:pPr>
            <w:pStyle w:val="TOC2"/>
            <w:tabs>
              <w:tab w:val="clear" w:pos="9077"/>
              <w:tab w:val="right" w:pos="9359" w:leader="dot"/>
            </w:tabs>
            <w:rPr/>
          </w:pPr>
          <w:hyperlink w:anchor="__RefHeading___Toc2705_1228540938">
            <w:r>
              <w:rPr>
                <w:rStyle w:val="IndexLink"/>
              </w:rPr>
              <w:t>11.4 Estructura de pantallas</w:t>
              <w:tab/>
              <w:t>24</w:t>
            </w:r>
          </w:hyperlink>
        </w:p>
        <w:p>
          <w:pPr>
            <w:pStyle w:val="TOC2"/>
            <w:tabs>
              <w:tab w:val="clear" w:pos="9077"/>
              <w:tab w:val="right" w:pos="9359" w:leader="dot"/>
            </w:tabs>
            <w:rPr/>
          </w:pPr>
          <w:hyperlink w:anchor="__RefHeading___Toc2707_1228540938">
            <w:r>
              <w:rPr>
                <w:rStyle w:val="IndexLink"/>
              </w:rPr>
              <w:t>11.5 Traducción a JavaFX</w:t>
              <w:tab/>
              <w:t>24</w:t>
            </w:r>
          </w:hyperlink>
        </w:p>
        <w:p>
          <w:pPr>
            <w:pStyle w:val="TOC2"/>
            <w:tabs>
              <w:tab w:val="clear" w:pos="9077"/>
              <w:tab w:val="right" w:pos="9359" w:leader="dot"/>
            </w:tabs>
            <w:rPr/>
          </w:pPr>
          <w:hyperlink w:anchor="__RefHeading___Toc2709_1228540938">
            <w:r>
              <w:rPr>
                <w:rStyle w:val="IndexLink"/>
              </w:rPr>
              <w:t>11.6 Flujos clave</w:t>
              <w:tab/>
              <w:t>26</w:t>
            </w:r>
          </w:hyperlink>
        </w:p>
        <w:p>
          <w:pPr>
            <w:pStyle w:val="TOC2"/>
            <w:tabs>
              <w:tab w:val="clear" w:pos="9077"/>
              <w:tab w:val="right" w:pos="9359" w:leader="dot"/>
            </w:tabs>
            <w:rPr/>
          </w:pPr>
          <w:hyperlink w:anchor="__RefHeading___Toc2711_1228540938">
            <w:r>
              <w:rPr>
                <w:rStyle w:val="IndexLink"/>
              </w:rPr>
              <w:t>11.7 Principios de diseño</w:t>
              <w:tab/>
              <w:t>26</w:t>
            </w:r>
          </w:hyperlink>
        </w:p>
        <w:p>
          <w:pPr>
            <w:pStyle w:val="TOC1"/>
            <w:tabs>
              <w:tab w:val="clear" w:pos="9360"/>
              <w:tab w:val="right" w:pos="9359" w:leader="dot"/>
            </w:tabs>
            <w:rPr/>
          </w:pPr>
          <w:hyperlink w:anchor="__RefHeading___Toc2713_1228540938">
            <w:r>
              <w:rPr>
                <w:rStyle w:val="IndexLink"/>
              </w:rPr>
              <w:t>12. Cronograma y fases</w:t>
              <w:tab/>
              <w:t>27</w:t>
            </w:r>
          </w:hyperlink>
        </w:p>
        <w:p>
          <w:pPr>
            <w:pStyle w:val="TOC2"/>
            <w:tabs>
              <w:tab w:val="clear" w:pos="9077"/>
              <w:tab w:val="right" w:pos="9359" w:leader="dot"/>
            </w:tabs>
            <w:rPr/>
          </w:pPr>
          <w:hyperlink w:anchor="__RefHeading___Toc2715_1228540938">
            <w:r>
              <w:rPr>
                <w:rStyle w:val="IndexLink"/>
              </w:rPr>
              <w:t>12.1 Criterios del avance del 50 % (14 de octubre)</w:t>
              <w:tab/>
              <w:t>27</w:t>
            </w:r>
          </w:hyperlink>
        </w:p>
        <w:p>
          <w:pPr>
            <w:pStyle w:val="TOC1"/>
            <w:tabs>
              <w:tab w:val="clear" w:pos="9360"/>
              <w:tab w:val="right" w:pos="9359" w:leader="dot"/>
            </w:tabs>
            <w:rPr/>
          </w:pPr>
          <w:hyperlink w:anchor="__RefHeading___Toc2717_1228540938">
            <w:r>
              <w:rPr>
                <w:rStyle w:val="IndexLink"/>
              </w:rPr>
              <w:t>13. Métricas de éxito</w:t>
              <w:tab/>
              <w:t>28</w:t>
            </w:r>
          </w:hyperlink>
        </w:p>
        <w:p>
          <w:pPr>
            <w:pStyle w:val="TOC1"/>
            <w:tabs>
              <w:tab w:val="clear" w:pos="9360"/>
              <w:tab w:val="right" w:pos="9359" w:leader="dot"/>
            </w:tabs>
            <w:rPr/>
          </w:pPr>
          <w:hyperlink w:anchor="__RefHeading___Toc2719_1228540938">
            <w:r>
              <w:rPr>
                <w:rStyle w:val="IndexLink"/>
              </w:rPr>
              <w:t>14. Riesgos y mitigaciones</w:t>
              <w:tab/>
              <w:t>28</w:t>
            </w:r>
          </w:hyperlink>
        </w:p>
        <w:p>
          <w:pPr>
            <w:pStyle w:val="TOC1"/>
            <w:tabs>
              <w:tab w:val="clear" w:pos="9360"/>
              <w:tab w:val="right" w:pos="9359" w:leader="dot"/>
            </w:tabs>
            <w:rPr/>
          </w:pPr>
          <w:hyperlink w:anchor="__RefHeading___Toc2721_1228540938">
            <w:r>
              <w:rPr>
                <w:rStyle w:val="IndexLink"/>
              </w:rPr>
              <w:t>15. Preguntas abiertas</w:t>
              <w:tab/>
              <w:t>29</w:t>
            </w:r>
          </w:hyperlink>
        </w:p>
        <w:p>
          <w:pPr>
            <w:pStyle w:val="TOC1"/>
            <w:tabs>
              <w:tab w:val="clear" w:pos="9360"/>
              <w:tab w:val="right" w:pos="9359" w:leader="dot"/>
            </w:tabs>
            <w:rPr/>
          </w:pPr>
          <w:hyperlink w:anchor="__RefHeading___Toc2723_1228540938">
            <w:r>
              <w:rPr>
                <w:rStyle w:val="IndexLink"/>
              </w:rPr>
              <w:t>Referencias</w:t>
              <w:tab/>
              <w:t>29</w:t>
            </w:r>
          </w:hyperlink>
          <w:r>
            <w:rPr>
              <w:rStyle w:val="IndexLink"/>
            </w:rPr>
            <w:fldChar w:fldCharType="end"/>
          </w:r>
        </w:p>
      </w:sdtContent>
    </w:sdt>
    <w:p>
      <w:pPr>
        <w:pStyle w:val="Normal"/>
        <w:rPr/>
      </w:pPr>
      <w:r>
        <w:rPr/>
      </w:r>
    </w:p>
    <w:p>
      <w:pPr>
        <w:pStyle w:val="Normal"/>
        <w:rPr/>
      </w:pPr>
      <w:r>
        <w:rPr/>
      </w:r>
      <w:r>
        <w:br w:type="page"/>
      </w:r>
    </w:p>
    <w:p>
      <w:pPr>
        <w:pStyle w:val="Heading1"/>
        <w:spacing w:lineRule="exact" w:line="360" w:before="0" w:after="160"/>
        <w:rPr/>
      </w:pPr>
      <w:bookmarkStart w:id="0" w:name="__RefHeading___Toc2635_1228540938"/>
      <w:bookmarkEnd w:id="0"/>
      <w:r>
        <w:rPr/>
        <w:t>1. Ficha del documento</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Campo</w:t>
            </w:r>
          </w:p>
        </w:tc>
        <w:tc>
          <w:tcPr>
            <w:tcW w:w="675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Detalle</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Proyecto</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ARS VitaSalud — Sistema de Gestión Básica para una ARS (nombre definitivo, elegido por el equipo)</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Tipo de proyecto</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Proyecto académico en equipo — asignatura Lenguaje de Programación II (facilitador: José Manuel Amado), Licenciatura en Informática, UASD</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Plataforma</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Aplicación de escritorio (Windows 10/11; compatible con Linux) con dos perfiles de acceso: Personal interno y Prestador</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Stack</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Java (JDK 21 LTS o superior) · JavaFX + FXML + CSS · MySQL 8.x · JDBC · Maven</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Diseño de referencia</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Artifact “Ceiba Salud - Portal ARS”, con 4 tableros: Identidad de marca, Inicio de sesión (dos perfiles), Consola interna y Portal de prestadores. Se creó con el nombre provisional “Ceiba Salud”; su sistema visual se aplica con el nombre ARS VitaSalud (sección 11).</w:t>
            </w:r>
          </w:p>
          <w:p>
            <w:pPr>
              <w:pStyle w:val="Normal"/>
              <w:spacing w:lineRule="exact" w:line="260" w:before="0" w:after="40"/>
              <w:jc w:val="left"/>
              <w:rPr/>
            </w:pPr>
            <w:r>
              <w:rPr>
                <w:rFonts w:eastAsia="Times New Roman" w:cs="Times New Roman"/>
                <w:sz w:val="20"/>
                <w:szCs w:val="20"/>
              </w:rPr>
              <w:t>https://claude.ai/artifact/VLNdRHUV9hDY7uj2DBe6BN</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4 integrantes: Williams Villavizar Hernández (coordinación técnica), Liannelis Pérez Pérez, Luis Miguel Magallanes y Joel Marte (ver sección 10)</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Entrega parcial</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Avance del 50 %: miércoles 14 de octubre de 2026</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Entrega final</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Principios de diciembre de 2026 (fecha exacta por confirmar con el facilitador)</w:t>
            </w:r>
          </w:p>
        </w:tc>
      </w:tr>
      <w:tr>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Estado</w:t>
            </w:r>
          </w:p>
        </w:tc>
        <w:tc>
          <w:tcPr>
            <w:tcW w:w="6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Borrador — pendiente de revisión por el equipo y el facilitador</w:t>
            </w:r>
          </w:p>
        </w:tc>
      </w:tr>
    </w:tbl>
    <w:p>
      <w:pPr>
        <w:pStyle w:val="Normal"/>
        <w:spacing w:before="0" w:after="120"/>
        <w:rPr/>
      </w:pPr>
      <w:r>
        <w:rPr/>
      </w:r>
    </w:p>
    <w:p>
      <w:pPr>
        <w:pStyle w:val="Heading2"/>
        <w:spacing w:lineRule="exact" w:line="360" w:before="200" w:after="120"/>
        <w:rPr/>
      </w:pPr>
      <w:bookmarkStart w:id="1" w:name="__RefHeading___Toc2637_1228540938"/>
      <w:bookmarkEnd w:id="1"/>
      <w:r>
        <w:rPr/>
        <w:t>1.1 Historial de versiones</w:t>
      </w:r>
    </w:p>
    <w:tbl>
      <w:tblPr>
        <w:tblW w:w="9360" w:type="dxa"/>
        <w:jc w:val="left"/>
        <w:tblInd w:w="0" w:type="dxa"/>
        <w:tblLayout w:type="fixed"/>
        <w:tblCellMar>
          <w:top w:w="60" w:type="dxa"/>
          <w:left w:w="100" w:type="dxa"/>
          <w:bottom w:w="60" w:type="dxa"/>
          <w:right w:w="100" w:type="dxa"/>
        </w:tblCellMar>
      </w:tblPr>
      <w:tblGrid>
        <w:gridCol w:w="1199"/>
        <w:gridCol w:w="1600"/>
        <w:gridCol w:w="6561"/>
      </w:tblGrid>
      <w:tr>
        <w:trPr>
          <w:tblHeader w:val="true"/>
        </w:trPr>
        <w:tc>
          <w:tcPr>
            <w:tcW w:w="11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Versión</w:t>
            </w:r>
          </w:p>
        </w:tc>
        <w:tc>
          <w:tcPr>
            <w:tcW w:w="1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Fecha</w:t>
            </w:r>
          </w:p>
        </w:tc>
        <w:tc>
          <w:tcPr>
            <w:tcW w:w="656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Cambios</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1.0</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Versión inicial: alcance, módulos, reglas de negocio, división del trabajo y cronograma.</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1.1</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Alineación con el diseño Ceiba Salud: nombre e identidad de marca; inicio de sesión con dos perfiles; nuevo módulo Portal del prestador; bandeja de autorizaciones con estados Pendiente, En revisión, Aprobada y Negada; roles del diseño; formulario de afiliado ampliado; sistema de diseño para JavaFX; división del trabajo y criterios del 50 % actualizados.</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Nombre definitivo del proyecto: ARS VitaSalud. Se renombran la marca, la paleta (Verde Vita), la hoja de estilos (vitasalud.css) y el paquete Java; el lema y el símbolo del logo quedan por definir.</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1.3</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Portada y ficha completadas con la asignatura (Lenguaje de Programación II) y el facilitador (José Manuel Amado); se cierra la pregunta abierta correspondiente.</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1.4</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agregan a la portada los integrantes Liannelis Pérez Pérez y Luis Miguel Magallanes; quedan pendientes sus matrículas y el cuarto integrante.</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1.5</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Asignación de módulos por persona: Williams Villavizar Hernández (SEG + REP, coordinación técnica), Liannelis Pérez Pérez (AFI + PSS), Luis Miguel Magallanes (PLA + Portal del prestador) y el cuarto integrante (AUT + REC). Nueva sección 10.2 con el detalle de lo que corresponde a cada persona.</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1.6</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agregan las matrículas de Liannelis Pérez Pérez (100669102) y Luis Miguel Magallanes (100688452).</w:t>
            </w:r>
          </w:p>
        </w:tc>
      </w:tr>
      <w:tr>
        <w:trPr/>
        <w:tc>
          <w:tcPr>
            <w:tcW w:w="11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1.7</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07/10/2026</w:t>
            </w:r>
          </w:p>
        </w:tc>
        <w:tc>
          <w:tcPr>
            <w:tcW w:w="6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incorpora al cuarto integrante, Joel Marte (matrícula 100455411), responsable de Autorizaciones y Reclamaciones (AUT + REC). Se reemplazan los marcadores [Integrante 4] y se cierra la pregunta abierta 5.</w:t>
            </w:r>
          </w:p>
        </w:tc>
      </w:tr>
    </w:tbl>
    <w:p>
      <w:pPr>
        <w:pStyle w:val="Heading1"/>
        <w:spacing w:lineRule="exact" w:line="360" w:before="240" w:after="160"/>
        <w:rPr/>
      </w:pPr>
      <w:bookmarkStart w:id="2" w:name="__RefHeading___Toc2639_1228540938"/>
      <w:bookmarkEnd w:id="2"/>
      <w:r>
        <w:rPr/>
        <w:t>2. Resumen ejecutivo</w:t>
      </w:r>
    </w:p>
    <w:p>
      <w:pPr>
        <w:pStyle w:val="Normal"/>
        <w:spacing w:lineRule="exact" w:line="360" w:before="0" w:after="120"/>
        <w:jc w:val="both"/>
        <w:rPr/>
      </w:pPr>
      <w:r>
        <w:rPr>
          <w:rFonts w:eastAsia="Times New Roman" w:cs="Times New Roman"/>
          <w:sz w:val="24"/>
          <w:szCs w:val="24"/>
        </w:rPr>
        <w:t>ARS VitaSalud es una aplicación de escritorio, desarrollada en Java con interfaz JavaFX y base de datos MySQL, que permite a una Administradora de Riesgos de Salud (ARS) gestionar sus operaciones básicas: la afiliación de titulares y dependientes, la definición de planes y coberturas, la red de prestadoras de servicios de salud (PSS), las autorizaciones de servicios médicos y las reclamaciones que las PSS presentan para cobrar.</w:t>
      </w:r>
    </w:p>
    <w:p>
      <w:pPr>
        <w:pStyle w:val="Normal"/>
        <w:spacing w:lineRule="exact" w:line="360" w:before="0" w:after="120"/>
        <w:jc w:val="both"/>
        <w:rPr/>
      </w:pPr>
      <w:r>
        <w:rPr>
          <w:rFonts w:eastAsia="Times New Roman" w:cs="Times New Roman"/>
          <w:sz w:val="24"/>
          <w:szCs w:val="24"/>
        </w:rPr>
        <w:t>Siguiendo el diseño de referencia, la misma aplicación ofrece dos experiencias desde una única pantalla de inicio de sesión. La Consola interna es usada por el personal de la ARS para registrar afiliados, administrar la red de prestadores y revisar la bandeja de autorizaciones. El Portal del prestador es usado por clínicas, laboratorios y médicos para solicitar autorizaciones, consultar su estado y presentar reclamaciones.</w:t>
      </w:r>
    </w:p>
    <w:p>
      <w:pPr>
        <w:pStyle w:val="Normal"/>
        <w:spacing w:lineRule="exact" w:line="360" w:before="0" w:after="120"/>
        <w:jc w:val="both"/>
        <w:rPr/>
      </w:pPr>
      <w:r>
        <w:rPr>
          <w:rFonts w:eastAsia="Times New Roman" w:cs="Times New Roman"/>
          <w:sz w:val="24"/>
          <w:szCs w:val="24"/>
        </w:rPr>
        <w:t>El valor central es un ciclo cerrado y trazable: el prestador solicita, el sistema valida automáticamente la cobertura (afiliado activo, servicio cubierto, carencia y tope anual), el analista aprueba, niega o pide información, y la reclamación posterior queda ligada a esa autorización. El equipo de cuatro estudiantes entregará un avance funcional del 50 % el 14 de octubre de 2026 y el sistema completo a principios de diciembre de 2026.</w:t>
      </w:r>
    </w:p>
    <w:p>
      <w:pPr>
        <w:pStyle w:val="Heading1"/>
        <w:spacing w:lineRule="exact" w:line="360" w:before="240" w:after="160"/>
        <w:rPr/>
      </w:pPr>
      <w:bookmarkStart w:id="3" w:name="__RefHeading___Toc2641_1228540938"/>
      <w:bookmarkEnd w:id="3"/>
      <w:r>
        <w:rPr/>
        <w:t>3. Problema y contexto</w:t>
      </w:r>
    </w:p>
    <w:p>
      <w:pPr>
        <w:pStyle w:val="Heading2"/>
        <w:spacing w:lineRule="exact" w:line="360" w:before="200" w:after="120"/>
        <w:rPr/>
      </w:pPr>
      <w:bookmarkStart w:id="4" w:name="__RefHeading___Toc2643_1228540938"/>
      <w:bookmarkEnd w:id="4"/>
      <w:r>
        <w:rPr/>
        <w:t>3.1 Contexto del sector</w:t>
      </w:r>
    </w:p>
    <w:p>
      <w:pPr>
        <w:pStyle w:val="Normal"/>
        <w:spacing w:lineRule="exact" w:line="360" w:before="0" w:after="120"/>
        <w:jc w:val="both"/>
        <w:rPr/>
      </w:pPr>
      <w:r>
        <w:rPr>
          <w:rFonts w:eastAsia="Times New Roman" w:cs="Times New Roman"/>
          <w:sz w:val="24"/>
          <w:szCs w:val="24"/>
        </w:rPr>
        <w:t>En la República Dominicana, las ARS forman parte del Sistema Dominicano de Seguridad Social creado por la Ley 87-01 y están reguladas por la Superintendencia de Salud y Riesgos Laborales (SISALRIL). Su función es administrar el riesgo de salud de sus afiliados: reciben los aportes (a través de la Tesorería de la Seguridad Social en el régimen contributivo) y garantizan el acceso a los servicios de su plan, pagando a las PSS por los servicios prestados.</w:t>
      </w:r>
    </w:p>
    <w:p>
      <w:pPr>
        <w:pStyle w:val="Normal"/>
        <w:spacing w:lineRule="exact" w:line="360" w:before="0" w:after="120"/>
        <w:jc w:val="both"/>
        <w:rPr/>
      </w:pPr>
      <w:r>
        <w:rPr>
          <w:rFonts w:eastAsia="Times New Roman" w:cs="Times New Roman"/>
          <w:sz w:val="24"/>
          <w:szCs w:val="24"/>
        </w:rPr>
        <w:t>Las operaciones diarias giran alrededor de tres procesos encadenados, en los que participan tanto la ARS como los prestadores:</w:t>
      </w:r>
    </w:p>
    <w:p>
      <w:pPr>
        <w:pStyle w:val="ListParagraph"/>
        <w:numPr>
          <w:ilvl w:val="0"/>
          <w:numId w:val="8"/>
        </w:numPr>
        <w:spacing w:lineRule="exact" w:line="360" w:before="0" w:after="60"/>
        <w:jc w:val="both"/>
        <w:rPr/>
      </w:pPr>
      <w:r>
        <w:rPr>
          <w:rFonts w:eastAsia="Times New Roman" w:cs="Times New Roman"/>
          <w:b/>
          <w:bCs/>
          <w:sz w:val="24"/>
          <w:szCs w:val="24"/>
        </w:rPr>
        <w:t xml:space="preserve">Afiliación (ARS): </w:t>
      </w:r>
      <w:r>
        <w:rPr>
          <w:rFonts w:eastAsia="Times New Roman" w:cs="Times New Roman"/>
          <w:sz w:val="24"/>
          <w:szCs w:val="24"/>
        </w:rPr>
        <w:t>registrar quién está cubierto, titular y dependientes, bajo qué plan y en qué estado.</w:t>
      </w:r>
    </w:p>
    <w:p>
      <w:pPr>
        <w:pStyle w:val="ListParagraph"/>
        <w:numPr>
          <w:ilvl w:val="0"/>
          <w:numId w:val="1"/>
        </w:numPr>
        <w:spacing w:lineRule="exact" w:line="360" w:before="0" w:after="60"/>
        <w:jc w:val="both"/>
        <w:rPr/>
      </w:pPr>
      <w:r>
        <w:rPr>
          <w:rFonts w:eastAsia="Times New Roman" w:cs="Times New Roman"/>
          <w:b/>
          <w:bCs/>
          <w:sz w:val="24"/>
          <w:szCs w:val="24"/>
        </w:rPr>
        <w:t xml:space="preserve">Autorización (prestador → ARS): </w:t>
      </w:r>
      <w:r>
        <w:rPr>
          <w:rFonts w:eastAsia="Times New Roman" w:cs="Times New Roman"/>
          <w:sz w:val="24"/>
          <w:szCs w:val="24"/>
        </w:rPr>
        <w:t>antes de prestar ciertos servicios, la PSS solicita autorización; la ARS verifica la cobertura y aprueba el monto que pagará, y el afiliado cubre la diferencia (copago).</w:t>
      </w:r>
    </w:p>
    <w:p>
      <w:pPr>
        <w:pStyle w:val="ListParagraph"/>
        <w:numPr>
          <w:ilvl w:val="0"/>
          <w:numId w:val="1"/>
        </w:numPr>
        <w:spacing w:lineRule="exact" w:line="360" w:before="0" w:after="60"/>
        <w:jc w:val="both"/>
        <w:rPr/>
      </w:pPr>
      <w:r>
        <w:rPr>
          <w:rFonts w:eastAsia="Times New Roman" w:cs="Times New Roman"/>
          <w:b/>
          <w:bCs/>
          <w:sz w:val="24"/>
          <w:szCs w:val="24"/>
        </w:rPr>
        <w:t xml:space="preserve">Reclamación (prestador → ARS): </w:t>
      </w:r>
      <w:r>
        <w:rPr>
          <w:rFonts w:eastAsia="Times New Roman" w:cs="Times New Roman"/>
          <w:sz w:val="24"/>
          <w:szCs w:val="24"/>
        </w:rPr>
        <w:t>después del servicio, la PSS reclama el pago; la ARS audita y aprueba, glosa, devuelve o rechaza la reclamación, y finalmente paga.</w:t>
      </w:r>
    </w:p>
    <w:p>
      <w:pPr>
        <w:pStyle w:val="Heading2"/>
        <w:spacing w:lineRule="exact" w:line="360" w:before="200" w:after="120"/>
        <w:rPr/>
      </w:pPr>
      <w:bookmarkStart w:id="5" w:name="__RefHeading___Toc2645_1228540938"/>
      <w:bookmarkEnd w:id="5"/>
      <w:r>
        <w:rPr/>
        <w:t>3.2 Problema</w:t>
      </w:r>
    </w:p>
    <w:p>
      <w:pPr>
        <w:pStyle w:val="Normal"/>
        <w:spacing w:lineRule="exact" w:line="360" w:before="0" w:after="120"/>
        <w:jc w:val="both"/>
        <w:rPr/>
      </w:pPr>
      <w:r>
        <w:rPr>
          <w:rFonts w:eastAsia="Times New Roman" w:cs="Times New Roman"/>
          <w:sz w:val="24"/>
          <w:szCs w:val="24"/>
        </w:rPr>
        <w:t>Cuando estos procesos se llevan por teléfono, correo y hojas de cálculo, aparecen problemas concretos:</w:t>
      </w:r>
    </w:p>
    <w:p>
      <w:pPr>
        <w:pStyle w:val="ListParagraph"/>
        <w:numPr>
          <w:ilvl w:val="0"/>
          <w:numId w:val="9"/>
        </w:numPr>
        <w:spacing w:lineRule="exact" w:line="360" w:before="0" w:after="60"/>
        <w:jc w:val="both"/>
        <w:rPr/>
      </w:pPr>
      <w:r>
        <w:rPr>
          <w:rFonts w:eastAsia="Times New Roman" w:cs="Times New Roman"/>
          <w:sz w:val="24"/>
          <w:szCs w:val="24"/>
        </w:rPr>
        <w:t>Afiliados duplicados o con datos inconsistentes (el mismo documento registrado dos veces, dependientes que superan la edad permitida).</w:t>
      </w:r>
    </w:p>
    <w:p>
      <w:pPr>
        <w:pStyle w:val="ListParagraph"/>
        <w:numPr>
          <w:ilvl w:val="0"/>
          <w:numId w:val="2"/>
        </w:numPr>
        <w:spacing w:lineRule="exact" w:line="360" w:before="0" w:after="60"/>
        <w:jc w:val="both"/>
        <w:rPr/>
      </w:pPr>
      <w:r>
        <w:rPr>
          <w:rFonts w:eastAsia="Times New Roman" w:cs="Times New Roman"/>
          <w:sz w:val="24"/>
          <w:szCs w:val="24"/>
        </w:rPr>
        <w:t>Solicitudes de autorización que llegan incompletas por teléfono o correo y se aprueban sin verificar si el afiliado está activo, si el plan cubre el servicio o si ya agotó su tope anual.</w:t>
      </w:r>
    </w:p>
    <w:p>
      <w:pPr>
        <w:pStyle w:val="ListParagraph"/>
        <w:numPr>
          <w:ilvl w:val="0"/>
          <w:numId w:val="2"/>
        </w:numPr>
        <w:spacing w:lineRule="exact" w:line="360" w:before="0" w:after="60"/>
        <w:jc w:val="both"/>
        <w:rPr/>
      </w:pPr>
      <w:r>
        <w:rPr>
          <w:rFonts w:eastAsia="Times New Roman" w:cs="Times New Roman"/>
          <w:sz w:val="24"/>
          <w:szCs w:val="24"/>
        </w:rPr>
        <w:t>El prestador no sabe en qué estado está su solicitud y tiene que llamar para preguntar; la ARS no sabe cuántas solicitudes tiene pendientes ni desde cuándo.</w:t>
      </w:r>
    </w:p>
    <w:p>
      <w:pPr>
        <w:pStyle w:val="ListParagraph"/>
        <w:numPr>
          <w:ilvl w:val="0"/>
          <w:numId w:val="2"/>
        </w:numPr>
        <w:spacing w:lineRule="exact" w:line="360" w:before="0" w:after="60"/>
        <w:jc w:val="both"/>
        <w:rPr/>
      </w:pPr>
      <w:r>
        <w:rPr>
          <w:rFonts w:eastAsia="Times New Roman" w:cs="Times New Roman"/>
          <w:sz w:val="24"/>
          <w:szCs w:val="24"/>
        </w:rPr>
        <w:t>Reclamaciones que no se pueden rastrear hasta una autorización, o que se pagan por encima del monto aprobado.</w:t>
      </w:r>
    </w:p>
    <w:p>
      <w:pPr>
        <w:pStyle w:val="ListParagraph"/>
        <w:numPr>
          <w:ilvl w:val="0"/>
          <w:numId w:val="2"/>
        </w:numPr>
        <w:spacing w:lineRule="exact" w:line="360" w:before="0" w:after="60"/>
        <w:jc w:val="both"/>
        <w:rPr/>
      </w:pPr>
      <w:r>
        <w:rPr>
          <w:rFonts w:eastAsia="Times New Roman" w:cs="Times New Roman"/>
          <w:sz w:val="24"/>
          <w:szCs w:val="24"/>
        </w:rPr>
        <w:t>Ausencia de control de acceso: no se distingue lo que puede ver un prestador de lo que puede ver un empleado de la ARS, ni queda registro de quién cambió qué.</w:t>
      </w:r>
    </w:p>
    <w:p>
      <w:pPr>
        <w:pStyle w:val="Heading2"/>
        <w:spacing w:lineRule="exact" w:line="360" w:before="200" w:after="120"/>
        <w:rPr/>
      </w:pPr>
      <w:bookmarkStart w:id="6" w:name="__RefHeading___Toc2647_1228540938"/>
      <w:bookmarkEnd w:id="6"/>
      <w:r>
        <w:rPr/>
        <w:t>3.3 ¿Por qué ahora?</w:t>
      </w:r>
    </w:p>
    <w:p>
      <w:pPr>
        <w:pStyle w:val="Normal"/>
        <w:spacing w:lineRule="exact" w:line="360" w:before="0" w:after="120"/>
        <w:jc w:val="both"/>
        <w:rPr/>
      </w:pPr>
      <w:r>
        <w:rPr>
          <w:rFonts w:eastAsia="Times New Roman" w:cs="Times New Roman"/>
          <w:sz w:val="24"/>
          <w:szCs w:val="24"/>
        </w:rPr>
        <w:t>El proyecto responde a la necesidad académica de aplicar, en un caso realista del contexto dominicano, los contenidos de la carrera: programación orientada a objetos, bases de datos relacionales, arquitectura en capas (MVC + DAO), control de acceso por roles, control de versiones y trabajo en equipo. El dominio de una ARS combina operaciones CRUD con reglas de negocio no triviales (validación de cobertura, cálculo de copagos, ciclo de estados de autorizaciones y reclamaciones), y el diseño de dos perfiles obliga a aplicar seguridad por datos, no solo por pantallas: un prestador nunca debe ver la información de otro.</w:t>
      </w:r>
    </w:p>
    <w:p>
      <w:pPr>
        <w:pStyle w:val="Heading1"/>
        <w:spacing w:lineRule="exact" w:line="360" w:before="240" w:after="160"/>
        <w:rPr/>
      </w:pPr>
      <w:bookmarkStart w:id="7" w:name="__RefHeading___Toc2649_1228540938"/>
      <w:bookmarkEnd w:id="7"/>
      <w:r>
        <w:rPr/>
        <w:t>4. Objetivos y no-objetivos</w:t>
      </w:r>
    </w:p>
    <w:p>
      <w:pPr>
        <w:pStyle w:val="Heading2"/>
        <w:spacing w:lineRule="exact" w:line="360" w:before="200" w:after="120"/>
        <w:rPr/>
      </w:pPr>
      <w:bookmarkStart w:id="8" w:name="__RefHeading___Toc2651_1228540938"/>
      <w:bookmarkEnd w:id="8"/>
      <w:r>
        <w:rPr/>
        <w:t>4.1 Objetivos (Goals)</w:t>
      </w:r>
    </w:p>
    <w:tbl>
      <w:tblPr>
        <w:tblW w:w="9360" w:type="dxa"/>
        <w:jc w:val="left"/>
        <w:tblInd w:w="0" w:type="dxa"/>
        <w:tblLayout w:type="fixed"/>
        <w:tblCellMar>
          <w:top w:w="60" w:type="dxa"/>
          <w:left w:w="100" w:type="dxa"/>
          <w:bottom w:w="60" w:type="dxa"/>
          <w:right w:w="100" w:type="dxa"/>
        </w:tblCellMar>
      </w:tblPr>
      <w:tblGrid>
        <w:gridCol w:w="700"/>
        <w:gridCol w:w="4099"/>
        <w:gridCol w:w="4561"/>
      </w:tblGrid>
      <w:tr>
        <w:trPr>
          <w:tblHeader w:val="true"/>
        </w:trPr>
        <w:tc>
          <w:tcPr>
            <w:tcW w:w="7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4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Objetivo</w:t>
            </w:r>
          </w:p>
        </w:tc>
        <w:tc>
          <w:tcPr>
            <w:tcW w:w="456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Cómo se verifica</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G1</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Centralizar el registro de afiliados titulares y dependientes sin duplicados.</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tipo y número de documento y el NSS son únicos en la BD; el sistema rechaza un segundo registro con el mismo documento.</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G2</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Que los prestadores soliciten autorizaciones directamente en el sistema y conozcan su estado sin llamar a la ARS.</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Una solicitud creada en el Portal del prestador aparece al instante en la Bandeja interna, y el cambio de estado que hace el analista se ve en el portal.</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G3</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Validar automáticamente la cobertura antes de aprobar cada autorización.</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sistema impide aprobar una solicitud para un afiliado suspendido, un servicio no cubierto o en período de carencia, e indica el motivo.</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G4</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Garantizar la trazabilidad autorización → reclamación → pago.</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Toda reclamación referencia una autorización aprobada y su monto nunca excede el autorizado.</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G5</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Controlar el acceso por perfil, por rol y por datos, y registrar las acciones críticas.</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 usuario prestador solo ve registros de su propio centro; cada rol interno solo ve sus módulos; la bitácora registra usuario, fecha, acción y registro.</w:t>
            </w:r>
          </w:p>
        </w:tc>
      </w:tr>
      <w:tr>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G6</w:t>
            </w:r>
          </w:p>
        </w:tc>
        <w:tc>
          <w:tcPr>
            <w:tcW w:w="40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Ofrecer información operativa para decidir.</w:t>
            </w:r>
          </w:p>
        </w:tc>
        <w:tc>
          <w:tcPr>
            <w:tcW w:w="45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Panel con indicadores de la bandeja y reportes por período, estado y prestador.</w:t>
            </w:r>
          </w:p>
        </w:tc>
      </w:tr>
    </w:tbl>
    <w:p>
      <w:pPr>
        <w:pStyle w:val="Normal"/>
        <w:spacing w:before="0" w:after="120"/>
        <w:rPr/>
      </w:pPr>
      <w:r>
        <w:rPr/>
      </w:r>
    </w:p>
    <w:p>
      <w:pPr>
        <w:pStyle w:val="Heading2"/>
        <w:spacing w:lineRule="exact" w:line="360" w:before="200" w:after="120"/>
        <w:rPr/>
      </w:pPr>
      <w:bookmarkStart w:id="9" w:name="__RefHeading___Toc2653_1228540938"/>
      <w:bookmarkEnd w:id="9"/>
      <w:r>
        <w:rPr/>
        <w:t>4.2 No-objetivos (Non-Goals) de esta versión</w:t>
      </w:r>
    </w:p>
    <w:p>
      <w:pPr>
        <w:pStyle w:val="Normal"/>
        <w:spacing w:lineRule="exact" w:line="360" w:before="0" w:after="120"/>
        <w:jc w:val="both"/>
        <w:rPr/>
      </w:pPr>
      <w:r>
        <w:rPr>
          <w:rFonts w:eastAsia="Times New Roman" w:cs="Times New Roman"/>
          <w:sz w:val="24"/>
          <w:szCs w:val="24"/>
        </w:rPr>
        <w:t>Para proteger el plazo y evitar que el alcance crezca sin control, quedan explícitamente fuera:</w:t>
      </w:r>
    </w:p>
    <w:p>
      <w:pPr>
        <w:pStyle w:val="ListParagraph"/>
        <w:numPr>
          <w:ilvl w:val="0"/>
          <w:numId w:val="2"/>
        </w:numPr>
        <w:spacing w:lineRule="exact" w:line="360" w:before="0" w:after="60"/>
        <w:jc w:val="both"/>
        <w:rPr/>
      </w:pPr>
      <w:r>
        <w:rPr>
          <w:rFonts w:eastAsia="Times New Roman" w:cs="Times New Roman"/>
          <w:sz w:val="24"/>
          <w:szCs w:val="24"/>
        </w:rPr>
        <w:t>Versión web o móvil del portal. Aunque el diseño de referencia se presentó como portal, en este proyecto ambos perfiles se implementan dentro de la misma aplicación de escritorio JavaFX, conectada a un servidor MySQL en la red local.</w:t>
      </w:r>
    </w:p>
    <w:p>
      <w:pPr>
        <w:pStyle w:val="ListParagraph"/>
        <w:numPr>
          <w:ilvl w:val="0"/>
          <w:numId w:val="2"/>
        </w:numPr>
        <w:spacing w:lineRule="exact" w:line="360" w:before="0" w:after="60"/>
        <w:jc w:val="both"/>
        <w:rPr/>
      </w:pPr>
      <w:r>
        <w:rPr>
          <w:rFonts w:eastAsia="Times New Roman" w:cs="Times New Roman"/>
          <w:sz w:val="24"/>
          <w:szCs w:val="24"/>
        </w:rPr>
        <w:t>Integración real con la TSS, la SISALRIL, UNIPAGO o cualquier sistema externo.</w:t>
      </w:r>
    </w:p>
    <w:p>
      <w:pPr>
        <w:pStyle w:val="ListParagraph"/>
        <w:numPr>
          <w:ilvl w:val="0"/>
          <w:numId w:val="2"/>
        </w:numPr>
        <w:spacing w:lineRule="exact" w:line="360" w:before="0" w:after="60"/>
        <w:jc w:val="both"/>
        <w:rPr/>
      </w:pPr>
      <w:r>
        <w:rPr>
          <w:rFonts w:eastAsia="Times New Roman" w:cs="Times New Roman"/>
          <w:sz w:val="24"/>
          <w:szCs w:val="24"/>
        </w:rPr>
        <w:t>Documentos fiscales y pagos reales: facturación electrónica (e-CF de la DGII), carta de impuesto, carta de ingreso, emisión real de cheques o transferencias. El pago a prestadores solo se registra como dato (fecha, número de cheque o referencia).</w:t>
      </w:r>
    </w:p>
    <w:p>
      <w:pPr>
        <w:pStyle w:val="ListParagraph"/>
        <w:numPr>
          <w:ilvl w:val="0"/>
          <w:numId w:val="2"/>
        </w:numPr>
        <w:spacing w:lineRule="exact" w:line="360" w:before="0" w:after="60"/>
        <w:jc w:val="both"/>
        <w:rPr/>
      </w:pPr>
      <w:r>
        <w:rPr>
          <w:rFonts w:eastAsia="Times New Roman" w:cs="Times New Roman"/>
          <w:sz w:val="24"/>
          <w:szCs w:val="24"/>
        </w:rPr>
        <w:t>Historia clínica electrónica. Solo se guarda el diagnóstico (CIE-10) asociado a la solicitud.</w:t>
      </w:r>
    </w:p>
    <w:p>
      <w:pPr>
        <w:pStyle w:val="ListParagraph"/>
        <w:numPr>
          <w:ilvl w:val="0"/>
          <w:numId w:val="2"/>
        </w:numPr>
        <w:spacing w:lineRule="exact" w:line="360" w:before="0" w:after="60"/>
        <w:jc w:val="both"/>
        <w:rPr/>
      </w:pPr>
      <w:r>
        <w:rPr>
          <w:rFonts w:eastAsia="Times New Roman" w:cs="Times New Roman"/>
          <w:sz w:val="24"/>
          <w:szCs w:val="24"/>
        </w:rPr>
        <w:t>Validación clínica de hojas quirúrgicas y gestión completa de hospitalización; queda solo el registro básico de ingreso y egreso como P2 (ver 6.6).</w:t>
      </w:r>
    </w:p>
    <w:p>
      <w:pPr>
        <w:pStyle w:val="ListParagraph"/>
        <w:numPr>
          <w:ilvl w:val="0"/>
          <w:numId w:val="2"/>
        </w:numPr>
        <w:spacing w:lineRule="exact" w:line="360" w:before="0" w:after="60"/>
        <w:jc w:val="both"/>
        <w:rPr/>
      </w:pPr>
      <w:r>
        <w:rPr>
          <w:rFonts w:eastAsia="Times New Roman" w:cs="Times New Roman"/>
          <w:sz w:val="24"/>
          <w:szCs w:val="24"/>
        </w:rPr>
        <w:t>Régimen subsidiado, riesgos laborales (más allá de marcar si un caso es de origen laboral) y pensiones.</w:t>
      </w:r>
    </w:p>
    <w:p>
      <w:pPr>
        <w:pStyle w:val="ListParagraph"/>
        <w:numPr>
          <w:ilvl w:val="0"/>
          <w:numId w:val="2"/>
        </w:numPr>
        <w:spacing w:lineRule="exact" w:line="360" w:before="0" w:after="60"/>
        <w:jc w:val="both"/>
        <w:rPr/>
      </w:pPr>
      <w:r>
        <w:rPr>
          <w:rFonts w:eastAsia="Times New Roman" w:cs="Times New Roman"/>
          <w:sz w:val="24"/>
          <w:szCs w:val="24"/>
        </w:rPr>
        <w:t>Uso con datos personales reales. Las pruebas y demostraciones usan datos ficticios.</w:t>
      </w:r>
    </w:p>
    <w:p>
      <w:pPr>
        <w:pStyle w:val="Heading1"/>
        <w:spacing w:lineRule="exact" w:line="360" w:before="240" w:after="160"/>
        <w:rPr/>
      </w:pPr>
      <w:bookmarkStart w:id="10" w:name="__RefHeading___Toc2655_1228540938"/>
      <w:bookmarkEnd w:id="10"/>
      <w:r>
        <w:rPr/>
        <w:t>5. Usuarios, perfiles y roles</w:t>
      </w:r>
    </w:p>
    <w:p>
      <w:pPr>
        <w:pStyle w:val="Normal"/>
        <w:spacing w:lineRule="exact" w:line="360" w:before="0" w:after="120"/>
        <w:jc w:val="both"/>
        <w:rPr/>
      </w:pPr>
      <w:r>
        <w:rPr>
          <w:rFonts w:eastAsia="Times New Roman" w:cs="Times New Roman"/>
          <w:sz w:val="24"/>
          <w:szCs w:val="24"/>
        </w:rPr>
        <w:t>La pantalla de inicio de sesión del diseño ofrece dos perfiles con un selector: Prestador y Personal interno. Según el perfil, el sistema abre el Portal del prestador o la Consola interna. Dentro de cada perfil, el rol del usuario define qué puede hacer. Los cuatro primeros roles provienen de la pantalla “Usuarios y roles” del diseño; el Agente de afiliación se añade porque el diseño incluye el registro de afiliados pero no asigna esa tarea a un rol.</w:t>
      </w:r>
    </w:p>
    <w:tbl>
      <w:tblPr>
        <w:tblW w:w="9360" w:type="dxa"/>
        <w:jc w:val="left"/>
        <w:tblInd w:w="0" w:type="dxa"/>
        <w:tblLayout w:type="fixed"/>
        <w:tblCellMar>
          <w:top w:w="60" w:type="dxa"/>
          <w:left w:w="100" w:type="dxa"/>
          <w:bottom w:w="60" w:type="dxa"/>
          <w:right w:w="100" w:type="dxa"/>
        </w:tblCellMar>
      </w:tblPr>
      <w:tblGrid>
        <w:gridCol w:w="1500"/>
        <w:gridCol w:w="1999"/>
        <w:gridCol w:w="3461"/>
        <w:gridCol w:w="2399"/>
      </w:tblGrid>
      <w:tr>
        <w:trPr>
          <w:tblHeader w:val="true"/>
        </w:trPr>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Perfil</w:t>
            </w:r>
          </w:p>
        </w:tc>
        <w:tc>
          <w:tcPr>
            <w:tcW w:w="1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Rol</w:t>
            </w:r>
          </w:p>
        </w:tc>
        <w:tc>
          <w:tcPr>
            <w:tcW w:w="346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Qué hace</w:t>
            </w:r>
          </w:p>
        </w:tc>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Alcance de los datos</w:t>
            </w:r>
          </w:p>
        </w:tc>
      </w:tr>
      <w:tr>
        <w:trPr/>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Prestador</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Prestador</w:t>
            </w:r>
          </w:p>
        </w:tc>
        <w:tc>
          <w:tcPr>
            <w:tcW w:w="34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Solicita autorizaciones, consulta su estado, confirma precertificaciones, presenta reclamaciones y consulta sus reportes.</w:t>
            </w:r>
          </w:p>
        </w:tc>
        <w:tc>
          <w:tcPr>
            <w:tcW w:w="2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Solo la información de su propio centro.</w:t>
            </w:r>
          </w:p>
        </w:tc>
      </w:tr>
      <w:tr>
        <w:trPr/>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Personal interno</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Analista de autorizaciones</w:t>
            </w:r>
          </w:p>
        </w:tc>
        <w:tc>
          <w:tcPr>
            <w:tcW w:w="34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Revisa la bandeja; aprueba, niega o pide información adicional.</w:t>
            </w:r>
          </w:p>
        </w:tc>
        <w:tc>
          <w:tcPr>
            <w:tcW w:w="2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Todas las autorizaciones; afiliados, planes y red en modo consulta.</w:t>
            </w:r>
          </w:p>
        </w:tc>
      </w:tr>
      <w:tr>
        <w:trPr/>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Personal interno</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Auditor médico</w:t>
            </w:r>
          </w:p>
        </w:tc>
        <w:tc>
          <w:tcPr>
            <w:tcW w:w="34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Audita reclamaciones: aprueba, glosa, devuelve o rechaza, y registra pagos.</w:t>
            </w:r>
          </w:p>
        </w:tc>
        <w:tc>
          <w:tcPr>
            <w:tcW w:w="2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Reclamaciones y autorizaciones; no modifica la red de prestadores.</w:t>
            </w:r>
          </w:p>
        </w:tc>
      </w:tr>
      <w:tr>
        <w:trPr/>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Personal interno</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Agente de afiliación</w:t>
            </w:r>
          </w:p>
        </w:tc>
        <w:tc>
          <w:tcPr>
            <w:tcW w:w="34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Registra afiliados y dependientes, cambia estados y planes.</w:t>
            </w:r>
          </w:p>
        </w:tc>
        <w:tc>
          <w:tcPr>
            <w:tcW w:w="2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Afiliados; planes en modo consulta.</w:t>
            </w:r>
          </w:p>
        </w:tc>
      </w:tr>
      <w:tr>
        <w:trPr/>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Personal interno</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Administrador</w:t>
            </w:r>
          </w:p>
        </w:tc>
        <w:tc>
          <w:tcPr>
            <w:tcW w:w="346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Gestiona usuarios, roles, la red de prestadores, planes y catálogos; consulta la bitácora y todos los reportes.</w:t>
            </w:r>
          </w:p>
        </w:tc>
        <w:tc>
          <w:tcPr>
            <w:tcW w:w="2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Acceso completo.</w:t>
            </w:r>
          </w:p>
        </w:tc>
      </w:tr>
    </w:tbl>
    <w:p>
      <w:pPr>
        <w:pStyle w:val="Normal"/>
        <w:spacing w:before="0" w:after="120"/>
        <w:rPr/>
      </w:pPr>
      <w:r>
        <w:rPr/>
      </w:r>
    </w:p>
    <w:p>
      <w:pPr>
        <w:pStyle w:val="Heading2"/>
        <w:spacing w:lineRule="exact" w:line="360" w:before="200" w:after="120"/>
        <w:rPr/>
      </w:pPr>
      <w:bookmarkStart w:id="11" w:name="__RefHeading___Toc2657_1228540938"/>
      <w:bookmarkEnd w:id="11"/>
      <w:r>
        <w:rPr/>
        <w:t>5.1 Casos de uso principales</w:t>
      </w:r>
    </w:p>
    <w:p>
      <w:pPr>
        <w:pStyle w:val="ListParagraph"/>
        <w:numPr>
          <w:ilvl w:val="0"/>
          <w:numId w:val="10"/>
        </w:numPr>
        <w:spacing w:lineRule="exact" w:line="360" w:before="0" w:after="60"/>
        <w:jc w:val="both"/>
        <w:rPr/>
      </w:pPr>
      <w:r>
        <w:rPr>
          <w:rFonts w:eastAsia="Times New Roman" w:cs="Times New Roman"/>
          <w:sz w:val="24"/>
          <w:szCs w:val="24"/>
        </w:rPr>
        <w:t>Una clínica entra al Portal del prestador, busca al asegurado por cédula, registra el médico prescriptor, el diagnóstico y el código del procedimiento “Resonancia magnética” y envía la solicitud. La solicitud queda Pendiente.</w:t>
      </w:r>
    </w:p>
    <w:p>
      <w:pPr>
        <w:pStyle w:val="ListParagraph"/>
        <w:numPr>
          <w:ilvl w:val="0"/>
          <w:numId w:val="3"/>
        </w:numPr>
        <w:spacing w:lineRule="exact" w:line="360" w:before="0" w:after="60"/>
        <w:jc w:val="both"/>
        <w:rPr/>
      </w:pPr>
      <w:r>
        <w:rPr>
          <w:rFonts w:eastAsia="Times New Roman" w:cs="Times New Roman"/>
          <w:sz w:val="24"/>
          <w:szCs w:val="24"/>
        </w:rPr>
        <w:t>El analista abre la Bandeja de autorizaciones, filtra por la pestaña Pendiente, selecciona la solicitud y el sistema le muestra la validación de cobertura. Aprueba, niega con un motivo o pide información adicional escribiendo una nota de revisión.</w:t>
      </w:r>
    </w:p>
    <w:p>
      <w:pPr>
        <w:pStyle w:val="ListParagraph"/>
        <w:numPr>
          <w:ilvl w:val="0"/>
          <w:numId w:val="3"/>
        </w:numPr>
        <w:spacing w:lineRule="exact" w:line="360" w:before="0" w:after="60"/>
        <w:jc w:val="both"/>
        <w:rPr/>
      </w:pPr>
      <w:r>
        <w:rPr>
          <w:rFonts w:eastAsia="Times New Roman" w:cs="Times New Roman"/>
          <w:sz w:val="24"/>
          <w:szCs w:val="24"/>
        </w:rPr>
        <w:t>La clínica ve el nuevo estado en “Autorizaciones recientes” de su portal, con la nota del analista y el monto cubierto.</w:t>
      </w:r>
    </w:p>
    <w:p>
      <w:pPr>
        <w:pStyle w:val="ListParagraph"/>
        <w:numPr>
          <w:ilvl w:val="0"/>
          <w:numId w:val="3"/>
        </w:numPr>
        <w:spacing w:lineRule="exact" w:line="360" w:before="0" w:after="60"/>
        <w:jc w:val="both"/>
        <w:rPr/>
      </w:pPr>
      <w:r>
        <w:rPr>
          <w:rFonts w:eastAsia="Times New Roman" w:cs="Times New Roman"/>
          <w:sz w:val="24"/>
          <w:szCs w:val="24"/>
        </w:rPr>
        <w:t>Después del servicio, la clínica presenta la reclamación. El auditor médico la compara con lo autorizado y la aprueba, la glosa o la devuelve por documentación incompleta.</w:t>
      </w:r>
    </w:p>
    <w:p>
      <w:pPr>
        <w:pStyle w:val="ListParagraph"/>
        <w:numPr>
          <w:ilvl w:val="0"/>
          <w:numId w:val="3"/>
        </w:numPr>
        <w:spacing w:lineRule="exact" w:line="360" w:before="0" w:after="60"/>
        <w:jc w:val="both"/>
        <w:rPr/>
      </w:pPr>
      <w:r>
        <w:rPr>
          <w:rFonts w:eastAsia="Times New Roman" w:cs="Times New Roman"/>
          <w:sz w:val="24"/>
          <w:szCs w:val="24"/>
        </w:rPr>
        <w:t>Un agente registra a un nuevo titular siguiendo las cuatro secciones del formulario (datos personales, contacto, plan y dependientes) y añade a su cónyuge e hijos.</w:t>
      </w:r>
    </w:p>
    <w:p>
      <w:pPr>
        <w:pStyle w:val="ListParagraph"/>
        <w:numPr>
          <w:ilvl w:val="0"/>
          <w:numId w:val="3"/>
        </w:numPr>
        <w:spacing w:lineRule="exact" w:line="360" w:before="0" w:after="60"/>
        <w:jc w:val="both"/>
        <w:rPr/>
      </w:pPr>
      <w:r>
        <w:rPr>
          <w:rFonts w:eastAsia="Times New Roman" w:cs="Times New Roman"/>
          <w:sz w:val="24"/>
          <w:szCs w:val="24"/>
        </w:rPr>
        <w:t>El administrador crea el usuario de una nueva clínica, lo vincula a su registro en la red de prestadores y revisa la bitácora de accesos.</w:t>
      </w:r>
    </w:p>
    <w:p>
      <w:pPr>
        <w:pStyle w:val="Heading1"/>
        <w:spacing w:lineRule="exact" w:line="360" w:before="240" w:after="160"/>
        <w:rPr/>
      </w:pPr>
      <w:bookmarkStart w:id="12" w:name="__RefHeading___Toc2659_1228540938"/>
      <w:bookmarkEnd w:id="12"/>
      <w:r>
        <w:rPr/>
        <w:t>6. Requerimientos funcionales</w:t>
      </w:r>
    </w:p>
    <w:p>
      <w:pPr>
        <w:pStyle w:val="Normal"/>
        <w:spacing w:lineRule="exact" w:line="360" w:before="0" w:after="120"/>
        <w:jc w:val="both"/>
        <w:rPr/>
      </w:pPr>
      <w:r>
        <w:rPr>
          <w:rFonts w:eastAsia="Times New Roman" w:cs="Times New Roman"/>
          <w:sz w:val="24"/>
          <w:szCs w:val="24"/>
        </w:rPr>
        <w:t>Prioridades: P0 = imprescindible; P1 = importante (debe estar en la entrega final); P2 = deseable (si el tiempo lo permite). La columna “Responsable” corresponde a la sección 10. Los nombres de pantallas coinciden con los del diseño de referencia.</w:t>
      </w:r>
    </w:p>
    <w:p>
      <w:pPr>
        <w:pStyle w:val="Heading2"/>
        <w:spacing w:lineRule="exact" w:line="360" w:before="200" w:after="120"/>
        <w:rPr/>
      </w:pPr>
      <w:bookmarkStart w:id="13" w:name="__RefHeading___Toc2661_1228540938"/>
      <w:bookmarkEnd w:id="13"/>
      <w:r>
        <w:rPr/>
        <w:t>6.1 Seguridad, núcleo y navegación (SEG)</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Inicio de sesión con selector de perfil “Prestador / Personal interno”, usuario y contraseña (hash BCrypt). Un usuario solo puede entrar por el perfil que le corresponde.</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Según el perfil, se abre la Consola interna o el Portal del prestador, cada uno con su barra lateral, su encabezado (título y subtítulo de la pantalla) y el botón “Cerrar sesión”.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 barra lateral muestra solo las opciones permitidas para el rol de la sesión; el encabezado muestra nombre, iniciales y cargo o rol del usuario.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CRUD de usuarios internos y de usuarios prestador; todo usuario prestador está vinculado a un registro de la red de prestadores. Los usuarios no se borran, se desactivan.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“Usuarios y roles” con una tarjeta por rol que muestra su descripción y alcance de datos.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RF-SEG-06</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Bloqueo de la cuenta tras 5 intentos fallidos consecutivos; solo el administrador la desbloquea.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RF-SEG-07</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Bitácora: cada inicio de sesión, creación, cambio de estado y anulación guarda usuario, perfil, fecha/hora, módulo, acción e ID del registro.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RF-SEG-08</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Búsqueda global en el encabezado de la Consola interna: “Buscar afiliado, autorización o prestador”, que abre el resultado en su pantalla.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RF-SEG-09</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Enlace “¿Necesitas ayuda para acceder?” que muestra los datos de contacto del administrador.</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RF-SEG-10</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Conexión a MySQL leída de un archivo db.properties externo, no del código fuente.</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bl>
    <w:p>
      <w:pPr>
        <w:pStyle w:val="Heading2"/>
        <w:spacing w:lineRule="exact" w:line="360" w:before="200" w:after="120"/>
        <w:rPr/>
      </w:pPr>
      <w:bookmarkStart w:id="14" w:name="__RefHeading___Toc2663_1228540938"/>
      <w:bookmarkEnd w:id="14"/>
      <w:r>
        <w:rPr/>
        <w:t>6.2 Afiliados y dependientes (AFI)</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“Nuevo afiliado” en cuatro secciones, como el diseño. Sección 1, Datos personales: tipo de documento (Cédula, Pasaporte, Acta de nacimiento para menores), número de documento (cédula validada con formato 000-0000000-0), NSS, nombres, apellidos, fecha de nacimiento, sexo, estado civil y nacionalidad.</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Sección 2, Contacto y dirección: tipo de teléfono (Celular, Residencial, Trabajo), teléfono (000) 000-0000, correo, provincia, municipio (dependiente de la provincia), sector y dirección.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Sección 3, Plan y afiliación: tipo de afiliado (Titular o Dependiente), plan, inicio de cobertura, empleador o RNC y, si es dependiente, titular (buscado por cédula) y parentesco.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Sección 4, Dependientes: tabla con nombre, documento, parentesco, nacimiento y acción; botón “Agregar dependiente”. Es opcional y puede completarse luego desde la ficha.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Botones Cancelar, Guardar borrador y Crear afiliado. Al crear, se muestra el aviso “Afiliado creado correctamente. Ya puede recibir servicios.” con la opción “Volver a afiliados”.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 (borrador 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RF-AFI-06</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“Afiliados”: búsqueda por cédula, NSS o nombre y “Ficha del afiliado” con cédula, NSS, edad calculada, nombres, apellidos, estado de afiliación y plan con coberturas.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RF-AFI-07</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Cambiar el estado (Activo, Suspendido, Cancelado) con motivo obligatorio. No hay borrado físico.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RF-AFI-08</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Número de afiliado único generado automáticamente (AF-000001).</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RF-AFI-09</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 ficha muestra el historial de autorizaciones del afiliado (solo consulta).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RF-AFI-10</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Imprimir o exportar el carnet del afiliado en PDF con la identidad de ARS VitaSalud.</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bl>
    <w:p>
      <w:pPr>
        <w:pStyle w:val="Heading2"/>
        <w:spacing w:lineRule="exact" w:line="360" w:before="200" w:after="120"/>
        <w:rPr/>
      </w:pPr>
      <w:bookmarkStart w:id="15" w:name="__RefHeading___Toc2665_1228540938"/>
      <w:bookmarkEnd w:id="15"/>
      <w:r>
        <w:rPr/>
        <w:t>6.3 Red de prestadores (PSS)</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RF-PSS-01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“Red de prestadores” con filtro por nombre o RNC y tabla con Prestador, RNC, Tipo, Estado y Acción.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RF-PSS-02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Botón “Nuevo prestador”: RNC (9 dígitos) o cédula del médico independiente, nombre, tipo (Clínica, Hospital, Laboratorio, Centro de diagnóstico, Médico independiente, Farmacia), dirección, provincia, teléfono y correo.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RF-PSS-03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Estado del contrato: Activo, Suspendido, Terminado. Solo los activos pueden solicitar autorizaciones y entrar al portal.</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RF-PSS-04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Médicos y especialidades asociadas al prestador, para escoger el médico prescriptor al solicitar.</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bl>
    <w:p>
      <w:pPr>
        <w:pStyle w:val="Heading2"/>
        <w:spacing w:lineRule="exact" w:line="360" w:before="200" w:after="120"/>
        <w:rPr/>
      </w:pPr>
      <w:bookmarkStart w:id="16" w:name="__RefHeading___Toc2667_1228540938"/>
      <w:bookmarkEnd w:id="16"/>
      <w:r>
        <w:rPr/>
        <w:t>6.4 Planes, coberturas y servicios (PLA)</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CRUD de planes: código, nombre (ej. Básico PDSS, Complementario Plata, Complementario Oro), descripción, prima mensual y estado.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Catálogo de procedimientos y servicios: código, descripción y categoría (Consulta, Laboratorio, Imágenes, Emergencia, Hospitalización, Cirugía, Terapia, Medicamentos). Es el mismo catálogo del reporte “Listado de procedimientos” del portal.</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Cobertura de cada plan por categoría: porcentaje cubierto, copago fijo (si aplica), tope anual en RD$, días de carencia y si requiere precertificación.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Tarifario: monto acordado por procedimiento para cada prestador; si no existe, se usa el precio de referencia.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 plan con afiliados activos no puede desactivarse; el sistema muestra cuántos lo tienen.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bl>
    <w:p>
      <w:pPr>
        <w:pStyle w:val="Heading2"/>
        <w:spacing w:lineRule="exact" w:line="360" w:before="200" w:after="120"/>
        <w:rPr/>
      </w:pPr>
      <w:bookmarkStart w:id="17" w:name="__RefHeading___Toc2669_1228540938"/>
      <w:bookmarkEnd w:id="17"/>
      <w:r>
        <w:rPr/>
        <w:t>6.5 Autorizaciones (AUT)</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Portal → “Solicitar autorización”, en tres pasos. Paso 1, Asegurado: búsqueda por cédula, NSS o nombre, que muestra cédula, NSS, nombres, apellidos y edad (solo lectura).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Paso 2, Datos del servicio: fecha, tipo de teléfono y teléfono de contacto, tipo de servicio, correo, médico prescriptor, diagnóstico (CIE-10 y descripción) e indicador de origen laboral (campo “ARL” del diseño).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Paso 3, Procedimientos: se agregan uno o más códigos de procedimiento del catálogo con su monto solicitado. Al enviar, el bloque “Resultado” muestra el número asignado y el estado.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Número de autorización único con el formato del diseño, AUT-000001, generado al enviar.</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Consola → “Bandeja de autorizaciones”: tabla con Autorización, Fecha, Asegurado, Prestador, Servicio y Estado, con pestañas Todas, Pendiente, En revisión, Aprobada y Negada, ordenada por antigüedad.</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RF-AUT-06</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Panel lateral “Revisión de autorización” con los datos de la solicitud seleccionada, el resultado de la validación de cobertura (RN-04 a RN-06), el campo “Nota de revisión” y los botones Aprobar, Negar y Pedir información.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RF-AUT-07</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Ciclo de estados: Pendiente → En revisión (información solicitada) → Aprobada o Negada; además Anulada y Vencida. Negar y pedir información exigen una nota, que el prestador ve en su portal.</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RF-AUT-08</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Cálculo automático del monto cubierto y del copago (RN-05) al aprobar.</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RF-AUT-09</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Portal → “Búsqueda avanzada”: consulta de las autorizaciones propias por número o asegurado y por rango de fechas (Desde, Hasta).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RF-AUT-10</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Las autorizaciones aprobadas vencen a los 30 días si no se reclaman.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RF-AUT-11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Imprimir el comprobante de autorización en PDF.</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bl>
    <w:p>
      <w:pPr>
        <w:pStyle w:val="Heading2"/>
        <w:spacing w:lineRule="exact" w:line="360" w:before="200" w:after="120"/>
        <w:rPr/>
      </w:pPr>
      <w:bookmarkStart w:id="18" w:name="__RefHeading___Toc2671_1228540938"/>
      <w:bookmarkEnd w:id="18"/>
      <w:r>
        <w:rPr/>
        <w:t>6.6 Portal del prestador (PRE)</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“Inicio”: saludo “Hola, [Nombre del prestador]”, accesos directos y tabla “Autorizaciones recientes” con las últimas solicitudes del centro y su estado.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“Mis solicitudes”: lista de todas las solicitudes del prestador con su estado, nota de revisión y monto cubierto.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“Reportes” del prestador: Devoluciones médicas, Estados de cuenta por período, Listado de procedimientos, Consulta de devoluciones, Consulta de cheques (pagos emitidos) y Coberturas contratadas. Las cartas de ingreso e impuesto quedan fuera de alcance (4.2).</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 (Estados de cuenta y Cheques 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t>
            </w:r>
            <w:r>
              <w:rPr>
                <w:rFonts w:eastAsia="Times New Roman" w:cs="Times New Roman"/>
                <w:sz w:val="20"/>
                <w:szCs w:val="20"/>
              </w:rPr>
              <w:t>Confirmar precertificación”: búsqueda por número de precertificación y confirmación o cancelación de un procedimiento programado ya aprobado.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Bloque “Comunicados”: avisos publicados por el administrador que se muestran en el Inicio del portal.</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RF-PRE-06</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t>
            </w:r>
            <w:r>
              <w:rPr>
                <w:rFonts w:eastAsia="Times New Roman" w:cs="Times New Roman"/>
                <w:sz w:val="20"/>
                <w:szCs w:val="20"/>
              </w:rPr>
              <w:t>Hospitalización”: registro de ingreso y egreso de un paciente con autorización aprobada. La validación de hojas quirúrgicas queda para una versión futura.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bl>
    <w:p>
      <w:pPr>
        <w:pStyle w:val="Heading2"/>
        <w:spacing w:lineRule="exact" w:line="360" w:before="200" w:after="120"/>
        <w:rPr/>
      </w:pPr>
      <w:bookmarkStart w:id="19" w:name="__RefHeading___Toc2673_1228540938"/>
      <w:bookmarkEnd w:id="19"/>
      <w:r>
        <w:rPr/>
        <w:t>6.7 Reclamaciones (REC)</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prestador presenta la reclamación desde el portal (acción “Agregar reclamación por servicio”) sobre una autorización aprobada: número de factura, fecha del servicio y monto reclamado.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Validar que la autorización es de ese prestador, que no fue reclamada antes y que el monto no excede lo autorizado.</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Ciclo: Recibida → En auditoría → Aprobada / Glosada / Devuelta / Rechazada → Pagada. “Devuelta” significa que se regresa al prestador para corregir documentación y aparece en sus reportes de devoluciones.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“Reclamaciones” en la Consola interna para el auditor médico, con la misma estructura de bandeja y panel lateral que las autorizaciones.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RF-REC-05</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Glosas: monto objetado y motivo (Servicio no autorizado, Monto superior a la tarifa, Documentación incompleta, Otro); el monto a pagar se recalcula.</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RF-REC-06</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Registro del pago: fecha y número de cheque o referencia. Una reclamación pagada no se puede modificar.</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bl>
    <w:p>
      <w:pPr>
        <w:pStyle w:val="Heading2"/>
        <w:spacing w:lineRule="exact" w:line="360" w:before="200" w:after="120"/>
        <w:rPr/>
      </w:pPr>
      <w:bookmarkStart w:id="20" w:name="__RefHeading___Toc2675_1228540938"/>
      <w:bookmarkEnd w:id="20"/>
      <w:r>
        <w:rPr/>
        <w:t>6.8 Panel y reportes internos (REP)</w:t>
      </w:r>
    </w:p>
    <w:tbl>
      <w:tblPr>
        <w:tblW w:w="9360" w:type="dxa"/>
        <w:jc w:val="left"/>
        <w:tblInd w:w="0" w:type="dxa"/>
        <w:tblLayout w:type="fixed"/>
        <w:tblCellMar>
          <w:top w:w="60" w:type="dxa"/>
          <w:left w:w="100" w:type="dxa"/>
          <w:bottom w:w="60" w:type="dxa"/>
          <w:right w:w="100" w:type="dxa"/>
        </w:tblCellMar>
      </w:tblPr>
      <w:tblGrid>
        <w:gridCol w:w="1349"/>
        <w:gridCol w:w="5410"/>
        <w:gridCol w:w="1100"/>
        <w:gridCol w:w="1500"/>
      </w:tblGrid>
      <w:tr>
        <w:trPr>
          <w:tblHeader w:val="true"/>
        </w:trPr>
        <w:tc>
          <w:tcPr>
            <w:tcW w:w="134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5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 (criterio verificable)</w:t>
            </w:r>
          </w:p>
        </w:tc>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Prioridad</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RF-REP-01</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“Panel” de la Consola interna: cuatro tarjetas (Pendientes, En revisión, Aprobadas, Negadas) calculadas desde la BD; tarjeta “Acciones rápidas” con Nuevo afiliado y Abrir bandeja; tarjeta “Requieren tu atención”.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P0</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RF-REP-02</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 “Reportes” con una tarjeta por reporte: Autorizaciones por estado (volumen y tiempo de respuesta), Reclamaciones por prestador, Devoluciones (motivos y reincidencia), Pagos y cheques, Precertificaciones y Actividad de usuarios.</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RF-REP-03</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Tiempo promedio de respuesta de autorizaciones: diferencia entre la fecha de solicitud y la de la decisión.</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P1</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34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RF-REP-04</w:t>
            </w:r>
          </w:p>
        </w:tc>
        <w:tc>
          <w:tcPr>
            <w:tcW w:w="5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Exportar cualquier reporte a PDF y a Excel o CSV.</w:t>
            </w:r>
          </w:p>
        </w:tc>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P2</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bl>
    <w:p>
      <w:pPr>
        <w:pStyle w:val="Heading1"/>
        <w:spacing w:lineRule="exact" w:line="360" w:before="240" w:after="160"/>
        <w:rPr/>
      </w:pPr>
      <w:bookmarkStart w:id="21" w:name="__RefHeading___Toc2677_1228540938"/>
      <w:bookmarkEnd w:id="21"/>
      <w:r>
        <w:rPr/>
        <w:t>7. Reglas de negocio</w:t>
      </w:r>
    </w:p>
    <w:p>
      <w:pPr>
        <w:pStyle w:val="Normal"/>
        <w:spacing w:lineRule="exact" w:line="360" w:before="0" w:after="120"/>
        <w:jc w:val="both"/>
        <w:rPr/>
      </w:pPr>
      <w:r>
        <w:rPr>
          <w:rFonts w:eastAsia="Times New Roman" w:cs="Times New Roman"/>
          <w:sz w:val="24"/>
          <w:szCs w:val="24"/>
        </w:rPr>
        <w:t>Se implementan en la capa de servicio, no en la interfaz, para que se apliquen siempre y puedan probarse con JUnit.</w:t>
      </w:r>
    </w:p>
    <w:tbl>
      <w:tblPr>
        <w:tblW w:w="9360" w:type="dxa"/>
        <w:jc w:val="left"/>
        <w:tblInd w:w="0" w:type="dxa"/>
        <w:tblLayout w:type="fixed"/>
        <w:tblCellMar>
          <w:top w:w="60" w:type="dxa"/>
          <w:left w:w="100" w:type="dxa"/>
          <w:bottom w:w="60" w:type="dxa"/>
          <w:right w:w="100" w:type="dxa"/>
        </w:tblCellMar>
      </w:tblPr>
      <w:tblGrid>
        <w:gridCol w:w="900"/>
        <w:gridCol w:w="7159"/>
        <w:gridCol w:w="1301"/>
      </w:tblGrid>
      <w:tr>
        <w:trPr>
          <w:tblHeader w:val="true"/>
        </w:trPr>
        <w:tc>
          <w:tcPr>
            <w:tcW w:w="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ID</w:t>
            </w:r>
          </w:p>
        </w:tc>
        <w:tc>
          <w:tcPr>
            <w:tcW w:w="715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Regla</w:t>
            </w:r>
          </w:p>
        </w:tc>
        <w:tc>
          <w:tcPr>
            <w:tcW w:w="13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Módulo</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RN-01</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 combinación tipo + número de documento y el NSS de un afiliado son únicos.</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RN-02</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Hijos dependientes hasta los 18 años, o 21 si es estudiante; un solo cónyuge por titular. Los menores sin cédula se registran con acta de nacimiento.</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RN-03</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Si un titular pasa a Suspendido o Cancelado, sus dependientes pasan al mismo estado.</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RN-04</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Solo se aprueba una solicitud si el afiliado está Activo, el prestador está Activo, el plan cubre la categoría del procedimiento y se cumplió la carencia desde el inicio de cobertura.</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RN-05</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Monto base = el menor entre lo solicitado y la tarifa del prestador. Monto cubierto = monto base × % de cobertura. Copago = solicitado − cubierto (o el copago fijo del plan).</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RN-06</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 suma cubierta por afiliado y categoría en el año calendario no supera el tope anual; si lo supera, se aprueba solo el saldo disponible.</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RN-07</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 usuario prestador solo puede crear, ver y reclamar registros de su propio prestador. El filtro se aplica en las consultas SQL del DAO, no solo en la interfaz.</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Todos</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RN-08</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Una autorización tiene como máximo una reclamación, cuyo monto no supera el monto cubierto autorizado.</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REC</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RN-09</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Monto a pagar = reclamado − glosado. Una reclamación pagada queda cerrada.</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REC</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RN-10</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Ningún registro de negocio se elimina físicamente; se cambia su estado y queda en la bitácora.</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Todos</w:t>
            </w:r>
          </w:p>
        </w:tc>
      </w:tr>
      <w:tr>
        <w:trPr/>
        <w:tc>
          <w:tcPr>
            <w:tcW w:w="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RN-11</w:t>
            </w:r>
          </w:p>
        </w:tc>
        <w:tc>
          <w:tcPr>
            <w:tcW w:w="71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Crear una solicitud con sus procedimientos, o una reclamación con sus glosas, ocurre en una transacción: se guarda todo o nada.</w:t>
            </w:r>
          </w:p>
        </w:tc>
        <w:tc>
          <w:tcPr>
            <w:tcW w:w="13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 / REC</w:t>
            </w:r>
          </w:p>
        </w:tc>
      </w:tr>
    </w:tbl>
    <w:p>
      <w:pPr>
        <w:pStyle w:val="Heading1"/>
        <w:spacing w:lineRule="exact" w:line="360" w:before="240" w:after="160"/>
        <w:rPr/>
      </w:pPr>
      <w:bookmarkStart w:id="22" w:name="__RefHeading___Toc2679_1228540938"/>
      <w:bookmarkEnd w:id="22"/>
      <w:r>
        <w:rPr/>
        <w:t>8. Requerimientos no funcionales</w:t>
      </w:r>
    </w:p>
    <w:tbl>
      <w:tblPr>
        <w:tblW w:w="9360" w:type="dxa"/>
        <w:jc w:val="left"/>
        <w:tblInd w:w="0" w:type="dxa"/>
        <w:tblLayout w:type="fixed"/>
        <w:tblCellMar>
          <w:top w:w="60" w:type="dxa"/>
          <w:left w:w="100" w:type="dxa"/>
          <w:bottom w:w="60" w:type="dxa"/>
          <w:right w:w="100" w:type="dxa"/>
        </w:tblCellMar>
      </w:tblPr>
      <w:tblGrid>
        <w:gridCol w:w="2000"/>
        <w:gridCol w:w="7359"/>
      </w:tblGrid>
      <w:tr>
        <w:trPr>
          <w:tblHeader w:val="true"/>
        </w:trPr>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Categoría</w:t>
            </w:r>
          </w:p>
        </w:tc>
        <w:tc>
          <w:tcPr>
            <w:tcW w:w="735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Requerimiento</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Rendimiento</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Búsquedas en menos de 2 segundos con 10,000 afiliados y 50,000 autorizaciones de prueba; la aplicación abre en menos de 5 segundos en un equipo con 8 GB de RAM; la bandeja se actualiza al volver a ella o con un botón de refrescar.</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Seguridad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BCrypt para contraseñas; PreparedStatement en todas las consultas; db.properties fuera del repositorio; permisos verificados en la capa de servicio; filtro por prestador en el DAO (RN-07).</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Privacidad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Diseño basado en los principios de la Ley 172-13 sobre protección de datos personales: acceso mínimo por perfil y rol, bitácora de accesos y uso exclusivo de datos ficticios.</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Integridad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Claves foráneas y restricciones UNIQUE/NOT NULL; transacciones (RN-11); borrado lógico (RN-10).</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Usabilidad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Fidelidad al sistema de diseño de ARS VitaSalud (sección 11); interfaz en español; validación en línea; confirmación antes de acciones irreversibles; navegación por teclado; moneda RD$ con dos decimales y fechas dd/mm/aaaa.</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Accesibilidad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Contraste de texto de al menos 4.5:1, como se verificó en el diseño para el texto blanco sobre Verde Hoja y Verde Vita; los estados siempre llevan texto, nunca solo color; foco visible de 2 px en los campos.</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Mantenibilidad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Capas MVC + Servicio + DAO; una hoja de estilos global (vitasalud.css) con colores definidos en un solo lugar; Javadoc en servicios y DAO.</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Portabilidad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Windows 10/11 y Linux; JAR ejecutable generado con Maven, con la fuente Figtree incluida en el propio JAR.</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Confiabilidad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Errores de conexión mostrados con un mensaje comprensible y registrados en un archivo de log; procedimiento de respaldo con mysqldump.</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Calidad</w:t>
            </w:r>
          </w:p>
        </w:tc>
        <w:tc>
          <w:tcPr>
            <w:tcW w:w="73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Pruebas JUnit 5 para RN-01 a RN-11, con al menos un caso válido y uno inválido por regla.</w:t>
            </w:r>
          </w:p>
        </w:tc>
      </w:tr>
    </w:tbl>
    <w:p>
      <w:pPr>
        <w:pStyle w:val="Heading1"/>
        <w:spacing w:lineRule="exact" w:line="360" w:before="240" w:after="160"/>
        <w:rPr/>
      </w:pPr>
      <w:bookmarkStart w:id="23" w:name="__RefHeading___Toc2681_1228540938"/>
      <w:bookmarkEnd w:id="23"/>
      <w:r>
        <w:rPr/>
        <w:t>9. Arquitectura técnica y stack</w:t>
      </w:r>
    </w:p>
    <w:p>
      <w:pPr>
        <w:pStyle w:val="Heading2"/>
        <w:spacing w:lineRule="exact" w:line="360" w:before="200" w:after="120"/>
        <w:rPr/>
      </w:pPr>
      <w:bookmarkStart w:id="24" w:name="__RefHeading___Toc2683_1228540938"/>
      <w:bookmarkEnd w:id="24"/>
      <w:r>
        <w:rPr/>
        <w:t>9.1 Stack seleccionado</w:t>
      </w:r>
    </w:p>
    <w:tbl>
      <w:tblPr>
        <w:tblW w:w="9360" w:type="dxa"/>
        <w:jc w:val="left"/>
        <w:tblInd w:w="0" w:type="dxa"/>
        <w:tblLayout w:type="fixed"/>
        <w:tblCellMar>
          <w:top w:w="60" w:type="dxa"/>
          <w:left w:w="100" w:type="dxa"/>
          <w:bottom w:w="60" w:type="dxa"/>
          <w:right w:w="100" w:type="dxa"/>
        </w:tblCellMar>
      </w:tblPr>
      <w:tblGrid>
        <w:gridCol w:w="1699"/>
        <w:gridCol w:w="3401"/>
        <w:gridCol w:w="4260"/>
      </w:tblGrid>
      <w:tr>
        <w:trPr>
          <w:tblHeader w:val="true"/>
        </w:trPr>
        <w:tc>
          <w:tcPr>
            <w:tcW w:w="1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Componente</w:t>
            </w:r>
          </w:p>
        </w:tc>
        <w:tc>
          <w:tcPr>
            <w:tcW w:w="34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Tecnología</w:t>
            </w:r>
          </w:p>
        </w:tc>
        <w:tc>
          <w:tcPr>
            <w:tcW w:w="42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Justificación</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Lenguaje</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Java — JDK 21 LTS como mínimo (JDK 25 LTS si todos los equipos y el laboratorio lo soportan)</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Requisito de la asignatura; los 4 integrantes deben usar exactamente la misma versión.</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Interfaz</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JavaFX (OpenJFX) con FXML, Scene Builder y CSS</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diseño de referencia se traduce casi directamente a CSS de JavaFX (colores, bordes redondeados, sombras, tipografía); FXML separa la vista de la lógica.</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Tipografía</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Figtree (Google Fonts, licencia SIL Open Font License) en resources/fonts</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Es la fuente del diseño; su licencia permite incluirla en la aplicación.</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Base de datos</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MySQL 8.x (Community Server), en un servidor de la red local</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Elegida por el equipo. InnoDB aporta transacciones y claves foráneas; un servidor compartido permite que el portal y la consola, abiertos en máquinas distintas, vean los mismos datos.</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Acceso a datos</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JDBC con MySQL Connector/J, patrón DAO</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Demuestra SQL y el patrón DAO de forma explícita, sin la complejidad de un ORM.</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Construcción</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Maven</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Versiones fijas en el pom.xml para que compile igual en las 4 computadoras.</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Seguridad</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jBCrypt</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Hash de contraseñas con sal.</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Reportes</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JasperReports u OpenPDF para PDF; Apache POI o CSV para Excel</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Exportación (P2), se decide en la fase 3.</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Pruebas</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JUnit 5</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Reglas de negocio en la capa de servicio.</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Control de versiones</w:t>
            </w:r>
          </w:p>
        </w:tc>
        <w:tc>
          <w:tcPr>
            <w:tcW w:w="34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Git + GitHub (repositorio privado)</w:t>
            </w:r>
          </w:p>
        </w:tc>
        <w:tc>
          <w:tcPr>
            <w:tcW w:w="4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Ramas por módulo y pull requests.</w:t>
            </w:r>
          </w:p>
        </w:tc>
      </w:tr>
    </w:tbl>
    <w:p>
      <w:pPr>
        <w:pStyle w:val="Normal"/>
        <w:spacing w:before="0" w:after="120"/>
        <w:rPr/>
      </w:pPr>
      <w:r>
        <w:rPr/>
      </w:r>
    </w:p>
    <w:p>
      <w:pPr>
        <w:pStyle w:val="Heading2"/>
        <w:spacing w:lineRule="exact" w:line="360" w:before="200" w:after="120"/>
        <w:rPr/>
      </w:pPr>
      <w:bookmarkStart w:id="25" w:name="__RefHeading___Toc2685_1228540938"/>
      <w:bookmarkEnd w:id="25"/>
      <w:r>
        <w:rPr/>
        <w:t>9.2 Arquitectura en capas</w:t>
      </w:r>
    </w:p>
    <w:p>
      <w:pPr>
        <w:pStyle w:val="ListParagraph"/>
        <w:numPr>
          <w:ilvl w:val="0"/>
          <w:numId w:val="11"/>
        </w:numPr>
        <w:spacing w:lineRule="exact" w:line="360" w:before="0" w:after="60"/>
        <w:jc w:val="both"/>
        <w:rPr/>
      </w:pPr>
      <w:r>
        <w:rPr>
          <w:rFonts w:eastAsia="Times New Roman" w:cs="Times New Roman"/>
          <w:b/>
          <w:bCs/>
          <w:sz w:val="24"/>
          <w:szCs w:val="24"/>
        </w:rPr>
        <w:t xml:space="preserve">Vista (FXML + vitasalud.css): </w:t>
      </w:r>
      <w:r>
        <w:rPr>
          <w:rFonts w:eastAsia="Times New Roman" w:cs="Times New Roman"/>
          <w:sz w:val="24"/>
          <w:szCs w:val="24"/>
        </w:rPr>
        <w:t>pantallas y estilos, sin lógica.</w:t>
      </w:r>
    </w:p>
    <w:p>
      <w:pPr>
        <w:pStyle w:val="ListParagraph"/>
        <w:numPr>
          <w:ilvl w:val="0"/>
          <w:numId w:val="4"/>
        </w:numPr>
        <w:spacing w:lineRule="exact" w:line="360" w:before="0" w:after="60"/>
        <w:jc w:val="both"/>
        <w:rPr/>
      </w:pPr>
      <w:r>
        <w:rPr>
          <w:rFonts w:eastAsia="Times New Roman" w:cs="Times New Roman"/>
          <w:b/>
          <w:bCs/>
          <w:sz w:val="24"/>
          <w:szCs w:val="24"/>
        </w:rPr>
        <w:t xml:space="preserve">Controlador (JavaFX): </w:t>
      </w:r>
      <w:r>
        <w:rPr>
          <w:rFonts w:eastAsia="Times New Roman" w:cs="Times New Roman"/>
          <w:sz w:val="24"/>
          <w:szCs w:val="24"/>
        </w:rPr>
        <w:t>eventos de la interfaz, validación de formato y llamadas al servicio.</w:t>
      </w:r>
    </w:p>
    <w:p>
      <w:pPr>
        <w:pStyle w:val="ListParagraph"/>
        <w:numPr>
          <w:ilvl w:val="0"/>
          <w:numId w:val="4"/>
        </w:numPr>
        <w:spacing w:lineRule="exact" w:line="360" w:before="0" w:after="60"/>
        <w:jc w:val="both"/>
        <w:rPr/>
      </w:pPr>
      <w:r>
        <w:rPr>
          <w:rFonts w:eastAsia="Times New Roman" w:cs="Times New Roman"/>
          <w:b/>
          <w:bCs/>
          <w:sz w:val="24"/>
          <w:szCs w:val="24"/>
        </w:rPr>
        <w:t xml:space="preserve">Servicio: </w:t>
      </w:r>
      <w:r>
        <w:rPr>
          <w:rFonts w:eastAsia="Times New Roman" w:cs="Times New Roman"/>
          <w:sz w:val="24"/>
          <w:szCs w:val="24"/>
        </w:rPr>
        <w:t>reglas de negocio de la sección 7, transacciones y permisos por rol y por prestador.</w:t>
      </w:r>
    </w:p>
    <w:p>
      <w:pPr>
        <w:pStyle w:val="ListParagraph"/>
        <w:numPr>
          <w:ilvl w:val="0"/>
          <w:numId w:val="4"/>
        </w:numPr>
        <w:spacing w:lineRule="exact" w:line="360" w:before="0" w:after="60"/>
        <w:jc w:val="both"/>
        <w:rPr/>
      </w:pPr>
      <w:r>
        <w:rPr>
          <w:rFonts w:eastAsia="Times New Roman" w:cs="Times New Roman"/>
          <w:b/>
          <w:bCs/>
          <w:sz w:val="24"/>
          <w:szCs w:val="24"/>
        </w:rPr>
        <w:t xml:space="preserve">DAO: </w:t>
      </w:r>
      <w:r>
        <w:rPr>
          <w:rFonts w:eastAsia="Times New Roman" w:cs="Times New Roman"/>
          <w:sz w:val="24"/>
          <w:szCs w:val="24"/>
        </w:rPr>
        <w:t>SQL con PreparedStatement; convierte filas en objetos.</w:t>
      </w:r>
    </w:p>
    <w:p>
      <w:pPr>
        <w:pStyle w:val="ListParagraph"/>
        <w:numPr>
          <w:ilvl w:val="0"/>
          <w:numId w:val="4"/>
        </w:numPr>
        <w:spacing w:lineRule="exact" w:line="360" w:before="0" w:after="60"/>
        <w:jc w:val="both"/>
        <w:rPr/>
      </w:pPr>
      <w:r>
        <w:rPr>
          <w:rFonts w:eastAsia="Times New Roman" w:cs="Times New Roman"/>
          <w:b/>
          <w:bCs/>
          <w:sz w:val="24"/>
          <w:szCs w:val="24"/>
        </w:rPr>
        <w:t xml:space="preserve">Modelo: </w:t>
      </w:r>
      <w:r>
        <w:rPr>
          <w:rFonts w:eastAsia="Times New Roman" w:cs="Times New Roman"/>
          <w:sz w:val="24"/>
          <w:szCs w:val="24"/>
        </w:rPr>
        <w:t>clases POJO compartidas por todas las capas.</w:t>
      </w:r>
    </w:p>
    <w:p>
      <w:pPr>
        <w:pStyle w:val="Heading2"/>
        <w:spacing w:lineRule="exact" w:line="360" w:before="200" w:after="120"/>
        <w:rPr/>
      </w:pPr>
      <w:bookmarkStart w:id="26" w:name="__RefHeading___Toc2687_1228540938"/>
      <w:bookmarkEnd w:id="26"/>
      <w:r>
        <w:rPr/>
        <w:t>9.3 Estructura de paquetes propuesta</w:t>
      </w:r>
    </w:p>
    <w:p>
      <w:pPr>
        <w:pStyle w:val="Normal"/>
        <w:spacing w:lineRule="exact" w:line="240" w:before="0" w:after="0"/>
        <w:ind w:left="360"/>
        <w:rPr/>
      </w:pPr>
      <w:r>
        <w:rPr>
          <w:rFonts w:eastAsia="Courier New" w:cs="Courier New" w:ascii="Courier New" w:hAnsi="Courier New"/>
          <w:sz w:val="19"/>
          <w:szCs w:val="19"/>
        </w:rPr>
        <w:t>src/main/java/do/uasd/vitasalud/</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app/          MainApp, Navegador, Sesion (usuario, perfil, rol, prestadorId)</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config/       ConexionBD, AppConfig</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model/        Usuario, Rol, Afiliado, Plan, Cobertura, Procedimiento, Prestador,</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Tarifa, Autorizacion, DetalleAutorizacion, Reclamacion, Glosa</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dao/ dao/impl/  interfaces y DAO JDBC</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service/      AfiliadoService, AutorizacionService, ReclamacionService, ...</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controller/</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comun/      LoginController, ShellInternoController, ShellPrestadorController</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interno/    PanelController, BandejaController, AfiliadosController, ...</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prestador/  InicioController, SolicitarController, BusquedaController, ...</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util/         Validador, Alertas, Formatos, Iconos</w:t>
      </w:r>
    </w:p>
    <w:p>
      <w:pPr>
        <w:pStyle w:val="Normal"/>
        <w:spacing w:lineRule="exact" w:line="240" w:before="0" w:after="0"/>
        <w:ind w:left="360"/>
        <w:rPr/>
      </w:pPr>
      <w:r>
        <w:rPr>
          <w:rFonts w:eastAsia="Courier New" w:cs="Courier New" w:ascii="Courier New" w:hAnsi="Courier New"/>
          <w:sz w:val="19"/>
          <w:szCs w:val="19"/>
        </w:rPr>
        <w:t>src/main/resources/</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fxml/comun  fxml/interno  fxml/prestador</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css/vitasalud.css   fonts/Figtree-*.ttf   img/logo-vitasalud.png</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db.properties.example</w:t>
      </w:r>
    </w:p>
    <w:p>
      <w:pPr>
        <w:pStyle w:val="Normal"/>
        <w:spacing w:lineRule="exact" w:line="240" w:before="0" w:after="0"/>
        <w:ind w:left="360"/>
        <w:rPr/>
      </w:pPr>
      <w:r>
        <w:rPr>
          <w:rFonts w:eastAsia="Courier New" w:cs="Courier New" w:ascii="Courier New" w:hAnsi="Courier New"/>
          <w:sz w:val="19"/>
          <w:szCs w:val="19"/>
        </w:rPr>
        <w:t>database/  01_esquema.sql  02_datos_prueba.sql</w:t>
      </w:r>
    </w:p>
    <w:p>
      <w:pPr>
        <w:pStyle w:val="Normal"/>
        <w:spacing w:before="0" w:after="160"/>
        <w:rPr/>
      </w:pPr>
      <w:r>
        <w:rPr/>
      </w:r>
    </w:p>
    <w:p>
      <w:pPr>
        <w:pStyle w:val="Heading2"/>
        <w:spacing w:lineRule="exact" w:line="360" w:before="200" w:after="120"/>
        <w:rPr/>
      </w:pPr>
      <w:bookmarkStart w:id="27" w:name="__RefHeading___Toc2689_1228540938"/>
      <w:bookmarkEnd w:id="27"/>
      <w:r>
        <w:rPr/>
        <w:t>9.4 Modelo de datos</w:t>
      </w:r>
    </w:p>
    <w:p>
      <w:pPr>
        <w:pStyle w:val="Normal"/>
        <w:spacing w:lineRule="exact" w:line="360" w:before="0" w:after="120"/>
        <w:jc w:val="both"/>
        <w:rPr/>
      </w:pPr>
      <w:r>
        <w:rPr>
          <w:rFonts w:eastAsia="Times New Roman" w:cs="Times New Roman"/>
          <w:sz w:val="24"/>
          <w:szCs w:val="24"/>
        </w:rPr>
        <w:t>El esquema se acuerda y se sube al repositorio el primer día. Cada integrante es responsable de las tablas de su módulo.</w:t>
      </w:r>
    </w:p>
    <w:tbl>
      <w:tblPr>
        <w:tblW w:w="9360" w:type="dxa"/>
        <w:jc w:val="left"/>
        <w:tblInd w:w="0" w:type="dxa"/>
        <w:tblLayout w:type="fixed"/>
        <w:tblCellMar>
          <w:top w:w="60" w:type="dxa"/>
          <w:left w:w="100" w:type="dxa"/>
          <w:bottom w:w="60" w:type="dxa"/>
          <w:right w:w="100" w:type="dxa"/>
        </w:tblCellMar>
      </w:tblPr>
      <w:tblGrid>
        <w:gridCol w:w="1900"/>
        <w:gridCol w:w="5860"/>
        <w:gridCol w:w="1600"/>
      </w:tblGrid>
      <w:tr>
        <w:trPr>
          <w:tblHeader w:val="true"/>
        </w:trPr>
        <w:tc>
          <w:tcPr>
            <w:tcW w:w="1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Tabla</w:t>
            </w:r>
          </w:p>
        </w:tc>
        <w:tc>
          <w:tcPr>
            <w:tcW w:w="58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Campos principales</w:t>
            </w:r>
          </w:p>
        </w:tc>
        <w:tc>
          <w:tcPr>
            <w:tcW w:w="1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rol, usuario</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usuario: id, nombre, username, password_hash, perfil (INTERNO / PRESTADOR), rol_id, prestador_id (obligatorio si el perfil es PRESTADOR), cargo, estado, intentos_fallidos</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bitacora</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usuario_id, fecha_hora, modulo, accion, tabla, registro_id, detalle</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comunicado (P2)</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titulo, mensaje, fecha_publicacion, vigente</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afiliado</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numero_afiliado, tipo_documento, numero_documento, nss, nombres, apellidos, fecha_nacimiento, sexo, estado_civil, nacionalidad, tipo_telefono, telefono, correo, provincia_id, municipio_id, sector, direccion, plan_id, tipo_afiliado, titular_id, parentesco, es_estudiante, inicio_cobertura, empleador_rnc, estado, motivo_estado, es_borrador. UNIQUE (tipo_documento, numero_documento) y UNIQUE (nss)</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provincia, municipio</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Catálogo de provincias y municipios de la República Dominicana</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prestador</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rnc_cedula (UNIQUE), nombre, tipo, direccion, provincia_id, telefono, correo, estado_contrato</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plan</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codigo, nombre, descripcion, prima_mensual, estado</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procedimiento</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codigo, descripcion, categoria, precio_referencia</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cobertura</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plan_id, categoria, porcentaje, copago_fijo, tope_anual, dias_carencia, requiere_precertificacion</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tarifa</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prestador_id, procedimiento_id, monto (UNIQUE prestador_id + procedimiento_id)</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autorizacion</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numero, afiliado_id, prestador_id, usuario_solicita_id, usuario_revisa_id, fecha_solicitud, fecha_decision, tipo_servicio, medico_prescriptor, telefono_contacto, correo_contacto, diagnostico_cie10, diagnostico_desc, origen_laboral, monto_solicitado, monto_cubierto, copago, estado, nota_revision, fecha_vencimiento, numero_precertificacion, estado_precertificacion</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detalle_autorizacion</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autorizacion_id, procedimiento_id, cantidad, monto_solicitado, monto_cubierto</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reclamacion</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numero, autorizacion_id (UNIQUE), prestador_id, factura_prestador, fecha_servicio, monto_reclamado, monto_glosado, monto_pagar, estado, motivo_devolucion, fecha_pago, referencia_pago</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glosa</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reclamacion_id, motivo, monto, observacion, usuario_id, fecha</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hospitalizacion (P2)</w:t>
            </w:r>
          </w:p>
        </w:tc>
        <w:tc>
          <w:tcPr>
            <w:tcW w:w="58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id, autorizacion_id, fecha_ingreso, fecha_egreso, observacion</w:t>
            </w:r>
          </w:p>
        </w:tc>
        <w:tc>
          <w:tcPr>
            <w:tcW w:w="16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r>
    </w:tbl>
    <w:p>
      <w:pPr>
        <w:pStyle w:val="Heading1"/>
        <w:spacing w:lineRule="exact" w:line="360" w:before="240" w:after="160"/>
        <w:rPr/>
      </w:pPr>
      <w:bookmarkStart w:id="28" w:name="__RefHeading___Toc2691_1228540938"/>
      <w:bookmarkEnd w:id="28"/>
      <w:r>
        <w:rPr/>
        <w:t>10. División del trabajo por integrante</w:t>
      </w:r>
    </w:p>
    <w:p>
      <w:pPr>
        <w:pStyle w:val="Normal"/>
        <w:spacing w:lineRule="exact" w:line="360" w:before="0" w:after="120"/>
        <w:jc w:val="both"/>
        <w:rPr/>
      </w:pPr>
      <w:r>
        <w:rPr>
          <w:rFonts w:eastAsia="Times New Roman" w:cs="Times New Roman"/>
          <w:sz w:val="24"/>
          <w:szCs w:val="24"/>
        </w:rPr>
        <w:t>Cada persona es dueña de sus tablas, DAO, servicios y pantallas de principio a fin, de modo que puede avanzar sin esperar a los demás y presentar su propio módulo. La asignación busca una carga equilibrada: Williams Villavizar Hernández coordina la parte técnica común (inicio de sesión, estructura de las dos consolas y hoja de estilos), que todos necesitan desde el primer día; Liannelis Pérez Pérez toma los registros maestros (afiliados y prestadores), con muchos campos y validaciones de formato; Luis Miguel Magallanes toma los catálogos de planes y el Portal del prestador, con mucha interfaz pero pocas reglas; y Joel Marte toma el flujo de autorizaciones y reclamaciones, que concentra la mayor parte de las reglas de negocio.</w:t>
      </w:r>
    </w:p>
    <w:tbl>
      <w:tblPr>
        <w:tblW w:w="9360" w:type="dxa"/>
        <w:jc w:val="left"/>
        <w:tblInd w:w="0" w:type="dxa"/>
        <w:tblLayout w:type="fixed"/>
        <w:tblCellMar>
          <w:top w:w="60" w:type="dxa"/>
          <w:left w:w="100" w:type="dxa"/>
          <w:bottom w:w="60" w:type="dxa"/>
          <w:right w:w="100" w:type="dxa"/>
        </w:tblCellMar>
      </w:tblPr>
      <w:tblGrid>
        <w:gridCol w:w="1900"/>
        <w:gridCol w:w="1300"/>
        <w:gridCol w:w="3260"/>
        <w:gridCol w:w="2899"/>
      </w:tblGrid>
      <w:tr>
        <w:trPr>
          <w:tblHeader w:val="true"/>
        </w:trPr>
        <w:tc>
          <w:tcPr>
            <w:tcW w:w="1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Integrante</w:t>
            </w:r>
          </w:p>
        </w:tc>
        <w:tc>
          <w:tcPr>
            <w:tcW w:w="1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Módulos</w:t>
            </w:r>
          </w:p>
        </w:tc>
        <w:tc>
          <w:tcPr>
            <w:tcW w:w="32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Pantallas del diseño a construir</w:t>
            </w:r>
          </w:p>
        </w:tc>
        <w:tc>
          <w:tcPr>
            <w:tcW w:w="28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Responsabilidades transversales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 (coordinación técnica)</w:t>
            </w:r>
          </w:p>
        </w:tc>
        <w:tc>
          <w:tcPr>
            <w:tcW w:w="13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 + REP</w:t>
            </w:r>
          </w:p>
        </w:tc>
        <w:tc>
          <w:tcPr>
            <w:tcW w:w="3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Inicio de sesión (dos perfiles); estructura de la Consola interna y del Portal del prestador (barra lateral, encabezado, búsqueda global); Panel; Reportes; Usuarios y roles</w:t>
            </w:r>
          </w:p>
        </w:tc>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Repositorio y proyecto Maven; ConexionBD y Sesion; vitasalud.css y carga de la fuente Figtree; componentes reutilizables (tarjeta KPI, chip de estado); integración de ramas.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c>
          <w:tcPr>
            <w:tcW w:w="13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 + PSS</w:t>
            </w:r>
          </w:p>
        </w:tc>
        <w:tc>
          <w:tcPr>
            <w:tcW w:w="3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Afiliados (búsqueda y ficha); Nuevo afiliado (4 secciones); Red de prestadores</w:t>
            </w:r>
          </w:p>
        </w:tc>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Clase Validador (cédula, RNC, teléfono, correo); catálogo de provincias y municipios; datos de prueba de afiliados y prestadores.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c>
          <w:tcPr>
            <w:tcW w:w="13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PLA + PRE</w:t>
            </w:r>
          </w:p>
        </w:tc>
        <w:tc>
          <w:tcPr>
            <w:tcW w:w="3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Planes, coberturas, procedimientos y tarifario (consola); Inicio, Búsqueda avanzada, Mis solicitudes, Reportes, Precertificaciones y Comunicados (portal)</w:t>
            </w:r>
          </w:p>
        </w:tc>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Consulta de cobertura que usa AUT; datos de prueba de planes y procedimientos.</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c>
          <w:tcPr>
            <w:tcW w:w="13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 + REC</w:t>
            </w:r>
          </w:p>
        </w:tc>
        <w:tc>
          <w:tcPr>
            <w:tcW w:w="32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Solicitar autorización (portal); Bandeja de autorizaciones con panel de revisión (consola); Reclamaciones en ambos perfiles; Hospitalización (P2)</w:t>
            </w:r>
          </w:p>
        </w:tc>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Pruebas JUnit de RN-04 a RN-09; transacciones (RN-11); filtro por prestador (RN-07) en sus DAO.</w:t>
            </w:r>
          </w:p>
        </w:tc>
      </w:tr>
    </w:tbl>
    <w:p>
      <w:pPr>
        <w:pStyle w:val="Normal"/>
        <w:spacing w:before="0" w:after="120"/>
        <w:rPr/>
      </w:pPr>
      <w:r>
        <w:rPr/>
      </w:r>
    </w:p>
    <w:p>
      <w:pPr>
        <w:pStyle w:val="Heading2"/>
        <w:spacing w:lineRule="exact" w:line="360" w:before="200" w:after="120"/>
        <w:rPr/>
      </w:pPr>
      <w:bookmarkStart w:id="29" w:name="__RefHeading___Toc2693_1228540938"/>
      <w:bookmarkEnd w:id="29"/>
      <w:r>
        <w:rPr/>
        <w:t>10.1 Acuerdos del equipo (día 1)</w:t>
      </w:r>
    </w:p>
    <w:p>
      <w:pPr>
        <w:pStyle w:val="ListParagraph"/>
        <w:numPr>
          <w:ilvl w:val="0"/>
          <w:numId w:val="2"/>
        </w:numPr>
        <w:spacing w:lineRule="exact" w:line="360" w:before="0" w:after="60"/>
        <w:jc w:val="both"/>
        <w:rPr/>
      </w:pPr>
      <w:r>
        <w:rPr>
          <w:rFonts w:eastAsia="Times New Roman" w:cs="Times New Roman"/>
          <w:sz w:val="24"/>
          <w:szCs w:val="24"/>
        </w:rPr>
        <w:t>Misma versión del JDK, JavaFX y MySQL en las cuatro computadoras, fijadas en el pom.xml.</w:t>
      </w:r>
    </w:p>
    <w:p>
      <w:pPr>
        <w:pStyle w:val="ListParagraph"/>
        <w:numPr>
          <w:ilvl w:val="0"/>
          <w:numId w:val="2"/>
        </w:numPr>
        <w:spacing w:lineRule="exact" w:line="360" w:before="0" w:after="60"/>
        <w:jc w:val="both"/>
        <w:rPr/>
      </w:pPr>
      <w:r>
        <w:rPr>
          <w:rFonts w:eastAsia="Times New Roman" w:cs="Times New Roman"/>
          <w:sz w:val="24"/>
          <w:szCs w:val="24"/>
        </w:rPr>
        <w:t>Antes de crear pantallas, Williams Villavizar Hernández sube vitasalud.css y una pantalla de ejemplo; todos usan esas clases de estilo y no escriben colores sueltos en el FXML.</w:t>
      </w:r>
    </w:p>
    <w:p>
      <w:pPr>
        <w:pStyle w:val="ListParagraph"/>
        <w:numPr>
          <w:ilvl w:val="0"/>
          <w:numId w:val="2"/>
        </w:numPr>
        <w:spacing w:lineRule="exact" w:line="360" w:before="0" w:after="60"/>
        <w:jc w:val="both"/>
        <w:rPr/>
      </w:pPr>
      <w:r>
        <w:rPr>
          <w:rFonts w:eastAsia="Times New Roman" w:cs="Times New Roman"/>
          <w:sz w:val="24"/>
          <w:szCs w:val="24"/>
        </w:rPr>
        <w:t>Una rama por módulo; nadie trabaja directo en main; cada integración pasa por un pull request revisado por otro integrante.</w:t>
      </w:r>
    </w:p>
    <w:p>
      <w:pPr>
        <w:pStyle w:val="ListParagraph"/>
        <w:numPr>
          <w:ilvl w:val="0"/>
          <w:numId w:val="2"/>
        </w:numPr>
        <w:spacing w:lineRule="exact" w:line="360" w:before="0" w:after="60"/>
        <w:jc w:val="both"/>
        <w:rPr/>
      </w:pPr>
      <w:r>
        <w:rPr>
          <w:rFonts w:eastAsia="Times New Roman" w:cs="Times New Roman"/>
          <w:sz w:val="24"/>
          <w:szCs w:val="24"/>
        </w:rPr>
        <w:t>El script 01_esquema.sql se acuerda entre todos antes de programar y los cambios se avisan al grupo.</w:t>
      </w:r>
    </w:p>
    <w:p>
      <w:pPr>
        <w:pStyle w:val="ListParagraph"/>
        <w:numPr>
          <w:ilvl w:val="0"/>
          <w:numId w:val="2"/>
        </w:numPr>
        <w:spacing w:lineRule="exact" w:line="360" w:before="0" w:after="60"/>
        <w:jc w:val="both"/>
        <w:rPr/>
      </w:pPr>
      <w:r>
        <w:rPr>
          <w:rFonts w:eastAsia="Times New Roman" w:cs="Times New Roman"/>
          <w:sz w:val="24"/>
          <w:szCs w:val="24"/>
        </w:rPr>
        <w:t>Cada integrante aporta al menos 10 registros de prueba a 02_datos_prueba.sql, incluyendo dos usuarios prestador de centros distintos para probar RN-07.</w:t>
      </w:r>
    </w:p>
    <w:p>
      <w:pPr>
        <w:pStyle w:val="Heading2"/>
        <w:spacing w:lineRule="exact" w:line="360" w:before="200" w:after="120"/>
        <w:rPr/>
      </w:pPr>
      <w:bookmarkStart w:id="30" w:name="__RefHeading___Toc2695_1228540938"/>
      <w:bookmarkEnd w:id="30"/>
      <w:r>
        <w:rPr/>
        <w:t>10.2 Asignación detallada por persona</w:t>
      </w:r>
    </w:p>
    <w:p>
      <w:pPr>
        <w:pStyle w:val="Normal"/>
        <w:spacing w:lineRule="exact" w:line="360" w:before="0" w:after="120"/>
        <w:jc w:val="both"/>
        <w:rPr/>
      </w:pPr>
      <w:r>
        <w:rPr>
          <w:rFonts w:eastAsia="Times New Roman" w:cs="Times New Roman"/>
          <w:sz w:val="24"/>
          <w:szCs w:val="24"/>
        </w:rPr>
        <w:t>Las tablas siguientes resumen lo que corresponde a cada persona. Cada integrante revisa los pull requests de otro compañero, de forma que todo el código pasa por dos personas antes de llegar a main.</w:t>
      </w:r>
    </w:p>
    <w:p>
      <w:pPr>
        <w:pStyle w:val="Heading3"/>
        <w:spacing w:lineRule="exact" w:line="360" w:before="160" w:after="100"/>
        <w:rPr/>
      </w:pPr>
      <w:r>
        <w:rPr/>
        <w:t>Williams Villavizar Hernández — Coordinación técnica (SEG + REP)</w:t>
      </w:r>
    </w:p>
    <w:tbl>
      <w:tblPr>
        <w:tblW w:w="9360" w:type="dxa"/>
        <w:jc w:val="left"/>
        <w:tblInd w:w="0" w:type="dxa"/>
        <w:tblLayout w:type="fixed"/>
        <w:tblCellMar>
          <w:top w:w="60" w:type="dxa"/>
          <w:left w:w="100" w:type="dxa"/>
          <w:bottom w:w="60" w:type="dxa"/>
          <w:right w:w="100" w:type="dxa"/>
        </w:tblCellMar>
      </w:tblPr>
      <w:tblGrid>
        <w:gridCol w:w="2299"/>
        <w:gridCol w:w="7060"/>
      </w:tblGrid>
      <w:tr>
        <w:trPr>
          <w:tblHeader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Aspecto</w:t>
            </w:r>
          </w:p>
        </w:tc>
        <w:tc>
          <w:tcPr>
            <w:tcW w:w="70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Detalle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RF-SEG-01 a RF-SEG-10 y RF-REP-01 a RF-REP-04 (14 requerimientos: 6 P0, 6 P1, 2 P2).</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Inicio de sesión con selector de perfil; estructura de la Consola interna y del Portal del prestador (barra lateral, encabezado, búsqueda global, cerrar sesión); Panel con las 4 tarjetas y acciones rápidas; Reportes; Usuarios y roles.</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Tablas y clases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rol, usuario, bitacora · ConexionBD, AppConfig, Sesion, Navegador, UsuarioDAO, BitacoraDAO, UsuarioService, ReporteService.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Tareas comunes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Crear el repositorio en GitHub y el proyecto Maven; publicar vitasalud.css, la fuente Figtree y una pantalla de ejemplo; componentes reutilizables (tarjeta KPI, chip de estado, alertas); unir el script SQL; integrar las ramas en main dos veces por semana.</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el 14 de octubre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Inicio de sesión contra MySQL con los dos perfiles; ambas consolas navegables con menú según rol; CRUD de usuarios con vínculo a prestador; Panel leyendo la BD; estilos aplicados en todo el sistema.</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la entrega final</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Bloqueo por intentos, bitácora, búsqueda global, pantalla Usuarios y roles, reportes internos con tiempo de respuesta y, si hay tiempo, exportación a PDF y Excel.</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Revisa los pull requests de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 y de Joel Marte.</w:t>
            </w:r>
          </w:p>
        </w:tc>
      </w:tr>
    </w:tbl>
    <w:p>
      <w:pPr>
        <w:pStyle w:val="Normal"/>
        <w:spacing w:before="0" w:after="120"/>
        <w:rPr/>
      </w:pPr>
      <w:r>
        <w:rPr/>
      </w:r>
    </w:p>
    <w:p>
      <w:pPr>
        <w:pStyle w:val="Heading3"/>
        <w:spacing w:lineRule="exact" w:line="360" w:before="160" w:after="100"/>
        <w:rPr/>
      </w:pPr>
      <w:r>
        <w:rPr/>
        <w:t>Liannelis Pérez Pérez — Afiliados y red de prestadores (AFI + PSS)</w:t>
      </w:r>
    </w:p>
    <w:tbl>
      <w:tblPr>
        <w:tblW w:w="9360" w:type="dxa"/>
        <w:jc w:val="left"/>
        <w:tblInd w:w="0" w:type="dxa"/>
        <w:tblLayout w:type="fixed"/>
        <w:tblCellMar>
          <w:top w:w="60" w:type="dxa"/>
          <w:left w:w="100" w:type="dxa"/>
          <w:bottom w:w="60" w:type="dxa"/>
          <w:right w:w="100" w:type="dxa"/>
        </w:tblCellMar>
      </w:tblPr>
      <w:tblGrid>
        <w:gridCol w:w="2299"/>
        <w:gridCol w:w="7060"/>
      </w:tblGrid>
      <w:tr>
        <w:trPr>
          <w:tblHeader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Aspecto</w:t>
            </w:r>
          </w:p>
        </w:tc>
        <w:tc>
          <w:tcPr>
            <w:tcW w:w="70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Detalle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RF-AFI-01 a RF-AFI-10 y RF-PSS-01 a RF-PSS-04 (14 requerimientos: 10 P0, 2 P1, 2 P2; RF-AFI-05 incluye “Guardar borrador”, que es P2).</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Afiliados (búsqueda y ficha); Nuevo afiliado en 4 secciones (datos personales; contacto y dirección; plan y afiliación; dependientes); Red de prestadores con su formulario.</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Tablas y clases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afiliado, provincia, municipio, prestador · Afiliado, Prestador, AfiliadoDAO, PrestadorDAO, AfiliadoService, PrestadorService y la clase Validador (cédula, RNC, teléfono, correo) que usa todo el equipo.</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Reglas de negocio</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RN-01 (documento y NSS únicos), RN-02 (edades de dependientes) y RN-03 (estado del titular se aplica a dependientes), con sus pruebas JUnit.</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el 14 de octubre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Nuevo afiliado, secciones 1 a 3, guardando con validaciones; búsqueda y ficha del afiliado; alta, edición, estado y filtro de prestadores; datos de prueba de afiliados, provincias, municipios y prestadores.</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la entrega final</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Sección 4 de dependientes completa, cambio de estado con motivo, número de afiliado automático, historial de autorizaciones en la ficha y, si hay tiempo, carnet en PDF, borrador y médicos por prestador.</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Revisa los pull requests de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r>
    </w:tbl>
    <w:p>
      <w:pPr>
        <w:pStyle w:val="Normal"/>
        <w:spacing w:before="0" w:after="120"/>
        <w:rPr/>
      </w:pPr>
      <w:r>
        <w:rPr/>
      </w:r>
    </w:p>
    <w:p>
      <w:pPr>
        <w:pStyle w:val="Heading3"/>
        <w:spacing w:lineRule="exact" w:line="360" w:before="160" w:after="100"/>
        <w:rPr/>
      </w:pPr>
      <w:r>
        <w:rPr/>
        <w:t>Luis Miguel Magallanes — Planes y Portal del prestador (PLA + PRE)</w:t>
      </w:r>
    </w:p>
    <w:tbl>
      <w:tblPr>
        <w:tblW w:w="9360" w:type="dxa"/>
        <w:jc w:val="left"/>
        <w:tblInd w:w="0" w:type="dxa"/>
        <w:tblLayout w:type="fixed"/>
        <w:tblCellMar>
          <w:top w:w="60" w:type="dxa"/>
          <w:left w:w="100" w:type="dxa"/>
          <w:bottom w:w="60" w:type="dxa"/>
          <w:right w:w="100" w:type="dxa"/>
        </w:tblCellMar>
      </w:tblPr>
      <w:tblGrid>
        <w:gridCol w:w="2299"/>
        <w:gridCol w:w="7060"/>
      </w:tblGrid>
      <w:tr>
        <w:trPr>
          <w:tblHeader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Aspecto</w:t>
            </w:r>
          </w:p>
        </w:tc>
        <w:tc>
          <w:tcPr>
            <w:tcW w:w="70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Detalle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RF-PLA-01 a RF-PLA-05, RF-PRE-01 a RF-PRE-05 y RF-AUT-09 (11 requerimientos: 4 P0, 5 P1, 2 P2).</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Consola interna: Planes y coberturas, catálogo de procedimientos y tarifario. Portal del prestador: Inicio con “Autorizaciones recientes”, Búsqueda avanzada, Mis solicitudes, Reportes, Precertificaciones y Comunicados.</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Tablas y clases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plan, procedimiento, cobertura, tarifa, comunicado · PlanDAO, CoberturaDAO, ProcedimientoDAO, TarifaDAO, PlanService y el método de consulta de cobertura que usa AutorizacionService.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Coordinación</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Las pantallas del portal leen datos de autorizaciones y reclamaciones: usa los DAO de Joel Marte en modo consulta y aplica siempre el filtro por prestador de la sesión (RN-07).</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el 14 de octubre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CRUD de planes, procedimientos y coberturas; Inicio del portal mostrando las autorizaciones recientes del prestador conectado; datos de prueba de planes y procedimientos.</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la entrega final</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Tarifario, regla de no desactivar planes con afiliados, Búsqueda avanzada, Mis solicitudes, reportes del prestador y, si hay tiempo, precertificaciones y comunicados.</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Revisa los pull requests de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r>
    </w:tbl>
    <w:p>
      <w:pPr>
        <w:pStyle w:val="Normal"/>
        <w:spacing w:before="0" w:after="120"/>
        <w:rPr/>
      </w:pPr>
      <w:r>
        <w:rPr/>
      </w:r>
    </w:p>
    <w:p>
      <w:pPr>
        <w:pStyle w:val="Heading3"/>
        <w:spacing w:lineRule="exact" w:line="360" w:before="160" w:after="100"/>
        <w:rPr/>
      </w:pPr>
      <w:r>
        <w:rPr/>
        <w:t>Joel Marte — Autorizaciones y reclamaciones (AUT + REC)</w:t>
      </w:r>
    </w:p>
    <w:tbl>
      <w:tblPr>
        <w:tblW w:w="9360" w:type="dxa"/>
        <w:jc w:val="left"/>
        <w:tblInd w:w="0" w:type="dxa"/>
        <w:tblLayout w:type="fixed"/>
        <w:tblCellMar>
          <w:top w:w="60" w:type="dxa"/>
          <w:left w:w="100" w:type="dxa"/>
          <w:bottom w:w="60" w:type="dxa"/>
          <w:right w:w="100" w:type="dxa"/>
        </w:tblCellMar>
      </w:tblPr>
      <w:tblGrid>
        <w:gridCol w:w="2299"/>
        <w:gridCol w:w="7060"/>
      </w:tblGrid>
      <w:tr>
        <w:trPr>
          <w:tblHeader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Aspecto</w:t>
            </w:r>
          </w:p>
        </w:tc>
        <w:tc>
          <w:tcPr>
            <w:tcW w:w="70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Detalle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RF-AUT-01 a RF-AUT-08, RF-AUT-10, RF-AUT-11, RF-PRE-06 y RF-REC-01 a RF-REC-06 (17 requerimientos: 12 P0, 3 P1, 2 P2).</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Portal: Solicitar autorización (3 pasos y Resultado), Agregar reclamación por servicio, Hospitalización. Consola: Bandeja de autorizaciones con pestañas y panel de revisión, Reclamaciones con panel de auditoría.</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Tablas y clases</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autorizacion, detalle_autorizacion, reclamacion, glosa, hospitalizacion · AutorizacionDAO, ReclamacionDAO, AutorizacionService, ReclamacionService.</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Reglas de negocio</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RN-04 a RN-09 y RN-11 (cobertura, cálculo de copago, tope anual, aislamiento por prestador, una reclamación por autorización, monto a pagar y transacciones), con sus pruebas JUnit.</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el 14 de octubre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Solicitar autorización guardando como Pendiente con número AUT-000001; Bandeja con pestañas y panel de revisión, con Aprobar, Negar y Pedir información validando afiliado activo y servicio cubierto.</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la entrega final</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Cálculo de copago y tope anual, vencimiento a 30 días, reclamaciones con todo su ciclo, glosas y pagos y, si hay tiempo, comprobante en PDF y hospitalización.</w:t>
            </w:r>
          </w:p>
        </w:tc>
      </w:tr>
      <w:tr>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Revisa los pull requests de</w:t>
            </w:r>
          </w:p>
        </w:tc>
        <w:tc>
          <w:tcPr>
            <w:tcW w:w="70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r>
    </w:tbl>
    <w:p>
      <w:pPr>
        <w:pStyle w:val="Normal"/>
        <w:spacing w:before="0" w:after="120"/>
        <w:rPr/>
      </w:pPr>
      <w:r>
        <w:rPr/>
      </w:r>
    </w:p>
    <w:p>
      <w:pPr>
        <w:pStyle w:val="Heading3"/>
        <w:spacing w:lineRule="exact" w:line="360" w:before="160" w:after="100"/>
        <w:rPr/>
      </w:pPr>
      <w:r>
        <w:rPr/>
        <w:t>Si el equipo queda en tres integrantes</w:t>
      </w:r>
    </w:p>
    <w:p>
      <w:pPr>
        <w:pStyle w:val="Normal"/>
        <w:spacing w:lineRule="exact" w:line="360" w:before="0" w:after="120"/>
        <w:jc w:val="both"/>
        <w:rPr/>
      </w:pPr>
      <w:r>
        <w:rPr>
          <w:rFonts w:eastAsia="Times New Roman" w:cs="Times New Roman"/>
          <w:sz w:val="24"/>
          <w:szCs w:val="24"/>
        </w:rPr>
        <w:t>Autorizaciones y Reclamaciones no pueden quedar sin dueño, porque son el centro de la demostración del 14 de octubre. Si no se confirma un cuarto integrante antes del jueves 8 de octubre, Williams Villavizar Hernández asume Autorizaciones (AUT) y entrega Reportes (REP) a Luis Miguel Magallanes; Liannelis Pérez Pérez asume Reclamaciones (REC) a partir de la fase 2, cuando Afiliados ya esté estable; y los P2 de todos los módulos pasan a mejoras futuras.</w:t>
      </w:r>
    </w:p>
    <w:p>
      <w:pPr>
        <w:pStyle w:val="Heading1"/>
        <w:spacing w:lineRule="exact" w:line="360" w:before="240" w:after="160"/>
        <w:rPr/>
      </w:pPr>
      <w:bookmarkStart w:id="31" w:name="__RefHeading___Toc2697_1228540938"/>
      <w:bookmarkEnd w:id="31"/>
      <w:r>
        <w:rPr/>
        <w:t>11. Sistema de diseño y experiencia de usuario</w:t>
      </w:r>
    </w:p>
    <w:p>
      <w:pPr>
        <w:pStyle w:val="Normal"/>
        <w:spacing w:lineRule="exact" w:line="360" w:before="0" w:after="120"/>
        <w:jc w:val="both"/>
        <w:rPr/>
      </w:pPr>
      <w:r>
        <w:rPr>
          <w:rFonts w:eastAsia="Times New Roman" w:cs="Times New Roman"/>
          <w:sz w:val="24"/>
          <w:szCs w:val="24"/>
        </w:rPr>
        <w:t>El diseño de referencia (</w:t>
      </w:r>
      <w:r>
        <w:rPr>
          <w:rFonts w:eastAsia="Times New Roman" w:cs="Times New Roman"/>
          <w:i/>
          <w:iCs/>
          <w:sz w:val="24"/>
          <w:szCs w:val="24"/>
        </w:rPr>
        <w:t>Ceiba Salud - Portal ARS</w:t>
      </w:r>
      <w:r>
        <w:rPr>
          <w:rFonts w:eastAsia="Times New Roman" w:cs="Times New Roman"/>
          <w:sz w:val="24"/>
          <w:szCs w:val="24"/>
        </w:rPr>
        <w:t>) se toma como especificación visual oficial. Se creó con el nombre provisional “Ceiba Salud”: se conservan su paleta, tipografía, estructura y componentes, y solo cambian el nombre y los elementos de marca. Como el diseño está hecho en HTML, esta sección define cómo se traduce a JavaFX para que las cuatro personas del equipo produzcan pantallas consistentes.</w:t>
      </w:r>
    </w:p>
    <w:p>
      <w:pPr>
        <w:pStyle w:val="Heading2"/>
        <w:spacing w:lineRule="exact" w:line="360" w:before="200" w:after="120"/>
        <w:rPr/>
      </w:pPr>
      <w:bookmarkStart w:id="32" w:name="__RefHeading___Toc2699_1228540938"/>
      <w:bookmarkEnd w:id="32"/>
      <w:r>
        <w:rPr/>
        <w:t>11.1 Identidad de marca</w:t>
      </w:r>
    </w:p>
    <w:p>
      <w:pPr>
        <w:pStyle w:val="ListParagraph"/>
        <w:numPr>
          <w:ilvl w:val="0"/>
          <w:numId w:val="2"/>
        </w:numPr>
        <w:spacing w:lineRule="exact" w:line="360" w:before="0" w:after="60"/>
        <w:jc w:val="both"/>
        <w:rPr/>
      </w:pPr>
      <w:r>
        <w:rPr>
          <w:rFonts w:eastAsia="Times New Roman" w:cs="Times New Roman"/>
          <w:b/>
          <w:bCs/>
          <w:sz w:val="24"/>
          <w:szCs w:val="24"/>
        </w:rPr>
        <w:t xml:space="preserve">Nombre: </w:t>
      </w:r>
      <w:r>
        <w:rPr>
          <w:rFonts w:eastAsia="Times New Roman" w:cs="Times New Roman"/>
          <w:sz w:val="24"/>
          <w:szCs w:val="24"/>
        </w:rPr>
        <w:t>ARS VitaSalud. Lema: por definir; el del diseño (“Tu salud, con raíces.”) estaba ligado a la ceiba y debe revisarse.</w:t>
      </w:r>
    </w:p>
    <w:p>
      <w:pPr>
        <w:pStyle w:val="ListParagraph"/>
        <w:numPr>
          <w:ilvl w:val="0"/>
          <w:numId w:val="2"/>
        </w:numPr>
        <w:spacing w:lineRule="exact" w:line="360" w:before="0" w:after="60"/>
        <w:jc w:val="both"/>
        <w:rPr/>
      </w:pPr>
      <w:r>
        <w:rPr>
          <w:rFonts w:eastAsia="Times New Roman" w:cs="Times New Roman"/>
          <w:b/>
          <w:bCs/>
          <w:sz w:val="24"/>
          <w:szCs w:val="24"/>
        </w:rPr>
        <w:t xml:space="preserve">Logo: </w:t>
      </w:r>
      <w:r>
        <w:rPr>
          <w:rFonts w:eastAsia="Times New Roman" w:cs="Times New Roman"/>
          <w:sz w:val="24"/>
          <w:szCs w:val="24"/>
        </w:rPr>
        <w:t>se conserva la forma del diseño (copa de tres círculos en Verde Hoja sobre un cuadrado Menta de esquinas redondeadas, con tronco Ámbar Sol), que puede leerse como un árbol de la vida, coherente con “Vita”. Si el equipo prefiere otro símbolo, debe respetar la misma paleta y el formato cuadrado. Se exporta a PNG (34, 44 y 112 px) para la barra lateral, el inicio de sesión y el carnet.</w:t>
      </w:r>
    </w:p>
    <w:p>
      <w:pPr>
        <w:pStyle w:val="ListParagraph"/>
        <w:numPr>
          <w:ilvl w:val="0"/>
          <w:numId w:val="2"/>
        </w:numPr>
        <w:spacing w:lineRule="exact" w:line="360" w:before="0" w:after="60"/>
        <w:jc w:val="both"/>
        <w:rPr/>
      </w:pPr>
      <w:r>
        <w:rPr>
          <w:rFonts w:eastAsia="Times New Roman" w:cs="Times New Roman"/>
          <w:b/>
          <w:bCs/>
          <w:sz w:val="24"/>
          <w:szCs w:val="24"/>
        </w:rPr>
        <w:t xml:space="preserve">Logotipo: </w:t>
      </w:r>
      <w:r>
        <w:rPr>
          <w:rFonts w:eastAsia="Times New Roman" w:cs="Times New Roman"/>
          <w:sz w:val="24"/>
          <w:szCs w:val="24"/>
        </w:rPr>
        <w:t>“ARS” en peso medio, “Vita” en negrita y “Salud” en peso medio, como “ARS VitaSalud”. Sobre fondo claro: Verde Vita y Verde Hoja. Sobre fondo verde oscuro: blanco y Hoja clara. En la barra lateral, debajo del nombre, va el subtítulo “Consola interna” o “Portal de prestadores”.</w:t>
      </w:r>
    </w:p>
    <w:p>
      <w:pPr>
        <w:pStyle w:val="Heading2"/>
        <w:spacing w:lineRule="exact" w:line="360" w:before="200" w:after="120"/>
        <w:rPr/>
      </w:pPr>
      <w:bookmarkStart w:id="33" w:name="__RefHeading___Toc2701_1228540938"/>
      <w:bookmarkEnd w:id="33"/>
      <w:r>
        <w:rPr/>
        <w:t>11.2 Paleta de colores</w:t>
      </w:r>
    </w:p>
    <w:tbl>
      <w:tblPr>
        <w:tblW w:w="9360" w:type="dxa"/>
        <w:jc w:val="left"/>
        <w:tblInd w:w="0" w:type="dxa"/>
        <w:tblLayout w:type="fixed"/>
        <w:tblCellMar>
          <w:top w:w="60" w:type="dxa"/>
          <w:left w:w="100" w:type="dxa"/>
          <w:bottom w:w="60" w:type="dxa"/>
          <w:right w:w="100" w:type="dxa"/>
        </w:tblCellMar>
      </w:tblPr>
      <w:tblGrid>
        <w:gridCol w:w="1300"/>
        <w:gridCol w:w="1900"/>
        <w:gridCol w:w="1400"/>
        <w:gridCol w:w="4759"/>
      </w:tblGrid>
      <w:tr>
        <w:trPr>
          <w:tblHeader w:val="true"/>
        </w:trPr>
        <w:tc>
          <w:tcPr>
            <w:tcW w:w="1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Muestra</w:t>
            </w:r>
          </w:p>
        </w:tc>
        <w:tc>
          <w:tcPr>
            <w:tcW w:w="1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Nombre</w:t>
            </w:r>
          </w:p>
        </w:tc>
        <w:tc>
          <w:tcPr>
            <w:tcW w:w="14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Hex</w:t>
            </w:r>
          </w:p>
        </w:tc>
        <w:tc>
          <w:tcPr>
            <w:tcW w:w="475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Uso en la aplicación</w:t>
            </w:r>
          </w:p>
        </w:tc>
      </w:tr>
      <w:tr>
        <w:trPr/>
        <w:tc>
          <w:tcPr>
            <w:tcW w:w="1300" w:type="dxa"/>
            <w:tcBorders>
              <w:top w:val="single" w:sz="4" w:space="0" w:color="808080"/>
              <w:left w:val="single" w:sz="4" w:space="0" w:color="808080"/>
              <w:bottom w:val="single" w:sz="4" w:space="0" w:color="808080"/>
              <w:right w:val="single" w:sz="4" w:space="0" w:color="808080"/>
            </w:tcBorders>
            <w:shd w:color="auto" w:fill="0F4C3A"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Verde Vita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#0F4C3A</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Barra lateral, panel izquierdo del inicio de sesión, títulos de pantalla y de sección, valores de KPI, pestaña activa.</w:t>
            </w:r>
          </w:p>
        </w:tc>
      </w:tr>
      <w:tr>
        <w:trPr/>
        <w:tc>
          <w:tcPr>
            <w:tcW w:w="1300" w:type="dxa"/>
            <w:tcBorders>
              <w:top w:val="single" w:sz="4" w:space="0" w:color="808080"/>
              <w:left w:val="single" w:sz="4" w:space="0" w:color="808080"/>
              <w:bottom w:val="single" w:sz="4" w:space="0" w:color="808080"/>
              <w:right w:val="single" w:sz="4" w:space="0" w:color="808080"/>
            </w:tcBorders>
            <w:shd w:color="auto" w:fill="177350"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Verde Hoja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#177350</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Botón principal, foco de los campos, avatar del usuario. Hover del botón: #0F5C40.</w:t>
            </w:r>
          </w:p>
        </w:tc>
      </w:tr>
      <w:tr>
        <w:trPr/>
        <w:tc>
          <w:tcPr>
            <w:tcW w:w="1300" w:type="dxa"/>
            <w:tcBorders>
              <w:top w:val="single" w:sz="4" w:space="0" w:color="808080"/>
              <w:left w:val="single" w:sz="4" w:space="0" w:color="808080"/>
              <w:bottom w:val="single" w:sz="4" w:space="0" w:color="808080"/>
              <w:right w:val="single" w:sz="4" w:space="0" w:color="808080"/>
            </w:tcBorders>
            <w:shd w:color="auto" w:fill="E5F3EC"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Menta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#E5F3EC</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Fila seleccionada, hover de botones secundarios, fondo del logo.</w:t>
            </w:r>
          </w:p>
        </w:tc>
      </w:tr>
      <w:tr>
        <w:trPr/>
        <w:tc>
          <w:tcPr>
            <w:tcW w:w="1300" w:type="dxa"/>
            <w:tcBorders>
              <w:top w:val="single" w:sz="4" w:space="0" w:color="808080"/>
              <w:left w:val="single" w:sz="4" w:space="0" w:color="808080"/>
              <w:bottom w:val="single" w:sz="4" w:space="0" w:color="808080"/>
              <w:right w:val="single" w:sz="4" w:space="0" w:color="808080"/>
            </w:tcBorders>
            <w:shd w:color="auto" w:fill="F2A93B"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Ámbar Sol</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#F2A93B</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Acento (tronco del logo) y avisos.</w:t>
            </w:r>
          </w:p>
        </w:tc>
      </w:tr>
      <w:tr>
        <w:trPr/>
        <w:tc>
          <w:tcPr>
            <w:tcW w:w="1300" w:type="dxa"/>
            <w:tcBorders>
              <w:top w:val="single" w:sz="4" w:space="0" w:color="808080"/>
              <w:left w:val="single" w:sz="4" w:space="0" w:color="808080"/>
              <w:bottom w:val="single" w:sz="4" w:space="0" w:color="808080"/>
              <w:right w:val="single" w:sz="4" w:space="0" w:color="808080"/>
            </w:tcBorders>
            <w:shd w:color="auto" w:fill="15232D"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Tinta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#15232D</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Texto principal.</w:t>
            </w:r>
          </w:p>
        </w:tc>
      </w:tr>
      <w:tr>
        <w:trPr/>
        <w:tc>
          <w:tcPr>
            <w:tcW w:w="1300" w:type="dxa"/>
            <w:tcBorders>
              <w:top w:val="single" w:sz="4" w:space="0" w:color="808080"/>
              <w:left w:val="single" w:sz="4" w:space="0" w:color="808080"/>
              <w:bottom w:val="single" w:sz="4" w:space="0" w:color="808080"/>
              <w:right w:val="single" w:sz="4" w:space="0" w:color="808080"/>
            </w:tcBorders>
            <w:shd w:color="auto" w:fill="F3F6F4"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Niebla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#F3F6F4</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Fondo general de la aplicación.</w:t>
            </w:r>
          </w:p>
        </w:tc>
      </w:tr>
      <w:tr>
        <w:trPr/>
        <w:tc>
          <w:tcPr>
            <w:tcW w:w="1300" w:type="dxa"/>
            <w:tcBorders>
              <w:top w:val="single" w:sz="4" w:space="0" w:color="808080"/>
              <w:left w:val="single" w:sz="4" w:space="0" w:color="808080"/>
              <w:bottom w:val="single" w:sz="4" w:space="0" w:color="808080"/>
              <w:right w:val="single" w:sz="4" w:space="0" w:color="808080"/>
            </w:tcBorders>
            <w:shd w:color="auto" w:fill="C2410C"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Coral</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#C2410C</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Borde de acciones destructivas (Negar, Cancelar); texto #9A3412.</w:t>
            </w:r>
          </w:p>
        </w:tc>
      </w:tr>
      <w:tr>
        <w:trPr/>
        <w:tc>
          <w:tcPr>
            <w:tcW w:w="1300" w:type="dxa"/>
            <w:tcBorders>
              <w:top w:val="single" w:sz="4" w:space="0" w:color="808080"/>
              <w:left w:val="single" w:sz="4" w:space="0" w:color="808080"/>
              <w:bottom w:val="single" w:sz="4" w:space="0" w:color="808080"/>
              <w:right w:val="single" w:sz="4" w:space="0" w:color="808080"/>
            </w:tcBorders>
            <w:shd w:color="auto" w:fill="A7CDB9" w:val="clear"/>
          </w:tcPr>
          <w:p>
            <w:pPr>
              <w:pStyle w:val="Normal"/>
              <w:spacing w:lineRule="exact" w:line="260" w:before="0" w:after="40"/>
              <w:jc w:val="left"/>
              <w:rPr/>
            </w:pPr>
            <w:r>
              <w:rPr/>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Hoja clara</w:t>
            </w:r>
          </w:p>
        </w:tc>
        <w:tc>
          <w:tcPr>
            <w:tcW w:w="1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#A7CDB9</w:t>
            </w:r>
          </w:p>
        </w:tc>
        <w:tc>
          <w:tcPr>
            <w:tcW w:w="47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Texto secundario sobre fondo verde oscuro.</w:t>
            </w:r>
          </w:p>
        </w:tc>
      </w:tr>
    </w:tbl>
    <w:p>
      <w:pPr>
        <w:pStyle w:val="Normal"/>
        <w:spacing w:before="0" w:after="120"/>
        <w:rPr/>
      </w:pPr>
      <w:r>
        <w:rPr/>
      </w:r>
    </w:p>
    <w:p>
      <w:pPr>
        <w:pStyle w:val="Normal"/>
        <w:spacing w:lineRule="exact" w:line="360" w:before="0" w:after="120"/>
        <w:jc w:val="both"/>
        <w:rPr/>
      </w:pPr>
      <w:r>
        <w:rPr>
          <w:rFonts w:eastAsia="Times New Roman" w:cs="Times New Roman"/>
          <w:sz w:val="24"/>
          <w:szCs w:val="24"/>
        </w:rPr>
        <w:t>Colores de apoyo del diseño: borde de tarjetas #D5E0E7; borde de campos #B7C6D0; texto secundario #3D5361 y #4A6272; encabezado de tablas #E7EFEA; campo de solo lectura #EEF3F1; hover de filas #F3F8F5; texto de la barra lateral #CFE5DA y hover #1D6150.</w:t>
      </w:r>
    </w:p>
    <w:p>
      <w:pPr>
        <w:pStyle w:val="Heading3"/>
        <w:spacing w:lineRule="exact" w:line="360" w:before="160" w:after="100"/>
        <w:rPr/>
      </w:pPr>
      <w:r>
        <w:rPr/>
        <w:t>Chips de estado</w:t>
      </w:r>
    </w:p>
    <w:tbl>
      <w:tblPr>
        <w:tblW w:w="9360" w:type="dxa"/>
        <w:jc w:val="left"/>
        <w:tblInd w:w="0" w:type="dxa"/>
        <w:tblLayout w:type="fixed"/>
        <w:tblCellMar>
          <w:top w:w="60" w:type="dxa"/>
          <w:left w:w="100" w:type="dxa"/>
          <w:bottom w:w="60" w:type="dxa"/>
          <w:right w:w="100" w:type="dxa"/>
        </w:tblCellMar>
      </w:tblPr>
      <w:tblGrid>
        <w:gridCol w:w="2000"/>
        <w:gridCol w:w="1700"/>
        <w:gridCol w:w="1699"/>
        <w:gridCol w:w="3960"/>
      </w:tblGrid>
      <w:tr>
        <w:trPr>
          <w:tblHeader w:val="true"/>
        </w:trPr>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Estado</w:t>
            </w:r>
          </w:p>
        </w:tc>
        <w:tc>
          <w:tcPr>
            <w:tcW w:w="17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Fondo</w:t>
            </w:r>
          </w:p>
        </w:tc>
        <w:tc>
          <w:tcPr>
            <w:tcW w:w="1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Texto</w:t>
            </w:r>
          </w:p>
        </w:tc>
        <w:tc>
          <w:tcPr>
            <w:tcW w:w="39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Dónde aparece</w:t>
            </w:r>
          </w:p>
        </w:tc>
      </w:tr>
      <w:tr>
        <w:trPr/>
        <w:tc>
          <w:tcPr>
            <w:tcW w:w="2000" w:type="dxa"/>
            <w:tcBorders>
              <w:top w:val="single" w:sz="4" w:space="0" w:color="808080"/>
              <w:left w:val="single" w:sz="4" w:space="0" w:color="808080"/>
              <w:bottom w:val="single" w:sz="4" w:space="0" w:color="808080"/>
              <w:right w:val="single" w:sz="4" w:space="0" w:color="808080"/>
            </w:tcBorders>
            <w:shd w:color="auto" w:fill="FDF0D5" w:val="clear"/>
          </w:tcPr>
          <w:p>
            <w:pPr>
              <w:pStyle w:val="Normal"/>
              <w:rPr/>
            </w:pPr>
            <w:r>
              <w:rPr>
                <w:rFonts w:eastAsia="Times New Roman" w:cs="Times New Roman"/>
                <w:b/>
                <w:bCs/>
                <w:color w:val="6B4200"/>
                <w:sz w:val="20"/>
                <w:szCs w:val="20"/>
              </w:rPr>
              <w:t>Pendiente</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#FDF0D5</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#6B4200</w:t>
            </w:r>
          </w:p>
        </w:tc>
        <w:tc>
          <w:tcPr>
            <w:tcW w:w="3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Autorización esperando decisión.</w:t>
            </w:r>
          </w:p>
        </w:tc>
      </w:tr>
      <w:tr>
        <w:trPr/>
        <w:tc>
          <w:tcPr>
            <w:tcW w:w="2000" w:type="dxa"/>
            <w:tcBorders>
              <w:top w:val="single" w:sz="4" w:space="0" w:color="808080"/>
              <w:left w:val="single" w:sz="4" w:space="0" w:color="808080"/>
              <w:bottom w:val="single" w:sz="4" w:space="0" w:color="808080"/>
              <w:right w:val="single" w:sz="4" w:space="0" w:color="808080"/>
            </w:tcBorders>
            <w:shd w:color="auto" w:fill="DDE9F7" w:val="clear"/>
          </w:tcPr>
          <w:p>
            <w:pPr>
              <w:pStyle w:val="Normal"/>
              <w:rPr/>
            </w:pPr>
            <w:r>
              <w:rPr>
                <w:rFonts w:eastAsia="Times New Roman" w:cs="Times New Roman"/>
                <w:b/>
                <w:bCs/>
                <w:color w:val="1C4470"/>
                <w:sz w:val="20"/>
                <w:szCs w:val="20"/>
              </w:rPr>
              <w:t>En revisión</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#DDE9F7</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#1C4470</w:t>
            </w:r>
          </w:p>
        </w:tc>
        <w:tc>
          <w:tcPr>
            <w:tcW w:w="3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pidió información al prestador; reclamación en auditoría.</w:t>
            </w:r>
          </w:p>
        </w:tc>
      </w:tr>
      <w:tr>
        <w:trPr/>
        <w:tc>
          <w:tcPr>
            <w:tcW w:w="2000" w:type="dxa"/>
            <w:tcBorders>
              <w:top w:val="single" w:sz="4" w:space="0" w:color="808080"/>
              <w:left w:val="single" w:sz="4" w:space="0" w:color="808080"/>
              <w:bottom w:val="single" w:sz="4" w:space="0" w:color="808080"/>
              <w:right w:val="single" w:sz="4" w:space="0" w:color="808080"/>
            </w:tcBorders>
            <w:shd w:color="auto" w:fill="DDF1E5" w:val="clear"/>
          </w:tcPr>
          <w:p>
            <w:pPr>
              <w:pStyle w:val="Normal"/>
              <w:rPr/>
            </w:pPr>
            <w:r>
              <w:rPr>
                <w:rFonts w:eastAsia="Times New Roman" w:cs="Times New Roman"/>
                <w:b/>
                <w:bCs/>
                <w:color w:val="0F5C40"/>
                <w:sz w:val="20"/>
                <w:szCs w:val="20"/>
              </w:rPr>
              <w:t>Aprobada</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#DDF1E5</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#0F5C40</w:t>
            </w:r>
          </w:p>
        </w:tc>
        <w:tc>
          <w:tcPr>
            <w:tcW w:w="3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Autorización o reclamación aprobada; afiliado o prestador Activo.</w:t>
            </w:r>
          </w:p>
        </w:tc>
      </w:tr>
      <w:tr>
        <w:trPr/>
        <w:tc>
          <w:tcPr>
            <w:tcW w:w="2000" w:type="dxa"/>
            <w:tcBorders>
              <w:top w:val="single" w:sz="4" w:space="0" w:color="808080"/>
              <w:left w:val="single" w:sz="4" w:space="0" w:color="808080"/>
              <w:bottom w:val="single" w:sz="4" w:space="0" w:color="808080"/>
              <w:right w:val="single" w:sz="4" w:space="0" w:color="808080"/>
            </w:tcBorders>
            <w:shd w:color="auto" w:fill="F9E1DC" w:val="clear"/>
          </w:tcPr>
          <w:p>
            <w:pPr>
              <w:pStyle w:val="Normal"/>
              <w:rPr/>
            </w:pPr>
            <w:r>
              <w:rPr>
                <w:rFonts w:eastAsia="Times New Roman" w:cs="Times New Roman"/>
                <w:b/>
                <w:bCs/>
                <w:color w:val="8A2A14"/>
                <w:sz w:val="20"/>
                <w:szCs w:val="20"/>
              </w:rPr>
              <w:t>Negada</w:t>
            </w:r>
          </w:p>
        </w:tc>
        <w:tc>
          <w:tcPr>
            <w:tcW w:w="17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#F9E1DC</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#8A2A14</w:t>
            </w:r>
          </w:p>
        </w:tc>
        <w:tc>
          <w:tcPr>
            <w:tcW w:w="3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Autorización negada; reclamación rechazada o devuelta; afiliado Suspendido o Cancelado.</w:t>
            </w:r>
          </w:p>
        </w:tc>
      </w:tr>
    </w:tbl>
    <w:p>
      <w:pPr>
        <w:pStyle w:val="Normal"/>
        <w:spacing w:before="0" w:after="120"/>
        <w:rPr/>
      </w:pPr>
      <w:r>
        <w:rPr/>
      </w:r>
    </w:p>
    <w:p>
      <w:pPr>
        <w:pStyle w:val="Heading2"/>
        <w:spacing w:lineRule="exact" w:line="360" w:before="200" w:after="120"/>
        <w:rPr/>
      </w:pPr>
      <w:bookmarkStart w:id="34" w:name="__RefHeading___Toc2703_1228540938"/>
      <w:bookmarkEnd w:id="34"/>
      <w:r>
        <w:rPr/>
        <w:t>11.3 Tipografía</w:t>
      </w:r>
    </w:p>
    <w:tbl>
      <w:tblPr>
        <w:tblW w:w="9360" w:type="dxa"/>
        <w:jc w:val="left"/>
        <w:tblInd w:w="0" w:type="dxa"/>
        <w:tblLayout w:type="fixed"/>
        <w:tblCellMar>
          <w:top w:w="60" w:type="dxa"/>
          <w:left w:w="100" w:type="dxa"/>
          <w:bottom w:w="60" w:type="dxa"/>
          <w:right w:w="100" w:type="dxa"/>
        </w:tblCellMar>
      </w:tblPr>
      <w:tblGrid>
        <w:gridCol w:w="3399"/>
        <w:gridCol w:w="5960"/>
      </w:tblGrid>
      <w:tr>
        <w:trPr>
          <w:tblHeader w:val="true"/>
        </w:trPr>
        <w:tc>
          <w:tcPr>
            <w:tcW w:w="3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Elemento</w:t>
            </w:r>
          </w:p>
        </w:tc>
        <w:tc>
          <w:tcPr>
            <w:tcW w:w="59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Estilo (Figtree)</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Título del encabezado de pantalla</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20 px, negrita 700, Verde Vita; subtítulo de 13 px en #4A6272</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Título de tarjeta o sección</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16 px, negrita 700, Verde Vita</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Texto de cuerpo</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14–15 px, regular 400</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Etiquetas de formulario</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12 px, semibold 600, #3D5361</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Encabezados de tabla</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12 px, negrita 700, MAYÚSCULAS, #3D5361</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Valor de KPI</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32 px, negrita 700, Verde Vita</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Respaldo si la fuente no carga</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"Segoe UI", system</w:t>
            </w:r>
          </w:p>
        </w:tc>
      </w:tr>
    </w:tbl>
    <w:p>
      <w:pPr>
        <w:pStyle w:val="Normal"/>
        <w:spacing w:before="0" w:after="120"/>
        <w:rPr/>
      </w:pPr>
      <w:r>
        <w:rPr/>
      </w:r>
    </w:p>
    <w:p>
      <w:pPr>
        <w:pStyle w:val="Heading2"/>
        <w:spacing w:lineRule="exact" w:line="360" w:before="200" w:after="120"/>
        <w:rPr/>
      </w:pPr>
      <w:bookmarkStart w:id="35" w:name="__RefHeading___Toc2705_1228540938"/>
      <w:bookmarkEnd w:id="35"/>
      <w:r>
        <w:rPr/>
        <w:t>11.4 Estructura de pantallas</w:t>
      </w:r>
    </w:p>
    <w:p>
      <w:pPr>
        <w:pStyle w:val="ListParagraph"/>
        <w:numPr>
          <w:ilvl w:val="0"/>
          <w:numId w:val="2"/>
        </w:numPr>
        <w:spacing w:lineRule="exact" w:line="360" w:before="0" w:after="60"/>
        <w:jc w:val="both"/>
        <w:rPr/>
      </w:pPr>
      <w:r>
        <w:rPr>
          <w:rFonts w:eastAsia="Times New Roman" w:cs="Times New Roman"/>
          <w:b/>
          <w:bCs/>
          <w:sz w:val="24"/>
          <w:szCs w:val="24"/>
        </w:rPr>
        <w:t xml:space="preserve">Inicio de sesión (1280 × 800): </w:t>
      </w:r>
      <w:r>
        <w:rPr>
          <w:rFonts w:eastAsia="Times New Roman" w:cs="Times New Roman"/>
          <w:sz w:val="24"/>
          <w:szCs w:val="24"/>
        </w:rPr>
        <w:t>panel izquierdo Verde Vita (55 %) con logo, el mensaje “Autorizaciones y reclamaciones, sin vueltas.” y el texto “Un solo portal para prestadores y para el equipo interno de la ARS.”; a la derecha, sobre fondo Niebla, una tarjeta blanca de 400 px con el selector Prestador / Personal interno, usuario, contraseña, el botón “Acceder” y el enlace de ayuda. La etiqueta del usuario cambia según el perfil (“Usuario del prestador” o “Usuario corporativo”).</w:t>
      </w:r>
    </w:p>
    <w:p>
      <w:pPr>
        <w:pStyle w:val="ListParagraph"/>
        <w:numPr>
          <w:ilvl w:val="0"/>
          <w:numId w:val="2"/>
        </w:numPr>
        <w:spacing w:lineRule="exact" w:line="360" w:before="0" w:after="60"/>
        <w:jc w:val="both"/>
        <w:rPr/>
      </w:pPr>
      <w:r>
        <w:rPr>
          <w:rFonts w:eastAsia="Times New Roman" w:cs="Times New Roman"/>
          <w:b/>
          <w:bCs/>
          <w:sz w:val="24"/>
          <w:szCs w:val="24"/>
        </w:rPr>
        <w:t xml:space="preserve">Consola interna y Portal del prestador: </w:t>
      </w:r>
      <w:r>
        <w:rPr>
          <w:rFonts w:eastAsia="Times New Roman" w:cs="Times New Roman"/>
          <w:sz w:val="24"/>
          <w:szCs w:val="24"/>
        </w:rPr>
        <w:t>barra lateral de 264 px en Verde Vita con logo, opciones con ícono y “Cerrar sesión” al final; encabezado blanco de 68 px con título y subtítulo, búsqueda global (solo en la consola) y la píldora del usuario; contenido sobre fondo Niebla con margen de 28 × 32 px.</w:t>
      </w:r>
    </w:p>
    <w:p>
      <w:pPr>
        <w:pStyle w:val="ListParagraph"/>
        <w:numPr>
          <w:ilvl w:val="0"/>
          <w:numId w:val="2"/>
        </w:numPr>
        <w:spacing w:lineRule="exact" w:line="360" w:before="0" w:after="60"/>
        <w:jc w:val="both"/>
        <w:rPr/>
      </w:pPr>
      <w:r>
        <w:rPr>
          <w:rFonts w:eastAsia="Times New Roman" w:cs="Times New Roman"/>
          <w:b/>
          <w:bCs/>
          <w:sz w:val="24"/>
          <w:szCs w:val="24"/>
        </w:rPr>
        <w:t xml:space="preserve">Menú de la Consola interna: </w:t>
      </w:r>
      <w:r>
        <w:rPr>
          <w:rFonts w:eastAsia="Times New Roman" w:cs="Times New Roman"/>
          <w:sz w:val="24"/>
          <w:szCs w:val="24"/>
        </w:rPr>
        <w:t>Panel, Bandeja de autorizaciones, Reclamaciones (añadida a lo que muestra el diseño, para el auditor médico), Afiliados, Nuevo afiliado, Red de prestadores, Planes y coberturas (añadida para el administrador), Reportes, Usuarios y roles.</w:t>
      </w:r>
    </w:p>
    <w:p>
      <w:pPr>
        <w:pStyle w:val="ListParagraph"/>
        <w:numPr>
          <w:ilvl w:val="0"/>
          <w:numId w:val="2"/>
        </w:numPr>
        <w:spacing w:lineRule="exact" w:line="360" w:before="0" w:after="60"/>
        <w:jc w:val="both"/>
        <w:rPr/>
      </w:pPr>
      <w:r>
        <w:rPr>
          <w:rFonts w:eastAsia="Times New Roman" w:cs="Times New Roman"/>
          <w:b/>
          <w:bCs/>
          <w:sz w:val="24"/>
          <w:szCs w:val="24"/>
        </w:rPr>
        <w:t xml:space="preserve">Menú del Portal del prestador: </w:t>
      </w:r>
      <w:r>
        <w:rPr>
          <w:rFonts w:eastAsia="Times New Roman" w:cs="Times New Roman"/>
          <w:sz w:val="24"/>
          <w:szCs w:val="24"/>
        </w:rPr>
        <w:t>grupo AUTORIZACIONES (Inicio, Solicitar autorización, Búsqueda avanzada, Precertificaciones, Hospitalización) y grupo GESTIÓN (Mis solicitudes, Reportes).</w:t>
      </w:r>
    </w:p>
    <w:p>
      <w:pPr>
        <w:pStyle w:val="ListParagraph"/>
        <w:numPr>
          <w:ilvl w:val="0"/>
          <w:numId w:val="2"/>
        </w:numPr>
        <w:spacing w:lineRule="exact" w:line="360" w:before="0" w:after="60"/>
        <w:jc w:val="both"/>
        <w:rPr/>
      </w:pPr>
      <w:r>
        <w:rPr>
          <w:rFonts w:eastAsia="Times New Roman" w:cs="Times New Roman"/>
          <w:b/>
          <w:bCs/>
          <w:sz w:val="24"/>
          <w:szCs w:val="24"/>
        </w:rPr>
        <w:t xml:space="preserve">Bandejas: </w:t>
      </w:r>
      <w:r>
        <w:rPr>
          <w:rFonts w:eastAsia="Times New Roman" w:cs="Times New Roman"/>
          <w:sz w:val="24"/>
          <w:szCs w:val="24"/>
        </w:rPr>
        <w:t>tabla (1.7 partes del ancho) y panel de revisión (1 parte) lado a lado; si la ventana mide menos de 1100 px, el panel pasa debajo de la tabla.</w:t>
      </w:r>
    </w:p>
    <w:p>
      <w:pPr>
        <w:pStyle w:val="ListParagraph"/>
        <w:numPr>
          <w:ilvl w:val="0"/>
          <w:numId w:val="2"/>
        </w:numPr>
        <w:spacing w:lineRule="exact" w:line="360" w:before="0" w:after="60"/>
        <w:jc w:val="both"/>
        <w:rPr/>
      </w:pPr>
      <w:r>
        <w:rPr>
          <w:rFonts w:eastAsia="Times New Roman" w:cs="Times New Roman"/>
          <w:b/>
          <w:bCs/>
          <w:sz w:val="24"/>
          <w:szCs w:val="24"/>
        </w:rPr>
        <w:t xml:space="preserve">Ventana: </w:t>
      </w:r>
      <w:r>
        <w:rPr>
          <w:rFonts w:eastAsia="Times New Roman" w:cs="Times New Roman"/>
          <w:sz w:val="24"/>
          <w:szCs w:val="24"/>
        </w:rPr>
        <w:t>mínimo 1280 × 720, se abre maximizada.</w:t>
      </w:r>
    </w:p>
    <w:p>
      <w:pPr>
        <w:pStyle w:val="Heading2"/>
        <w:spacing w:lineRule="exact" w:line="360" w:before="200" w:after="120"/>
        <w:rPr/>
      </w:pPr>
      <w:bookmarkStart w:id="36" w:name="__RefHeading___Toc2707_1228540938"/>
      <w:bookmarkEnd w:id="36"/>
      <w:r>
        <w:rPr/>
        <w:t>11.5 Traducción a JavaFX</w:t>
      </w:r>
    </w:p>
    <w:tbl>
      <w:tblPr>
        <w:tblW w:w="9360" w:type="dxa"/>
        <w:jc w:val="left"/>
        <w:tblInd w:w="0" w:type="dxa"/>
        <w:tblLayout w:type="fixed"/>
        <w:tblCellMar>
          <w:top w:w="60" w:type="dxa"/>
          <w:left w:w="100" w:type="dxa"/>
          <w:bottom w:w="60" w:type="dxa"/>
          <w:right w:w="100" w:type="dxa"/>
        </w:tblCellMar>
      </w:tblPr>
      <w:tblGrid>
        <w:gridCol w:w="2899"/>
        <w:gridCol w:w="3501"/>
        <w:gridCol w:w="2960"/>
      </w:tblGrid>
      <w:tr>
        <w:trPr>
          <w:tblHeader w:val="true"/>
        </w:trPr>
        <w:tc>
          <w:tcPr>
            <w:tcW w:w="28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Elemento del diseño</w:t>
            </w:r>
          </w:p>
        </w:tc>
        <w:tc>
          <w:tcPr>
            <w:tcW w:w="35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Control JavaFX</w:t>
            </w:r>
          </w:p>
        </w:tc>
        <w:tc>
          <w:tcPr>
            <w:tcW w:w="29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Clase CSS</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Barra lateral con opciones</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VBox con ToggleButton en un ToggleGroup</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.sidebar, .nav, .nav:selected</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Tarjeta</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VBox o GridPane</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.card (fondo blanco, borde #D5E0E7, radio 12)</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Campo de texto, selector, fecha</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TextField, ComboBox, DatePicker (alto 40, radio 8)</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.field, .field:focused, .field-readonly</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Botón principal, secundario, peligro</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Button</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.btn, .btn-ghost, .btn-danger</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Chip de estado</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Label</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.chip.chip-pendiente, -revision, -aprobada, -negada</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Pestañas Todas, Pendiente…</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ToggleButton con forma de píldora</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 .tab:selected</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Tabla de bandeja</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TableView con celdas personalizadas para el chip</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.table-view (encabezado #E7EFEA; fila seleccionada Menta)</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Selector de perfil del inicio de sesión</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Dos ToggleButton en un HBox con fondo #E7EFEA</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.seg, .seg:selected</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Formulario por secciones</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Tarjetas numeradas (1. Datos personales…) dentro de un ScrollPane</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.card, .section-title</w:t>
            </w:r>
          </w:p>
        </w:tc>
      </w:tr>
      <w:tr>
        <w:trPr/>
        <w:tc>
          <w:tcPr>
            <w:tcW w:w="28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Aviso de éxito</w:t>
            </w:r>
          </w:p>
        </w:tc>
        <w:tc>
          <w:tcPr>
            <w:tcW w:w="35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HBox sobre fondo #DDF1E5 y borde #9FD3B5</w:t>
            </w:r>
          </w:p>
        </w:tc>
        <w:tc>
          <w:tcPr>
            <w:tcW w:w="2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.alert-success</w:t>
            </w:r>
          </w:p>
        </w:tc>
      </w:tr>
    </w:tbl>
    <w:p>
      <w:pPr>
        <w:pStyle w:val="Normal"/>
        <w:spacing w:before="0" w:after="120"/>
        <w:rPr/>
      </w:pPr>
      <w:r>
        <w:rPr/>
      </w:r>
    </w:p>
    <w:p>
      <w:pPr>
        <w:pStyle w:val="Normal"/>
        <w:spacing w:lineRule="exact" w:line="360" w:before="0" w:after="120"/>
        <w:jc w:val="both"/>
        <w:rPr/>
      </w:pPr>
      <w:r>
        <w:rPr>
          <w:rFonts w:eastAsia="Times New Roman" w:cs="Times New Roman"/>
          <w:sz w:val="24"/>
          <w:szCs w:val="24"/>
        </w:rPr>
        <w:t>Fragmento base de vitasalud.css. JavaFX no admite var() de CSS web, pero sí los “looked-up colors” definidos en .root, que cumplen la misma función:</w:t>
      </w:r>
    </w:p>
    <w:p>
      <w:pPr>
        <w:pStyle w:val="Normal"/>
        <w:spacing w:lineRule="exact" w:line="240" w:before="0" w:after="0"/>
        <w:ind w:left="360"/>
        <w:rPr/>
      </w:pPr>
      <w:r>
        <w:rPr>
          <w:rFonts w:eastAsia="Courier New" w:cs="Courier New" w:ascii="Courier New" w:hAnsi="Courier New"/>
          <w:sz w:val="19"/>
          <w:szCs w:val="19"/>
        </w:rPr>
        <w:t>@font-face { font-family: "Figtree"; src: url("../fonts/Figtree-Regular.ttf"); }</w:t>
      </w:r>
    </w:p>
    <w:p>
      <w:pPr>
        <w:pStyle w:val="Normal"/>
        <w:spacing w:lineRule="exact" w:line="240" w:before="0" w:after="0"/>
        <w:ind w:left="360"/>
        <w:rPr/>
      </w:pPr>
      <w:r>
        <w:rPr>
          <w:rFonts w:eastAsia="Courier New" w:cs="Courier New" w:ascii="Courier New" w:hAnsi="Courier New"/>
          <w:sz w:val="19"/>
          <w:szCs w:val="19"/>
        </w:rPr>
        <w:t>.root {</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-vita-verde: #0F4C3A;  -vita-hoja: #177350;  -vita-menta: #E5F3EC;</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-vita-ambar: #F2A93B;  -vita-tinta: #15232D; -vita-niebla: #F3F6F4;</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-vita-coral: #C2410C;  -vita-borde: #D5E0E7;</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-fx-font-family: "Figtree", "Segoe UI"; -fx-font-size: 14px;</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-fx-background-color: -vita-niebla; -fx-text-fill: -vita-tinta;</w:t>
      </w:r>
    </w:p>
    <w:p>
      <w:pPr>
        <w:pStyle w:val="Normal"/>
        <w:spacing w:lineRule="exact" w:line="240" w:before="0" w:after="0"/>
        <w:ind w:left="360"/>
        <w:rPr/>
      </w:pPr>
      <w:r>
        <w:rPr>
          <w:rFonts w:eastAsia="Courier New" w:cs="Courier New" w:ascii="Courier New" w:hAnsi="Courier New"/>
          <w:sz w:val="19"/>
          <w:szCs w:val="19"/>
        </w:rPr>
        <w:t>}</w:t>
      </w:r>
    </w:p>
    <w:p>
      <w:pPr>
        <w:pStyle w:val="Normal"/>
        <w:spacing w:lineRule="exact" w:line="240" w:before="0" w:after="0"/>
        <w:ind w:left="360"/>
        <w:rPr/>
      </w:pPr>
      <w:r>
        <w:rPr>
          <w:rFonts w:eastAsia="Courier New" w:cs="Courier New" w:ascii="Courier New" w:hAnsi="Courier New"/>
          <w:sz w:val="19"/>
          <w:szCs w:val="19"/>
        </w:rPr>
        <w:t>.sidebar { -fx-background-color: -vita-verde; -fx-pref-width: 264; }</w:t>
      </w:r>
    </w:p>
    <w:p>
      <w:pPr>
        <w:pStyle w:val="Normal"/>
        <w:spacing w:lineRule="exact" w:line="240" w:before="0" w:after="0"/>
        <w:ind w:left="360"/>
        <w:rPr/>
      </w:pPr>
      <w:r>
        <w:rPr>
          <w:rFonts w:eastAsia="Courier New" w:cs="Courier New" w:ascii="Courier New" w:hAnsi="Courier New"/>
          <w:sz w:val="19"/>
          <w:szCs w:val="19"/>
        </w:rPr>
        <w:t>.card { -fx-background-color: white; -fx-border-color: -vita-borde;</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-fx-border-radius: 12; -fx-background-radius: 12; }</w:t>
      </w:r>
    </w:p>
    <w:p>
      <w:pPr>
        <w:pStyle w:val="Normal"/>
        <w:spacing w:lineRule="exact" w:line="240" w:before="0" w:after="0"/>
        <w:ind w:left="360"/>
        <w:rPr/>
      </w:pPr>
      <w:r>
        <w:rPr>
          <w:rFonts w:eastAsia="Courier New" w:cs="Courier New" w:ascii="Courier New" w:hAnsi="Courier New"/>
          <w:sz w:val="19"/>
          <w:szCs w:val="19"/>
        </w:rPr>
        <w:t>.btn { -fx-background-color: -vita-hoja; -fx-text-fill: white;</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-fx-background-radius: 8; -fx-pref-height: 40; -fx-font-weight: bold; }</w:t>
      </w:r>
    </w:p>
    <w:p>
      <w:pPr>
        <w:pStyle w:val="Normal"/>
        <w:spacing w:lineRule="exact" w:line="240" w:before="0" w:after="0"/>
        <w:ind w:left="360"/>
        <w:rPr/>
      </w:pPr>
      <w:r>
        <w:rPr>
          <w:rFonts w:eastAsia="Courier New" w:cs="Courier New" w:ascii="Courier New" w:hAnsi="Courier New"/>
          <w:sz w:val="19"/>
          <w:szCs w:val="19"/>
        </w:rPr>
        <w:t>.btn:hover { -fx-background-color: #0F5C40; }</w:t>
      </w:r>
    </w:p>
    <w:p>
      <w:pPr>
        <w:pStyle w:val="Normal"/>
        <w:spacing w:lineRule="exact" w:line="240" w:before="0" w:after="0"/>
        <w:ind w:left="360"/>
        <w:rPr/>
      </w:pPr>
      <w:r>
        <w:rPr>
          <w:rFonts w:eastAsia="Courier New" w:cs="Courier New" w:ascii="Courier New" w:hAnsi="Courier New"/>
          <w:sz w:val="19"/>
          <w:szCs w:val="19"/>
        </w:rPr>
        <w:t>.chip-aprobada { -fx-background-color: #DDF1E5; -fx-text-fill: #0F5C40;</w:t>
      </w:r>
    </w:p>
    <w:p>
      <w:pPr>
        <w:pStyle w:val="Normal"/>
        <w:spacing w:lineRule="exact" w:line="240" w:before="0" w:after="0"/>
        <w:ind w:left="360"/>
        <w:rPr/>
      </w:pPr>
      <w:r>
        <w:rPr>
          <w:rFonts w:eastAsia="Courier New" w:cs="Courier New" w:ascii="Courier New" w:hAnsi="Courier New"/>
          <w:sz w:val="19"/>
          <w:szCs w:val="19"/>
        </w:rPr>
        <w:t xml:space="preserve">                 </w:t>
      </w:r>
      <w:r>
        <w:rPr>
          <w:rFonts w:eastAsia="Courier New" w:cs="Courier New" w:ascii="Courier New" w:hAnsi="Courier New"/>
          <w:sz w:val="19"/>
          <w:szCs w:val="19"/>
        </w:rPr>
        <w:t>-fx-background-radius: 999; -fx-padding: 3 10; }</w:t>
      </w:r>
    </w:p>
    <w:p>
      <w:pPr>
        <w:pStyle w:val="Normal"/>
        <w:spacing w:before="0" w:after="160"/>
        <w:rPr/>
      </w:pPr>
      <w:r>
        <w:rPr/>
      </w:r>
    </w:p>
    <w:p>
      <w:pPr>
        <w:pStyle w:val="Heading2"/>
        <w:spacing w:lineRule="exact" w:line="360" w:before="200" w:after="120"/>
        <w:rPr/>
      </w:pPr>
      <w:bookmarkStart w:id="37" w:name="__RefHeading___Toc2709_1228540938"/>
      <w:bookmarkEnd w:id="37"/>
      <w:r>
        <w:rPr/>
        <w:t>11.6 Flujos clave</w:t>
      </w:r>
    </w:p>
    <w:p>
      <w:pPr>
        <w:pStyle w:val="Heading3"/>
        <w:spacing w:lineRule="exact" w:line="360" w:before="160" w:after="100"/>
        <w:rPr/>
      </w:pPr>
      <w:r>
        <w:rPr/>
        <w:t>Solicitud y revisión de una autorización</w:t>
      </w:r>
    </w:p>
    <w:p>
      <w:pPr>
        <w:pStyle w:val="ListParagraph"/>
        <w:numPr>
          <w:ilvl w:val="0"/>
          <w:numId w:val="12"/>
        </w:numPr>
        <w:spacing w:lineRule="exact" w:line="360" w:before="0" w:after="60"/>
        <w:jc w:val="both"/>
        <w:rPr/>
      </w:pPr>
      <w:r>
        <w:rPr>
          <w:rFonts w:eastAsia="Times New Roman" w:cs="Times New Roman"/>
          <w:sz w:val="24"/>
          <w:szCs w:val="24"/>
        </w:rPr>
        <w:t>El prestador entra con el perfil Prestador y elige “Solicitar autorización”.</w:t>
      </w:r>
    </w:p>
    <w:p>
      <w:pPr>
        <w:pStyle w:val="ListParagraph"/>
        <w:numPr>
          <w:ilvl w:val="0"/>
          <w:numId w:val="5"/>
        </w:numPr>
        <w:spacing w:lineRule="exact" w:line="360" w:before="0" w:after="60"/>
        <w:jc w:val="both"/>
        <w:rPr/>
      </w:pPr>
      <w:r>
        <w:rPr>
          <w:rFonts w:eastAsia="Times New Roman" w:cs="Times New Roman"/>
          <w:sz w:val="24"/>
          <w:szCs w:val="24"/>
        </w:rPr>
        <w:t>Paso 1, Asegurado: busca por cédula, NSS o nombre. Si el afiliado no está Activo, el sistema lo indica con un chip rojo y no deja continuar.</w:t>
      </w:r>
    </w:p>
    <w:p>
      <w:pPr>
        <w:pStyle w:val="ListParagraph"/>
        <w:numPr>
          <w:ilvl w:val="0"/>
          <w:numId w:val="5"/>
        </w:numPr>
        <w:spacing w:lineRule="exact" w:line="360" w:before="0" w:after="60"/>
        <w:jc w:val="both"/>
        <w:rPr/>
      </w:pPr>
      <w:r>
        <w:rPr>
          <w:rFonts w:eastAsia="Times New Roman" w:cs="Times New Roman"/>
          <w:sz w:val="24"/>
          <w:szCs w:val="24"/>
        </w:rPr>
        <w:t>Paso 2, Datos del servicio, y Paso 3, Procedimientos. Al enviar, el bloque “Resultado” muestra AUT-000125 con el estado Pendiente.</w:t>
      </w:r>
    </w:p>
    <w:p>
      <w:pPr>
        <w:pStyle w:val="ListParagraph"/>
        <w:numPr>
          <w:ilvl w:val="0"/>
          <w:numId w:val="5"/>
        </w:numPr>
        <w:spacing w:lineRule="exact" w:line="360" w:before="0" w:after="60"/>
        <w:jc w:val="both"/>
        <w:rPr/>
      </w:pPr>
      <w:r>
        <w:rPr>
          <w:rFonts w:eastAsia="Times New Roman" w:cs="Times New Roman"/>
          <w:sz w:val="24"/>
          <w:szCs w:val="24"/>
        </w:rPr>
        <w:t>En la Consola interna, la solicitud aparece en la Bandeja. El analista la selecciona y el panel “Revisión de autorización” muestra los datos, la validación de cobertura y el cálculo del copago.</w:t>
      </w:r>
    </w:p>
    <w:p>
      <w:pPr>
        <w:pStyle w:val="ListParagraph"/>
        <w:numPr>
          <w:ilvl w:val="0"/>
          <w:numId w:val="5"/>
        </w:numPr>
        <w:spacing w:lineRule="exact" w:line="360" w:before="0" w:after="60"/>
        <w:jc w:val="both"/>
        <w:rPr/>
      </w:pPr>
      <w:r>
        <w:rPr>
          <w:rFonts w:eastAsia="Times New Roman" w:cs="Times New Roman"/>
          <w:sz w:val="24"/>
          <w:szCs w:val="24"/>
        </w:rPr>
        <w:t>El analista pulsa Aprobar, o Negar o Pedir información con una nota obligatoria. El chip cambia de inmediato y el contador del Panel se actualiza.</w:t>
      </w:r>
    </w:p>
    <w:p>
      <w:pPr>
        <w:pStyle w:val="ListParagraph"/>
        <w:numPr>
          <w:ilvl w:val="0"/>
          <w:numId w:val="5"/>
        </w:numPr>
        <w:spacing w:lineRule="exact" w:line="360" w:before="0" w:after="60"/>
        <w:jc w:val="both"/>
        <w:rPr/>
      </w:pPr>
      <w:r>
        <w:rPr>
          <w:rFonts w:eastAsia="Times New Roman" w:cs="Times New Roman"/>
          <w:sz w:val="24"/>
          <w:szCs w:val="24"/>
        </w:rPr>
        <w:t>El prestador ve el nuevo estado, la nota y el monto cubierto en “Autorizaciones recientes” y en “Mis solicitudes”.</w:t>
      </w:r>
    </w:p>
    <w:p>
      <w:pPr>
        <w:pStyle w:val="Heading3"/>
        <w:spacing w:lineRule="exact" w:line="360" w:before="160" w:after="100"/>
        <w:rPr/>
      </w:pPr>
      <w:r>
        <w:rPr/>
        <w:t>Reclamación</w:t>
      </w:r>
    </w:p>
    <w:p>
      <w:pPr>
        <w:pStyle w:val="ListParagraph"/>
        <w:numPr>
          <w:ilvl w:val="0"/>
          <w:numId w:val="13"/>
        </w:numPr>
        <w:spacing w:lineRule="exact" w:line="360" w:before="0" w:after="60"/>
        <w:jc w:val="both"/>
        <w:rPr/>
      </w:pPr>
      <w:r>
        <w:rPr>
          <w:rFonts w:eastAsia="Times New Roman" w:cs="Times New Roman"/>
          <w:sz w:val="24"/>
          <w:szCs w:val="24"/>
        </w:rPr>
        <w:t>Desde una autorización aprobada, el prestador elige “Agregar reclamación por servicio” y registra factura, fecha y monto.</w:t>
      </w:r>
    </w:p>
    <w:p>
      <w:pPr>
        <w:pStyle w:val="ListParagraph"/>
        <w:numPr>
          <w:ilvl w:val="0"/>
          <w:numId w:val="6"/>
        </w:numPr>
        <w:spacing w:lineRule="exact" w:line="360" w:before="0" w:after="60"/>
        <w:jc w:val="both"/>
        <w:rPr/>
      </w:pPr>
      <w:r>
        <w:rPr>
          <w:rFonts w:eastAsia="Times New Roman" w:cs="Times New Roman"/>
          <w:sz w:val="24"/>
          <w:szCs w:val="24"/>
        </w:rPr>
        <w:t>El auditor médico la ve en la bandeja de Reclamaciones; la aprueba, la glosa, la devuelve o la rechaza.</w:t>
      </w:r>
    </w:p>
    <w:p>
      <w:pPr>
        <w:pStyle w:val="ListParagraph"/>
        <w:numPr>
          <w:ilvl w:val="0"/>
          <w:numId w:val="6"/>
        </w:numPr>
        <w:spacing w:lineRule="exact" w:line="360" w:before="0" w:after="60"/>
        <w:jc w:val="both"/>
        <w:rPr/>
      </w:pPr>
      <w:r>
        <w:rPr>
          <w:rFonts w:eastAsia="Times New Roman" w:cs="Times New Roman"/>
          <w:sz w:val="24"/>
          <w:szCs w:val="24"/>
        </w:rPr>
        <w:t>Al registrar el pago, la reclamación pasa a Pagada y aparece en “Consulta de cheques” del prestador.</w:t>
      </w:r>
    </w:p>
    <w:p>
      <w:pPr>
        <w:pStyle w:val="Heading2"/>
        <w:spacing w:lineRule="exact" w:line="360" w:before="200" w:after="120"/>
        <w:rPr/>
      </w:pPr>
      <w:bookmarkStart w:id="38" w:name="__RefHeading___Toc2711_1228540938"/>
      <w:bookmarkEnd w:id="38"/>
      <w:r>
        <w:rPr/>
        <w:t>11.7 Principios de diseño</w:t>
      </w:r>
    </w:p>
    <w:p>
      <w:pPr>
        <w:pStyle w:val="ListParagraph"/>
        <w:numPr>
          <w:ilvl w:val="0"/>
          <w:numId w:val="2"/>
        </w:numPr>
        <w:spacing w:lineRule="exact" w:line="360" w:before="0" w:after="60"/>
        <w:jc w:val="both"/>
        <w:rPr/>
      </w:pPr>
      <w:r>
        <w:rPr>
          <w:rFonts w:eastAsia="Times New Roman" w:cs="Times New Roman"/>
          <w:sz w:val="24"/>
          <w:szCs w:val="24"/>
        </w:rPr>
        <w:t>Consistencia: una sola hoja vitasalud.css; ningún color escrito directamente en un FXML.</w:t>
      </w:r>
    </w:p>
    <w:p>
      <w:pPr>
        <w:pStyle w:val="ListParagraph"/>
        <w:numPr>
          <w:ilvl w:val="0"/>
          <w:numId w:val="2"/>
        </w:numPr>
        <w:spacing w:lineRule="exact" w:line="360" w:before="0" w:after="60"/>
        <w:jc w:val="both"/>
        <w:rPr/>
      </w:pPr>
      <w:r>
        <w:rPr>
          <w:rFonts w:eastAsia="Times New Roman" w:cs="Times New Roman"/>
          <w:sz w:val="24"/>
          <w:szCs w:val="24"/>
        </w:rPr>
        <w:t>Los estados siempre llevan texto además del color, como exige la nota de accesibilidad del diseño.</w:t>
      </w:r>
    </w:p>
    <w:p>
      <w:pPr>
        <w:pStyle w:val="ListParagraph"/>
        <w:numPr>
          <w:ilvl w:val="0"/>
          <w:numId w:val="2"/>
        </w:numPr>
        <w:spacing w:lineRule="exact" w:line="360" w:before="0" w:after="60"/>
        <w:jc w:val="both"/>
        <w:rPr/>
      </w:pPr>
      <w:r>
        <w:rPr>
          <w:rFonts w:eastAsia="Times New Roman" w:cs="Times New Roman"/>
          <w:sz w:val="24"/>
          <w:szCs w:val="24"/>
        </w:rPr>
        <w:t>Prevención de errores: campos con máscara (cédula, RNC, teléfono, montos), listas desplegables para los catálogos, campos de solo lectura con fondo gris (#EEF3F1) y confirmación antes de negar o anular.</w:t>
      </w:r>
    </w:p>
    <w:p>
      <w:pPr>
        <w:pStyle w:val="ListParagraph"/>
        <w:numPr>
          <w:ilvl w:val="0"/>
          <w:numId w:val="2"/>
        </w:numPr>
        <w:spacing w:lineRule="exact" w:line="360" w:before="0" w:after="60"/>
        <w:jc w:val="both"/>
        <w:rPr/>
      </w:pPr>
      <w:r>
        <w:rPr>
          <w:rFonts w:eastAsia="Times New Roman" w:cs="Times New Roman"/>
          <w:sz w:val="24"/>
          <w:szCs w:val="24"/>
        </w:rPr>
        <w:t>Mensajes en lenguaje del negocio, como en el diseño: “Afiliado creado correctamente. Ya puede recibir servicios.”</w:t>
      </w:r>
    </w:p>
    <w:p>
      <w:pPr>
        <w:pStyle w:val="ListParagraph"/>
        <w:numPr>
          <w:ilvl w:val="0"/>
          <w:numId w:val="2"/>
        </w:numPr>
        <w:spacing w:lineRule="exact" w:line="360" w:before="0" w:after="60"/>
        <w:jc w:val="both"/>
        <w:rPr/>
      </w:pPr>
      <w:r>
        <w:rPr>
          <w:rFonts w:eastAsia="Times New Roman" w:cs="Times New Roman"/>
          <w:sz w:val="24"/>
          <w:szCs w:val="24"/>
        </w:rPr>
        <w:t>Los textos de ejemplo del diseño ([Nombre del usuario], Asegurado A, Prestador 1) se reemplazan por datos reales de la base de datos.</w:t>
      </w:r>
    </w:p>
    <w:p>
      <w:pPr>
        <w:pStyle w:val="Heading1"/>
        <w:spacing w:lineRule="exact" w:line="360" w:before="240" w:after="160"/>
        <w:rPr/>
      </w:pPr>
      <w:bookmarkStart w:id="39" w:name="__RefHeading___Toc2713_1228540938"/>
      <w:bookmarkEnd w:id="39"/>
      <w:r>
        <w:rPr/>
        <w:t>12. Cronograma y fases</w:t>
      </w:r>
    </w:p>
    <w:tbl>
      <w:tblPr>
        <w:tblW w:w="9360" w:type="dxa"/>
        <w:jc w:val="left"/>
        <w:tblInd w:w="0" w:type="dxa"/>
        <w:tblLayout w:type="fixed"/>
        <w:tblCellMar>
          <w:top w:w="60" w:type="dxa"/>
          <w:left w:w="100" w:type="dxa"/>
          <w:bottom w:w="60" w:type="dxa"/>
          <w:right w:w="100" w:type="dxa"/>
        </w:tblCellMar>
      </w:tblPr>
      <w:tblGrid>
        <w:gridCol w:w="2000"/>
        <w:gridCol w:w="2400"/>
        <w:gridCol w:w="4960"/>
      </w:tblGrid>
      <w:tr>
        <w:trPr>
          <w:tblHeader w:val="true"/>
        </w:trPr>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Fase</w:t>
            </w:r>
          </w:p>
        </w:tc>
        <w:tc>
          <w:tcPr>
            <w:tcW w:w="24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Fechas</w:t>
            </w:r>
          </w:p>
        </w:tc>
        <w:tc>
          <w:tcPr>
            <w:tcW w:w="49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Entregables</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0. Arranque</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Mié 7 – jue 8 oct 2026</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Repositorio y proyecto Maven; 01_esquema.sql acordado; vitasalud.css, fuente Figtree y estructura de ambas consolas vacías con navegación; acuerdos del equipo (10.1).</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 Avance 50 %</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Vie 9 – mar 13 oct 2026 · Entrega: mié 14 oct</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 criterios de 12.1.</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2. Funcionalidad completa</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Jue 15 oct – dom 8 nov 2026</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Todos los P0; RN-01 a RN-11; reclamaciones en ambos perfiles; bitácora; búsqueda global.</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3. Reportes, portal e integración</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Lun 9 – dom 22 nov 2026</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Reportes internos y del prestador; Mis solicitudes; P2 que quepan (precertificaciones, comunicados, exportación); integración en main.</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4. Pruebas y cierre</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Lun 23 – lun 30 nov 2026</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JUnit y pruebas manuales de los flujos de 11.6; revisión de fidelidad visual contra el diseño; manual de usuario; JAR; presentación.</w:t>
            </w:r>
          </w:p>
        </w:tc>
      </w:tr>
      <w:tr>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Entrega final</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Principios de diciembre 2026</w:t>
            </w:r>
          </w:p>
        </w:tc>
        <w:tc>
          <w:tcPr>
            <w:tcW w:w="4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Código, scripts SQL, JAR, manual y presentación.</w:t>
            </w:r>
          </w:p>
        </w:tc>
      </w:tr>
    </w:tbl>
    <w:p>
      <w:pPr>
        <w:pStyle w:val="Normal"/>
        <w:spacing w:before="0" w:after="120"/>
        <w:rPr/>
      </w:pPr>
      <w:r>
        <w:rPr/>
      </w:r>
    </w:p>
    <w:p>
      <w:pPr>
        <w:pStyle w:val="Heading2"/>
        <w:spacing w:lineRule="exact" w:line="360" w:before="200" w:after="120"/>
        <w:rPr/>
      </w:pPr>
      <w:bookmarkStart w:id="40" w:name="__RefHeading___Toc2715_1228540938"/>
      <w:bookmarkEnd w:id="40"/>
      <w:r>
        <w:rPr/>
        <w:t>12.1 Criterios del avance del 50 % (14 de octubre)</w:t>
      </w:r>
    </w:p>
    <w:p>
      <w:pPr>
        <w:pStyle w:val="Normal"/>
        <w:spacing w:lineRule="exact" w:line="360" w:before="0" w:after="120"/>
        <w:jc w:val="both"/>
        <w:rPr/>
      </w:pPr>
      <w:r>
        <w:rPr>
          <w:rFonts w:eastAsia="Times New Roman" w:cs="Times New Roman"/>
          <w:sz w:val="24"/>
          <w:szCs w:val="24"/>
        </w:rPr>
        <w:t>El objetivo es mostrar el ciclo principal funcionando de extremo a extremo con la identidad visual ya aplicada: un prestador solicita, un analista aprueba y el prestador ve el resultado.</w:t>
      </w:r>
    </w:p>
    <w:tbl>
      <w:tblPr>
        <w:tblW w:w="9360" w:type="dxa"/>
        <w:jc w:val="left"/>
        <w:tblInd w:w="0" w:type="dxa"/>
        <w:tblLayout w:type="fixed"/>
        <w:tblCellMar>
          <w:top w:w="60" w:type="dxa"/>
          <w:left w:w="100" w:type="dxa"/>
          <w:bottom w:w="60" w:type="dxa"/>
          <w:right w:w="100" w:type="dxa"/>
        </w:tblCellMar>
      </w:tblPr>
      <w:tblGrid>
        <w:gridCol w:w="1900"/>
        <w:gridCol w:w="7459"/>
      </w:tblGrid>
      <w:tr>
        <w:trPr>
          <w:tblHeader w:val="true"/>
        </w:trPr>
        <w:tc>
          <w:tcPr>
            <w:tcW w:w="1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Integrante</w:t>
            </w:r>
          </w:p>
        </w:tc>
        <w:tc>
          <w:tcPr>
            <w:tcW w:w="745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Debe estar funcionando para el 14 de octubre</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c>
          <w:tcPr>
            <w:tcW w:w="74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Inicio de sesión con selector de perfil contra MySQL (RF-SEG-01); ambas consolas con barra lateral, encabezado y menú según rol (RF-SEG-02 y 03); CRUD de usuarios, incluido el vínculo con el prestador (RF-SEG-04); Panel con las 4 tarjetas leyendo la BD (RF-REP-01); vitasalud.css aplicada a todo.</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Liannelis Pérez Pérez</w:t>
            </w:r>
          </w:p>
        </w:tc>
        <w:tc>
          <w:tcPr>
            <w:tcW w:w="74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Nuevo afiliado, secciones 1 a 3, guardando con validaciones (RF-AFI-01 a 03 y 05); Afiliados con búsqueda y ficha (RF-AFI-06); Red de prestadores con alta y filtro (RF-PSS-01 a 03).</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Luis Miguel Magallanes</w:t>
            </w:r>
          </w:p>
        </w:tc>
        <w:tc>
          <w:tcPr>
            <w:tcW w:w="74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CRUD de planes, procedimientos y coberturas (RF-PLA-01 a 03); Inicio del portal con “Autorizaciones recientes” del prestador conectado (RF-PRE-01).</w:t>
            </w:r>
          </w:p>
        </w:tc>
      </w:tr>
      <w:tr>
        <w:trPr/>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c>
          <w:tcPr>
            <w:tcW w:w="745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Solicitar autorización, pasos 1 a 3, guardando como Pendiente (RF-AUT-01 a 04); Bandeja con pestañas y panel de revisión, con Aprobar, Negar y Pedir información cambiando el estado y validando afiliado activo y servicio cubierto (RF-AUT-05 a 07).</w:t>
            </w:r>
          </w:p>
        </w:tc>
      </w:tr>
    </w:tbl>
    <w:p>
      <w:pPr>
        <w:pStyle w:val="Heading1"/>
        <w:spacing w:lineRule="exact" w:line="360" w:before="240" w:after="160"/>
        <w:rPr/>
      </w:pPr>
      <w:bookmarkStart w:id="41" w:name="__RefHeading___Toc2717_1228540938"/>
      <w:bookmarkEnd w:id="41"/>
      <w:r>
        <w:rPr/>
        <w:t>13. Métricas de éxito</w:t>
      </w:r>
    </w:p>
    <w:tbl>
      <w:tblPr>
        <w:tblW w:w="9360" w:type="dxa"/>
        <w:jc w:val="left"/>
        <w:tblInd w:w="0" w:type="dxa"/>
        <w:tblLayout w:type="fixed"/>
        <w:tblCellMar>
          <w:top w:w="60" w:type="dxa"/>
          <w:left w:w="100" w:type="dxa"/>
          <w:bottom w:w="60" w:type="dxa"/>
          <w:right w:w="100" w:type="dxa"/>
        </w:tblCellMar>
      </w:tblPr>
      <w:tblGrid>
        <w:gridCol w:w="3399"/>
        <w:gridCol w:w="5960"/>
      </w:tblGrid>
      <w:tr>
        <w:trPr>
          <w:tblHeader w:val="true"/>
        </w:trPr>
        <w:tc>
          <w:tcPr>
            <w:tcW w:w="3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Métrica</w:t>
            </w:r>
          </w:p>
        </w:tc>
        <w:tc>
          <w:tcPr>
            <w:tcW w:w="59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Meta</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 P0</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100 % en la entrega final; el ciclo solicitar → revisar → ver resultado demostrable el 14 de octubre.</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Requerimientos P1</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 menos el 80 % en la entrega final.</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Reglas de negocio con JUnit</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11 de 11, con un caso válido y uno inválido cada una.</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Aislamiento de datos</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Cero casos en que un usuario prestador vea datos de otro prestador, probado con dos usuarios de prueba.</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Fidelidad visual</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Las pantallas del diseño (inicio de sesión, Panel, Bandeja, Nuevo afiliado, Red de prestadores, Inicio del portal y Solicitar autorización) usan la paleta, la tipografía y la estructura de la sección 11, según una revisión lado a lado.</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Errores críticos en la demostración</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Cero excepciones sin controlar en los flujos de 11.6.</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Tiempo de respuesta</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Búsquedas en menos de 2 segundos con el volumen de la sección 8.</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Eficiencia</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Un prestador completa una solicitud en menos de 2 minutos y un analista decide en menos de 1 minuto.</w:t>
            </w:r>
          </w:p>
        </w:tc>
      </w:tr>
      <w:tr>
        <w:trPr/>
        <w:tc>
          <w:tcPr>
            <w:tcW w:w="33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Participación</w:t>
            </w:r>
          </w:p>
        </w:tc>
        <w:tc>
          <w:tcPr>
            <w:tcW w:w="59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Los cuatro integrantes tienen commits en cada fase y presentan su propio módulo.</w:t>
            </w:r>
          </w:p>
        </w:tc>
      </w:tr>
    </w:tbl>
    <w:p>
      <w:pPr>
        <w:pStyle w:val="Heading1"/>
        <w:spacing w:lineRule="exact" w:line="360" w:before="240" w:after="160"/>
        <w:rPr/>
      </w:pPr>
      <w:bookmarkStart w:id="42" w:name="__RefHeading___Toc2719_1228540938"/>
      <w:bookmarkEnd w:id="42"/>
      <w:r>
        <w:rPr/>
        <w:t>14. Riesgos y mitigaciones</w:t>
      </w:r>
    </w:p>
    <w:tbl>
      <w:tblPr>
        <w:tblW w:w="9360" w:type="dxa"/>
        <w:jc w:val="left"/>
        <w:tblInd w:w="0" w:type="dxa"/>
        <w:tblLayout w:type="fixed"/>
        <w:tblCellMar>
          <w:top w:w="60" w:type="dxa"/>
          <w:left w:w="100" w:type="dxa"/>
          <w:bottom w:w="60" w:type="dxa"/>
          <w:right w:w="100" w:type="dxa"/>
        </w:tblCellMar>
      </w:tblPr>
      <w:tblGrid>
        <w:gridCol w:w="3599"/>
        <w:gridCol w:w="1001"/>
        <w:gridCol w:w="4760"/>
      </w:tblGrid>
      <w:tr>
        <w:trPr>
          <w:tblHeader w:val="true"/>
        </w:trPr>
        <w:tc>
          <w:tcPr>
            <w:tcW w:w="3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Riesgo</w:t>
            </w:r>
          </w:p>
        </w:tc>
        <w:tc>
          <w:tcPr>
            <w:tcW w:w="10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Impacto</w:t>
            </w:r>
          </w:p>
        </w:tc>
        <w:tc>
          <w:tcPr>
            <w:tcW w:w="47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Mitigación</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Portal del prestador aumenta el alcance y el plazo del 50 % es de una semana.</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Alto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portal entra al 50 % solo con Inicio y Solicitar autorización; Precertificaciones, Hospitalización, Comunicados y parte de los reportes son P2.</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Pantallas con aspecto distinto según quién las hizo.</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Alto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vitasalud.css y una pantalla modelo se publican en la fase 0; está prohibido escribir colores en el FXML; revisión visual en cada pull request.</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Versiones distintas de JDK, JavaFX o MySQL entre los integrantes.</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Alto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Versiones fijadas en el pom.xml; prueba de compilación en las 4 máquinas antes del viernes 9 de octubre.</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AUT depende de las tablas de AFI, PSS y PLA, que se hacen en paralelo.</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Alto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Esquema y modelo acordados el día 1; Joel Marte trabaja con datos de prueba cargados por script.</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Para demostrar ambos perfiles a la vez hace falta que dos computadoras vean la misma BD.</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Medio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Servidor MySQL en una computadora de la red local o, como alternativa, cerrar sesión y entrar con el otro perfil en la misma máquina.</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La fuente Figtree no carga en algún equipo.</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Bajo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incluye en el JAR y se carga con Font.loadFont al iniciar; respaldo “Segoe UI”.</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Conflictos de Git al integrar.</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Medio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Ramas por módulo, pull requests pequeños; integración a main dos veces por semana a cargo de Williams Villavizar Hernández.</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facilitador exige Swing o no acepta el doble perfil.</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Medio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Confirmarlo antes del viernes 9 de octubre; la arquitectura en capas permite cambiar solo la vista.</w:t>
            </w:r>
          </w:p>
        </w:tc>
      </w:tr>
      <w:tr>
        <w:trPr/>
        <w:tc>
          <w:tcPr>
            <w:tcW w:w="35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Crecimiento del alcance por imitar todo lo que muestra el diseño.</w:t>
            </w:r>
          </w:p>
        </w:tc>
        <w:tc>
          <w:tcPr>
            <w:tcW w:w="100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Medio</w:t>
            </w:r>
          </w:p>
        </w:tc>
        <w:tc>
          <w:tcPr>
            <w:tcW w:w="47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Todo lo del diseño que no esté en la sección 6 se compara con los no-objetivos (4.2) antes de aceptarlo.</w:t>
            </w:r>
          </w:p>
        </w:tc>
      </w:tr>
    </w:tbl>
    <w:p>
      <w:pPr>
        <w:pStyle w:val="Heading1"/>
        <w:spacing w:lineRule="exact" w:line="360" w:before="240" w:after="160"/>
        <w:rPr/>
      </w:pPr>
      <w:bookmarkStart w:id="43" w:name="__RefHeading___Toc2721_1228540938"/>
      <w:bookmarkEnd w:id="43"/>
      <w:r>
        <w:rPr/>
        <w:t>15. Preguntas abiertas</w:t>
      </w:r>
    </w:p>
    <w:tbl>
      <w:tblPr>
        <w:tblW w:w="9360" w:type="dxa"/>
        <w:jc w:val="left"/>
        <w:tblInd w:w="0" w:type="dxa"/>
        <w:tblLayout w:type="fixed"/>
        <w:tblCellMar>
          <w:top w:w="60" w:type="dxa"/>
          <w:left w:w="100" w:type="dxa"/>
          <w:bottom w:w="60" w:type="dxa"/>
          <w:right w:w="100" w:type="dxa"/>
        </w:tblCellMar>
      </w:tblPr>
      <w:tblGrid>
        <w:gridCol w:w="499"/>
        <w:gridCol w:w="5160"/>
        <w:gridCol w:w="1800"/>
        <w:gridCol w:w="1900"/>
      </w:tblGrid>
      <w:tr>
        <w:trPr>
          <w:tblHeader w:val="true"/>
        </w:trPr>
        <w:tc>
          <w:tcPr>
            <w:tcW w:w="4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w:t>
            </w:r>
          </w:p>
        </w:tc>
        <w:tc>
          <w:tcPr>
            <w:tcW w:w="516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Pregunta</w:t>
            </w:r>
          </w:p>
        </w:tc>
        <w:tc>
          <w:tcPr>
            <w:tcW w:w="18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Responsable</w:t>
            </w:r>
          </w:p>
        </w:tc>
        <w:tc>
          <w:tcPr>
            <w:tcW w:w="1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jc w:val="left"/>
              <w:rPr/>
            </w:pPr>
            <w:r>
              <w:rPr>
                <w:rFonts w:eastAsia="Times New Roman" w:cs="Times New Roman"/>
                <w:b/>
                <w:bCs/>
                <w:sz w:val="20"/>
                <w:szCs w:val="20"/>
              </w:rPr>
              <w:t>Fecha límite</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 mantiene el símbolo del árbol en el logo de ARS VitaSalud? ¿Cuál será el lema?</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9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2</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facilitador acepta JavaFX y que el portal de prestadores viva dentro de la misma aplicación de escritorio?</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9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3</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¿Qué formato tiene la entrega del 14 de octubre (demostración, documento, código)?</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9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4</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¿Servidor MySQL compartido en la LAN o una BD local en cada computadora?</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Williams Villavizar Hernández</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8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5</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Resuelta: el cuarto integrante es Joel Marte (100455411), quien asume Autorizaciones y Reclamaciones.</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8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6</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El campo “ARL” del formulario del diseño, ¿se interpreta como indicador de origen laboral (Sí/No), como propone este PRD?</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Joel Marte</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9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7</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¿Son obligatorios el manual de usuario y la exportación de reportes a PDF?</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16 oct 2026</w:t>
            </w:r>
          </w:p>
        </w:tc>
      </w:tr>
      <w:tr>
        <w:trPr/>
        <w:tc>
          <w:tcPr>
            <w:tcW w:w="49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8</w:t>
            </w:r>
          </w:p>
        </w:tc>
        <w:tc>
          <w:tcPr>
            <w:tcW w:w="516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Fecha exacta de la entrega final en diciembre.</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Equipo</w:t>
            </w:r>
          </w:p>
        </w:tc>
        <w:tc>
          <w:tcPr>
            <w:tcW w:w="190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jc w:val="left"/>
              <w:rPr/>
            </w:pPr>
            <w:r>
              <w:rPr>
                <w:rFonts w:eastAsia="Times New Roman" w:cs="Times New Roman"/>
                <w:sz w:val="20"/>
                <w:szCs w:val="20"/>
              </w:rPr>
              <w:t>16 oct 2026</w:t>
            </w:r>
          </w:p>
        </w:tc>
      </w:tr>
    </w:tbl>
    <w:p>
      <w:pPr>
        <w:pStyle w:val="Heading1"/>
        <w:spacing w:lineRule="exact" w:line="360" w:before="240" w:after="160"/>
        <w:rPr/>
      </w:pPr>
      <w:bookmarkStart w:id="44" w:name="__RefHeading___Toc2723_1228540938"/>
      <w:bookmarkEnd w:id="44"/>
      <w:r>
        <w:rPr/>
        <w:t>Referencias</w:t>
      </w:r>
    </w:p>
    <w:p>
      <w:pPr>
        <w:pStyle w:val="Normal"/>
        <w:spacing w:lineRule="exact" w:line="360" w:before="0" w:after="120"/>
        <w:ind w:hanging="720" w:left="720"/>
        <w:jc w:val="left"/>
        <w:rPr/>
      </w:pPr>
      <w:r>
        <w:rPr>
          <w:rFonts w:eastAsia="Times New Roman" w:cs="Times New Roman"/>
          <w:sz w:val="24"/>
          <w:szCs w:val="24"/>
        </w:rPr>
        <w:t xml:space="preserve">Congreso Nacional de la República Dominicana. (2001). </w:t>
      </w:r>
      <w:r>
        <w:rPr>
          <w:rFonts w:eastAsia="Times New Roman" w:cs="Times New Roman"/>
          <w:i/>
          <w:iCs/>
          <w:sz w:val="24"/>
          <w:szCs w:val="24"/>
        </w:rPr>
        <w:t>Ley núm. 87-01 que crea el Sistema Dominicano de Seguridad Social</w:t>
      </w:r>
      <w:r>
        <w:rPr>
          <w:rFonts w:eastAsia="Times New Roman" w:cs="Times New Roman"/>
          <w:sz w:val="24"/>
          <w:szCs w:val="24"/>
        </w:rPr>
        <w:t>. Santo Domingo, República Dominicana.</w:t>
      </w:r>
    </w:p>
    <w:p>
      <w:pPr>
        <w:pStyle w:val="Normal"/>
        <w:spacing w:lineRule="exact" w:line="360" w:before="0" w:after="120"/>
        <w:ind w:hanging="720" w:left="720"/>
        <w:jc w:val="left"/>
        <w:rPr/>
      </w:pPr>
      <w:r>
        <w:rPr>
          <w:rFonts w:eastAsia="Times New Roman" w:cs="Times New Roman"/>
          <w:sz w:val="24"/>
          <w:szCs w:val="24"/>
        </w:rPr>
        <w:t xml:space="preserve">Congreso Nacional de la República Dominicana. (2013). </w:t>
      </w:r>
      <w:r>
        <w:rPr>
          <w:rFonts w:eastAsia="Times New Roman" w:cs="Times New Roman"/>
          <w:i/>
          <w:iCs/>
          <w:sz w:val="24"/>
          <w:szCs w:val="24"/>
        </w:rPr>
        <w:t>Ley núm. 172-13 que tiene por objeto la protección integral de los datos personales asentados en archivos, registros públicos, bancos de datos u otros medios técnicos de tratamiento de datos</w:t>
      </w:r>
      <w:r>
        <w:rPr>
          <w:rFonts w:eastAsia="Times New Roman" w:cs="Times New Roman"/>
          <w:sz w:val="24"/>
          <w:szCs w:val="24"/>
        </w:rPr>
        <w:t>. Santo Domingo, República Dominicana.</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rPr/>
    </w:pPr>
    <w:r>
      <w:rPr>
        <w:rFonts w:eastAsia="Times New Roman" w:cs="Times New Roman"/>
        <w:sz w:val="20"/>
        <w:szCs w:val="20"/>
      </w:rPr>
      <w:t>PRD — ARS VITASALUD</w:t>
      <w:tab/>
    </w:r>
    <w:r>
      <w:rPr/>
      <w:fldChar w:fldCharType="begin"/>
    </w:r>
    <w:r>
      <w:rPr/>
      <w:instrText xml:space="preserve"> PAGE </w:instrText>
    </w:r>
    <w:r>
      <w:rPr/>
      <w:fldChar w:fldCharType="separate"/>
    </w:r>
    <w:r>
      <w:rPr/>
      <w:t>29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lineRule="exact" w:line="36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lineRule="exact" w:line="36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spacing w:lineRule="exact" w:line="36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360"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exact" w:line="360"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Pages>
  <Words>8288</Words>
  <Characters>47297</Characters>
  <CharactersWithSpaces>54737</CharactersWithSpaces>
  <Paragraphs>962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2026-10-07T20:07:45Z</dcterms:created>
  <dc:creator>Williams Rafael Villavizar Hernández</dc:creator>
  <dc:description/>
  <dc:language>en-US</dc:language>
  <cp:lastModifiedBy/>
  <dcterms:modified xsi:type="dcterms:W3CDTF">2026-10-07T20:07:48Z</dcterms:modified>
  <cp:revision>2</cp:revision>
  <dc:subject/>
  <dc:title>PRD — ARS VitaSalud, Sistema de Gestión Básica para una ARS</dc:title>
</cp:coreProperties>
</file>