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PROJECT NORTH STAR</w:t>
      </w:r>
    </w:p>
    <w:p>
      <w:pPr>
        <w:pBdr>
          <w:bottom w:val="single" w:color="2E5DA6" w:sz="4" w:space="6"/>
        </w:pBdr>
        <w:spacing w:after="200"/>
        <w:jc w:val="center"/>
      </w:pPr>
      <w:r>
        <w:rPr>
          <w:rFonts w:ascii="Arial" w:cs="Arial" w:eastAsia="Arial" w:hAnsi="Arial"/>
          <w:color w:val="2E5DA6"/>
          <w:sz w:val="32"/>
          <w:szCs w:val="32"/>
        </w:rPr>
        <w:t xml:space="preserve">Section 3 — Risk Management Framework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Risk Register  ·  Methodology  ·  Mitigation Playbooks  ·  Trend Analysis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3.2  ·  Sprint 14  ·  July 2024  ·  Owner: TPM</w:t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 Risk Management Methodology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Risk Identification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4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Weekly risk review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Standing agenda item in Friday standup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Weekly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Pre-mortem sessions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Structured 'what could go wrong' before each wave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Per wave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 + leads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Dependency tracking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Automated Jira query for overdue dependency 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Daily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Retrospect findings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Risk items surfaced during sprint retrospects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Bi-weekly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Scrum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Stakeholder escalations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Ad-hoc risks raised outside cadence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As needed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Any stakeholder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Risk Scoring Model — Likelihood ×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— 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Likely to occur this sprint/wave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Threatens schedule &gt;2 wks, budget &gt;$10K, or SLA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— 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Possible within program timeline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Delays a deliverable, requires replanning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— 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Unlikely but plausible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Minor disruption, manageable within team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Severity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Immediate escalation to executive sponsor. Daily tracking.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 mitigation plan within 24 hrs. Weekly exec update.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Mitigation plan within 1 sprint. Bi-weekly review.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Monitor. Review monthly.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 Risk Register — Sprint 14 Snapshot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C757D"/>
          <w:sz w:val="20"/>
          <w:szCs w:val="20"/>
        </w:rPr>
        <w:t xml:space="preserve">Total open risks: 11  ·  Critical: 2  ·  High: 2  ·  Medium: 4  ·  Low: 3  ·  Resolved: 2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100"/>
        <w:gridCol w:w="400"/>
        <w:gridCol w:w="400"/>
        <w:gridCol w:w="900"/>
        <w:gridCol w:w="900"/>
        <w:gridCol w:w="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Carrier porting delay (Lumen) — LOA rejections, 90-day slip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Vendor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9-CRIT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James W.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Mitigating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IaC drift in AWS Connect — console changes vs Terraform state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Technical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9-CRIT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CNAM vendor API not production-ready — real-time caller ID delayed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Vendor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6-HIGH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James W.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Mitigating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IVR regression coverage &lt;80% — insufficient test coverage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Quality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4-MED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Dana K.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AWS Connect usage overrun — Q2 pricing exceeded by 18%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Financial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4-MED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Tom R.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Monitored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Key SIP engineer attrition risk — 1 of 2 engineers interviewing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Staffing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4-MED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Wave 3 go-live blocked by Wave 2 slip — cascading delay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Schedule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4-MED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Mitigating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Cisco UCM EOS compliance gap if decommission slips past Dec 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Compliance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Monitored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DID number loss during porting — incorrect LOA 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Technical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3-LOW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James W.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Monitored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AWS Connect service limit hit during peak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Technical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2-LOW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R-011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Stakeholder misalignment on IVR greenfield scope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2-LOW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Resolved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L = Likelihood (1-3)  ·  I = Impact (1-3)  ·  Severity = L × I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 Mitigation Playbooks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R-001 — Carrier Porting Delay (CRITICAL)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Risk Statement: Lumen Technologies LOA processing delayed 90 days due to internal staffing backlog. Blocks Wave 2 DID porting and cascades to Wave 3.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Activate BYOC interim routing via Twilio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Initiate parallel port with Bandwidth.com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James 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Replan Wave 2/3 schedule with revised 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2024-07-08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Notify all stakeholders with impact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Weekly LOA status calls with Lumen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James 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Ongoing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Validate Bandwidth.com FOC dates weekly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James 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Ongoing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Active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R-002 — IaC Drift in AWS Connect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Run terraform plan — identify all drift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Import drifted resources into Terraform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2024-07-22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Apply SCP blocking console edits to Connect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Add terraform plan as required CI gate on PRs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7D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622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Document IaC-first policy in team runbook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In Progress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R-006 — Key Engineer Attrition (MEDIUM)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Initiate comp review with 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Sarah 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Begin runbook documentation 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Cross-train second engineer on SIP 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Priya 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2024-08-01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Identify contractor backup (CCIE-certified)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2024-07-19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7"/>
                <w:szCs w:val="17"/>
              </w:rPr>
              <w:t xml:space="preserve">Planned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A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3.4  Risk Trend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Sprint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Sprint 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Sprint 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Sprint 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 14 (now)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Trend: Critical risks increased Sprint 10→12 when R-002 (IaC drift) was identified. Two risks resolved since Sprint 10. No net reduction — Wave 2 complexity generating new risks at same rate as closures. Target: 1 critical, 2 high by Sprint 16.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2E5DA6" w:sz="2" w:space="6"/>
        </w:pBdr>
        <w:spacing w:before="48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Next section: </w:t>
      </w:r>
      <w:r>
        <w:rPr>
          <w:rFonts w:ascii="Arial" w:cs="Arial" w:eastAsia="Arial" w:hAnsi="Arial"/>
          <w:b/>
          <w:bCs/>
          <w:color w:val="2E5DA6"/>
          <w:sz w:val="18"/>
          <w:szCs w:val="18"/>
        </w:rPr>
        <w:t xml:space="preserve">Dependency Management →  dependency-log.md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Risk Register v3.2  ·  Last reviewed: 2024-07-12  ·  Owner: TPM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2" w:space="4"/>
      </w:pBdr>
    </w:pPr>
    <w:r>
      <w:rPr>
        <w:rFonts w:ascii="Arial" w:cs="Arial" w:eastAsia="Arial" w:hAnsi="Arial"/>
        <w:color w:val="6C757D"/>
        <w:sz w:val="16"/>
        <w:szCs w:val="16"/>
      </w:rPr>
      <w:t xml:space="preserve">PROJECT NORTH STAR  ·  Risk Management Framework  ·  Section 3 of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D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2026-04-06T21:40:57.794Z</dcterms:created>
  <dcterms:modified xsi:type="dcterms:W3CDTF">2026-04-06T21:40:57.795Z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