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1B2A4A"/>
          <w:sz w:val="72"/>
          <w:szCs w:val="72"/>
        </w:rPr>
        <w:t xml:space="preserve">PROJECT NORTH STAR</w:t>
      </w:r>
    </w:p>
    <w:p>
      <w:pPr>
        <w:pBdr>
          <w:bottom w:val="single" w:color="2E5DA6" w:sz="4" w:space="6"/>
        </w:pBdr>
        <w:spacing w:after="200"/>
        <w:jc w:val="center"/>
      </w:pPr>
      <w:r>
        <w:rPr>
          <w:rFonts w:ascii="Arial" w:cs="Arial" w:eastAsia="Arial" w:hAnsi="Arial"/>
          <w:color w:val="2E5DA6"/>
          <w:sz w:val="32"/>
          <w:szCs w:val="32"/>
        </w:rPr>
        <w:t xml:space="preserve">Section 4 — Dependency Management</w:t>
      </w:r>
    </w:p>
    <w:p>
      <w:pPr>
        <w:spacing w:after="100"/>
      </w:pPr>
      <w:r>
        <w:t xml:space="preserve"/>
      </w:r>
    </w:p>
    <w:p>
      <w:pPr>
        <w:jc w:val="center"/>
      </w:pPr>
      <w:r>
        <w:rPr>
          <w:rFonts w:ascii="Arial" w:cs="Arial" w:eastAsia="Arial" w:hAnsi="Arial"/>
          <w:color w:val="6C757D"/>
          <w:sz w:val="20"/>
          <w:szCs w:val="20"/>
        </w:rPr>
        <w:t xml:space="preserve">Dependency Register  ·  Carrier Delay Scenario  ·  Replanning Options  ·  Stakeholder Comms</w:t>
      </w:r>
    </w:p>
    <w:p>
      <w:pPr>
        <w:spacing w:after="100"/>
      </w:pPr>
      <w:r>
        <w:t xml:space="preserve"/>
      </w:r>
    </w:p>
    <w:p>
      <w:pPr>
        <w:spacing w:after="100"/>
      </w:pPr>
      <w:r>
        <w:t xml:space="preserve"/>
      </w:r>
    </w:p>
    <w:p>
      <w:pPr>
        <w:jc w:val="center"/>
      </w:pPr>
      <w:r>
        <w:rPr>
          <w:rFonts w:ascii="Arial" w:cs="Arial" w:eastAsia="Arial" w:hAnsi="Arial"/>
          <w:color w:val="6C757D"/>
          <w:sz w:val="18"/>
          <w:szCs w:val="18"/>
        </w:rPr>
        <w:t xml:space="preserve">Version 2.3  ·  Sprint 14  ·  July 2024  ·  Owner: TPM</w:t>
      </w:r>
    </w:p>
    <w:p>
      <w:r>
        <w:br w:type="page"/>
      </w:r>
    </w:p>
    <w:p>
      <w:pPr>
        <w:pStyle w:val="Heading1"/>
        <w:pBdr>
          <w:bottom w:val="single" w:color="2E5DA6" w:sz="4" w:space="4"/>
        </w:pBdr>
        <w:spacing w:after="120" w:before="360"/>
      </w:pPr>
      <w:r>
        <w:rPr>
          <w:rFonts w:ascii="Arial" w:cs="Arial" w:eastAsia="Arial" w:hAnsi="Arial"/>
          <w:b/>
          <w:bCs/>
          <w:color w:val="1B2A4A"/>
          <w:sz w:val="28"/>
          <w:szCs w:val="28"/>
        </w:rPr>
        <w:t xml:space="preserve">4.1  Dependency Management Methodology</w:t>
      </w:r>
    </w:p>
    <w:p>
      <w:pPr>
        <w:spacing w:after="100"/>
      </w:pPr>
      <w:r>
        <w:rPr>
          <w:rFonts w:ascii="Arial" w:cs="Arial" w:eastAsia="Arial" w:hAnsi="Arial"/>
          <w:sz w:val="20"/>
          <w:szCs w:val="20"/>
        </w:rPr>
        <w:t xml:space="preserve">A dependency is any external input, deliverable, or decision that must be completed before a program workstream can proceed. On Project NORTH STAR, dependencies fall into four categories: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Category</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Examples</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Risk Level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External Vendor</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Carrier LOA processing, CNAM API readiness, AWS limits</w:t>
            </w:r>
          </w:p>
        </w:tc>
        <w:tc>
          <w:tcPr>
            <w:tcW w:type="dxa" w:w="1960"/>
            <w:tcBorders>
              <w:top w:val="single" w:color="CCCCCC" w:sz="1"/>
              <w:left w:val="single" w:color="CCCCCC" w:sz="1"/>
              <w:bottom w:val="single" w:color="CCCCCC" w:sz="1"/>
              <w:right w:val="single" w:color="CCCCCC" w:sz="1"/>
            </w:tcBorders>
            <w:shd w:fill="A32D2D" w:val="clear"/>
            <w:tcMar>
              <w:top w:type="dxa" w:w="70"/>
              <w:left w:type="dxa" w:w="120"/>
              <w:bottom w:type="dxa" w:w="70"/>
              <w:right w:type="dxa" w:w="120"/>
            </w:tcMar>
          </w:tcPr>
          <w:p>
            <w:r>
              <w:rPr>
                <w:rFonts w:ascii="Arial" w:cs="Arial" w:eastAsia="Arial" w:hAnsi="Arial"/>
                <w:b/>
                <w:bCs/>
                <w:color w:val="FFFFFF"/>
                <w:sz w:val="17"/>
                <w:szCs w:val="17"/>
              </w:rP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Internal Team</w:t>
            </w:r>
          </w:p>
        </w:tc>
        <w:tc>
          <w:tcPr>
            <w:tcW w:type="dxa" w:w="5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QA coverage gates, IaC drift remediation, security reviews</w:t>
            </w:r>
          </w:p>
        </w:tc>
        <w:tc>
          <w:tcPr>
            <w:tcW w:type="dxa" w:w="1960"/>
            <w:tcBorders>
              <w:top w:val="single" w:color="CCCCCC" w:sz="1"/>
              <w:left w:val="single" w:color="CCCCCC" w:sz="1"/>
              <w:bottom w:val="single" w:color="CCCCCC" w:sz="1"/>
              <w:right w:val="single" w:color="CCCCCC" w:sz="1"/>
            </w:tcBorders>
            <w:shd w:fill="854F0B" w:val="clear"/>
            <w:tcMar>
              <w:top w:type="dxa" w:w="70"/>
              <w:left w:type="dxa" w:w="120"/>
              <w:bottom w:type="dxa" w:w="70"/>
              <w:right w:type="dxa" w:w="120"/>
            </w:tcMar>
          </w:tcPr>
          <w:p>
            <w:r>
              <w:rPr>
                <w:rFonts w:ascii="Arial" w:cs="Arial" w:eastAsia="Arial" w:hAnsi="Arial"/>
                <w:b/>
                <w:bCs/>
                <w:color w:val="FFFFFF"/>
                <w:sz w:val="17"/>
                <w:szCs w:val="17"/>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Platform / Infra</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AWS Connect limits, Terraform state migration</w:t>
            </w:r>
          </w:p>
        </w:tc>
        <w:tc>
          <w:tcPr>
            <w:tcW w:type="dxa" w:w="1960"/>
            <w:tcBorders>
              <w:top w:val="single" w:color="CCCCCC" w:sz="1"/>
              <w:left w:val="single" w:color="CCCCCC" w:sz="1"/>
              <w:bottom w:val="single" w:color="CCCCCC" w:sz="1"/>
              <w:right w:val="single" w:color="CCCCCC" w:sz="1"/>
            </w:tcBorders>
            <w:shd w:fill="3B6D11" w:val="clear"/>
            <w:tcMar>
              <w:top w:type="dxa" w:w="70"/>
              <w:left w:type="dxa" w:w="120"/>
              <w:bottom w:type="dxa" w:w="70"/>
              <w:right w:type="dxa" w:w="120"/>
            </w:tcMar>
          </w:tcPr>
          <w:p>
            <w:r>
              <w:rPr>
                <w:rFonts w:ascii="Arial" w:cs="Arial" w:eastAsia="Arial" w:hAnsi="Arial"/>
                <w:b/>
                <w:bCs/>
                <w:color w:val="FFFFFF"/>
                <w:sz w:val="17"/>
                <w:szCs w:val="17"/>
              </w:rPr>
              <w:t xml:space="preserve">LOW</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Decision / Approval</w:t>
            </w:r>
          </w:p>
        </w:tc>
        <w:tc>
          <w:tcPr>
            <w:tcW w:type="dxa" w:w="5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Executive sign-off on scope changes, budget approvals</w:t>
            </w:r>
          </w:p>
        </w:tc>
        <w:tc>
          <w:tcPr>
            <w:tcW w:type="dxa" w:w="1960"/>
            <w:tcBorders>
              <w:top w:val="single" w:color="CCCCCC" w:sz="1"/>
              <w:left w:val="single" w:color="CCCCCC" w:sz="1"/>
              <w:bottom w:val="single" w:color="CCCCCC" w:sz="1"/>
              <w:right w:val="single" w:color="CCCCCC" w:sz="1"/>
            </w:tcBorders>
            <w:shd w:fill="854F0B" w:val="clear"/>
            <w:tcMar>
              <w:top w:type="dxa" w:w="70"/>
              <w:left w:type="dxa" w:w="120"/>
              <w:bottom w:type="dxa" w:w="70"/>
              <w:right w:type="dxa" w:w="120"/>
            </w:tcMar>
          </w:tcPr>
          <w:p>
            <w:r>
              <w:rPr>
                <w:rFonts w:ascii="Arial" w:cs="Arial" w:eastAsia="Arial" w:hAnsi="Arial"/>
                <w:b/>
                <w:bCs/>
                <w:color w:val="FFFFFF"/>
                <w:sz w:val="17"/>
                <w:szCs w:val="17"/>
              </w:rPr>
              <w:t xml:space="preserve">MEDIUM</w:t>
            </w:r>
          </w:p>
        </w:tc>
      </w:tr>
    </w:tbl>
    <w:p>
      <w:pPr>
        <w:spacing w:after="100"/>
      </w:pPr>
      <w:r>
        <w:t xml:space="preserve"/>
      </w:r>
    </w:p>
    <w:p>
      <w:r>
        <w:br w:type="page"/>
      </w:r>
    </w:p>
    <w:p>
      <w:pPr>
        <w:pStyle w:val="Heading1"/>
        <w:pBdr>
          <w:bottom w:val="single" w:color="2E5DA6" w:sz="4" w:space="4"/>
        </w:pBdr>
        <w:spacing w:after="120" w:before="360"/>
      </w:pPr>
      <w:r>
        <w:rPr>
          <w:rFonts w:ascii="Arial" w:cs="Arial" w:eastAsia="Arial" w:hAnsi="Arial"/>
          <w:b/>
          <w:bCs/>
          <w:color w:val="1B2A4A"/>
          <w:sz w:val="28"/>
          <w:szCs w:val="28"/>
        </w:rPr>
        <w:t xml:space="preserve">4.2  Dependency Register — Sprint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100"/>
        <w:gridCol w:w="1100"/>
        <w:gridCol w:w="1200"/>
        <w:gridCol w:w="1560"/>
        <w:gridCol w:w="190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Dependency</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Due Date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Blocks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DEP-001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Lumen LOA processing — 2,358 DID block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Vendor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James 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2024-07-05</w:t>
            </w:r>
          </w:p>
        </w:tc>
        <w:tc>
          <w:tcPr>
            <w:tcW w:type="dxa" w:w="1560"/>
            <w:tcBorders>
              <w:top w:val="single" w:color="CCCCCC" w:sz="1"/>
              <w:left w:val="single" w:color="CCCCCC" w:sz="1"/>
              <w:bottom w:val="single" w:color="CCCCCC" w:sz="1"/>
              <w:right w:val="single" w:color="CCCCCC" w:sz="1"/>
            </w:tcBorders>
            <w:shd w:fill="A32D2D" w:val="clear"/>
            <w:tcMar>
              <w:top w:type="dxa" w:w="70"/>
              <w:left w:type="dxa" w:w="120"/>
              <w:bottom w:type="dxa" w:w="70"/>
              <w:right w:type="dxa" w:w="120"/>
            </w:tcMar>
          </w:tcPr>
          <w:p>
            <w:r>
              <w:rPr>
                <w:rFonts w:ascii="Arial" w:cs="Arial" w:eastAsia="Arial" w:hAnsi="Arial"/>
                <w:b/>
                <w:bCs/>
                <w:color w:val="FFFFFF"/>
                <w:sz w:val="17"/>
                <w:szCs w:val="17"/>
              </w:rPr>
              <w:t xml:space="preserve">🔴 DELAYED +90d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Wave 2 porting</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DEP-002</w:t>
            </w:r>
          </w:p>
        </w:tc>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Bandwidth.com contract execution</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Vendor</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James W.</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2024-07-10</w:t>
            </w:r>
          </w:p>
        </w:tc>
        <w:tc>
          <w:tcPr>
            <w:tcW w:type="dxa" w:w="1560"/>
            <w:tcBorders>
              <w:top w:val="single" w:color="CCCCCC" w:sz="1"/>
              <w:left w:val="single" w:color="CCCCCC" w:sz="1"/>
              <w:bottom w:val="single" w:color="CCCCCC" w:sz="1"/>
              <w:right w:val="single" w:color="CCCCCC" w:sz="1"/>
            </w:tcBorders>
            <w:shd w:fill="3B6D11" w:val="clear"/>
            <w:tcMar>
              <w:top w:type="dxa" w:w="70"/>
              <w:left w:type="dxa" w:w="120"/>
              <w:bottom w:type="dxa" w:w="70"/>
              <w:right w:type="dxa" w:w="120"/>
            </w:tcMar>
          </w:tcPr>
          <w:p>
            <w:r>
              <w:rPr>
                <w:rFonts w:ascii="Arial" w:cs="Arial" w:eastAsia="Arial" w:hAnsi="Arial"/>
                <w:b/>
                <w:bCs/>
                <w:color w:val="FFFFFF"/>
                <w:sz w:val="17"/>
                <w:szCs w:val="17"/>
              </w:rPr>
              <w:t xml:space="preserve">✅ Complete</w:t>
            </w:r>
          </w:p>
        </w:tc>
        <w:tc>
          <w:tcPr>
            <w:tcW w:type="dxa" w:w="1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DEP-001 mitigation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DEP-003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CNAM vendor API production readiness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Vendor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James 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2024-08-01</w:t>
            </w:r>
          </w:p>
        </w:tc>
        <w:tc>
          <w:tcPr>
            <w:tcW w:type="dxa" w:w="1560"/>
            <w:tcBorders>
              <w:top w:val="single" w:color="CCCCCC" w:sz="1"/>
              <w:left w:val="single" w:color="CCCCCC" w:sz="1"/>
              <w:bottom w:val="single" w:color="CCCCCC" w:sz="1"/>
              <w:right w:val="single" w:color="CCCCCC" w:sz="1"/>
            </w:tcBorders>
            <w:shd w:fill="854F0B" w:val="clear"/>
            <w:tcMar>
              <w:top w:type="dxa" w:w="70"/>
              <w:left w:type="dxa" w:w="120"/>
              <w:bottom w:type="dxa" w:w="70"/>
              <w:right w:type="dxa" w:w="120"/>
            </w:tcMar>
          </w:tcPr>
          <w:p>
            <w:r>
              <w:rPr>
                <w:rFonts w:ascii="Arial" w:cs="Arial" w:eastAsia="Arial" w:hAnsi="Arial"/>
                <w:b/>
                <w:bCs/>
                <w:color w:val="FFFFFF"/>
                <w:sz w:val="17"/>
                <w:szCs w:val="17"/>
              </w:rPr>
              <w:t xml:space="preserve">🟡 At Risk</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Wave 3 CNAM</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DEP-004</w:t>
            </w:r>
          </w:p>
        </w:tc>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IVR regression coverage ≥80%</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QA</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Dana K.</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2024-09-15</w:t>
            </w:r>
          </w:p>
        </w:tc>
        <w:tc>
          <w:tcPr>
            <w:tcW w:type="dxa" w:w="156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 In Progress</w:t>
            </w:r>
          </w:p>
        </w:tc>
        <w:tc>
          <w:tcPr>
            <w:tcW w:type="dxa" w:w="1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Wave 3 gate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DEP-005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Terraform state migration to S3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Infra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Priya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2024-07-19</w:t>
            </w:r>
          </w:p>
        </w:tc>
        <w:tc>
          <w:tcPr>
            <w:tcW w:type="dxa" w:w="156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 In Progress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IaC team access</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DEP-006</w:t>
            </w:r>
          </w:p>
        </w:tc>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SCP console-change blocking policy</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Infra</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Priya 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2024-07-22</w:t>
            </w:r>
          </w:p>
        </w:tc>
        <w:tc>
          <w:tcPr>
            <w:tcW w:type="dxa" w:w="156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 In Progress</w:t>
            </w:r>
          </w:p>
        </w:tc>
        <w:tc>
          <w:tcPr>
            <w:tcW w:type="dxa" w:w="1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R-002 fix</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DEP-007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AWS Connect service limit increase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Platform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Priya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2024-06-20</w:t>
            </w:r>
          </w:p>
        </w:tc>
        <w:tc>
          <w:tcPr>
            <w:tcW w:type="dxa" w:w="1560"/>
            <w:tcBorders>
              <w:top w:val="single" w:color="CCCCCC" w:sz="1"/>
              <w:left w:val="single" w:color="CCCCCC" w:sz="1"/>
              <w:bottom w:val="single" w:color="CCCCCC" w:sz="1"/>
              <w:right w:val="single" w:color="CCCCCC" w:sz="1"/>
            </w:tcBorders>
            <w:shd w:fill="3B6D11" w:val="clear"/>
            <w:tcMar>
              <w:top w:type="dxa" w:w="70"/>
              <w:left w:type="dxa" w:w="120"/>
              <w:bottom w:type="dxa" w:w="70"/>
              <w:right w:type="dxa" w:w="120"/>
            </w:tcMar>
          </w:tcPr>
          <w:p>
            <w:r>
              <w:rPr>
                <w:rFonts w:ascii="Arial" w:cs="Arial" w:eastAsia="Arial" w:hAnsi="Arial"/>
                <w:b/>
                <w:bCs/>
                <w:color w:val="FFFFFF"/>
                <w:sz w:val="17"/>
                <w:szCs w:val="17"/>
              </w:rPr>
              <w:t xml:space="preserve">✅ Complete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Wave 2 volume</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DEP-008</w:t>
            </w:r>
          </w:p>
        </w:tc>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Executive approval — Option B replan</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Decision</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Sarah C.</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2024-07-05</w:t>
            </w:r>
          </w:p>
        </w:tc>
        <w:tc>
          <w:tcPr>
            <w:tcW w:type="dxa" w:w="1560"/>
            <w:tcBorders>
              <w:top w:val="single" w:color="CCCCCC" w:sz="1"/>
              <w:left w:val="single" w:color="CCCCCC" w:sz="1"/>
              <w:bottom w:val="single" w:color="CCCCCC" w:sz="1"/>
              <w:right w:val="single" w:color="CCCCCC" w:sz="1"/>
            </w:tcBorders>
            <w:shd w:fill="3B6D11" w:val="clear"/>
            <w:tcMar>
              <w:top w:type="dxa" w:w="70"/>
              <w:left w:type="dxa" w:w="120"/>
              <w:bottom w:type="dxa" w:w="70"/>
              <w:right w:type="dxa" w:w="120"/>
            </w:tcMar>
          </w:tcPr>
          <w:p>
            <w:r>
              <w:rPr>
                <w:rFonts w:ascii="Arial" w:cs="Arial" w:eastAsia="Arial" w:hAnsi="Arial"/>
                <w:b/>
                <w:bCs/>
                <w:color w:val="FFFFFF"/>
                <w:sz w:val="17"/>
                <w:szCs w:val="17"/>
              </w:rPr>
              <w:t xml:space="preserve">✅ Complete</w:t>
            </w:r>
          </w:p>
        </w:tc>
        <w:tc>
          <w:tcPr>
            <w:tcW w:type="dxa" w:w="1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Wave 2 replan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DEP-009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Runbook documentation — SIP config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Staffing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Priya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2024-08-01</w:t>
            </w:r>
          </w:p>
        </w:tc>
        <w:tc>
          <w:tcPr>
            <w:tcW w:type="dxa" w:w="156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 In Progress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R-006 mitigation</w:t>
            </w:r>
          </w:p>
        </w:tc>
      </w:tr>
      <w:tr>
        <w:tc>
          <w:tcPr>
            <w:tcW w:type="dxa" w:w="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DEP-010</w:t>
            </w:r>
          </w:p>
        </w:tc>
        <w:tc>
          <w:tcPr>
            <w:tcW w:type="dxa" w:w="2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Wave 3 go/no-go gate approval</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Decision</w:t>
            </w:r>
          </w:p>
        </w:tc>
        <w:tc>
          <w:tcPr>
            <w:tcW w:type="dxa" w:w="11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Sarah C.</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2024-10-01</w:t>
            </w:r>
          </w:p>
        </w:tc>
        <w:tc>
          <w:tcPr>
            <w:tcW w:type="dxa" w:w="1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b/>
                <w:bCs/>
                <w:color w:val="6C757D"/>
                <w:sz w:val="17"/>
                <w:szCs w:val="17"/>
              </w:rPr>
              <w:t xml:space="preserve">⬜ Planned</w:t>
            </w:r>
          </w:p>
        </w:tc>
        <w:tc>
          <w:tcPr>
            <w:tcW w:type="dxa" w:w="19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Wave 3 cutover</w:t>
            </w:r>
          </w:p>
        </w:tc>
      </w:tr>
    </w:tbl>
    <w:p>
      <w:pPr>
        <w:spacing w:after="100"/>
      </w:pPr>
      <w:r>
        <w:t xml:space="preserve"/>
      </w:r>
    </w:p>
    <w:p>
      <w:r>
        <w:br w:type="page"/>
      </w:r>
    </w:p>
    <w:p>
      <w:pPr>
        <w:pStyle w:val="Heading1"/>
        <w:pBdr>
          <w:bottom w:val="single" w:color="2E5DA6" w:sz="4" w:space="4"/>
        </w:pBdr>
        <w:spacing w:after="120" w:before="360"/>
      </w:pPr>
      <w:r>
        <w:rPr>
          <w:rFonts w:ascii="Arial" w:cs="Arial" w:eastAsia="Arial" w:hAnsi="Arial"/>
          <w:b/>
          <w:bCs/>
          <w:color w:val="1B2A4A"/>
          <w:sz w:val="28"/>
          <w:szCs w:val="28"/>
        </w:rPr>
        <w:t xml:space="preserve">4.3  Critical Scenario — DEP-001: Lumen Carrier Delay</w:t>
      </w:r>
    </w:p>
    <w:p>
      <w:pPr>
        <w:pStyle w:val="Heading2"/>
        <w:spacing w:after="80" w:before="240"/>
      </w:pPr>
      <w:r>
        <w:rPr>
          <w:rFonts w:ascii="Arial" w:cs="Arial" w:eastAsia="Arial" w:hAnsi="Arial"/>
          <w:b/>
          <w:bCs/>
          <w:color w:val="2E5DA6"/>
          <w:sz w:val="22"/>
          <w:szCs w:val="22"/>
        </w:rPr>
        <w:t xml:space="preserve">Background</w:t>
      </w:r>
    </w:p>
    <w:p>
      <w:pPr>
        <w:spacing w:after="100"/>
      </w:pPr>
      <w:r>
        <w:rPr>
          <w:rFonts w:ascii="Arial" w:cs="Arial" w:eastAsia="Arial" w:hAnsi="Arial"/>
          <w:sz w:val="20"/>
          <w:szCs w:val="20"/>
        </w:rPr>
        <w:t xml:space="preserve">On June 28, 2024, James Whitfield received informal notice from the Lumen Technologies account manager that our LOA submission for 2,358 DID numbers had been flagged for manual review. On July 1, formal written confirmation was received: 90-day delay on LOA processing.</w:t>
      </w:r>
    </w:p>
    <w:p>
      <w:pPr>
        <w:spacing w:after="100"/>
      </w:pPr>
      <w:r>
        <w:t xml:space="preserve"/>
      </w:r>
    </w:p>
    <w:p>
      <w:pPr>
        <w:pStyle w:val="Heading2"/>
        <w:spacing w:after="80" w:before="240"/>
      </w:pPr>
      <w:r>
        <w:rPr>
          <w:rFonts w:ascii="Arial" w:cs="Arial" w:eastAsia="Arial" w:hAnsi="Arial"/>
          <w:b/>
          <w:bCs/>
          <w:color w:val="2E5DA6"/>
          <w:sz w:val="22"/>
          <w:szCs w:val="22"/>
        </w:rPr>
        <w:t xml:space="preserve">Impact Analysis</w:t>
      </w:r>
    </w:p>
    <w:p>
      <w:pPr>
        <w:spacing w:after="60" w:before="180"/>
      </w:pPr>
      <w:r>
        <w:rPr>
          <w:rFonts w:ascii="Arial" w:cs="Arial" w:eastAsia="Arial" w:hAnsi="Arial"/>
          <w:b/>
          <w:bCs/>
          <w:color w:val="1B2A4A"/>
          <w:sz w:val="20"/>
          <w:szCs w:val="20"/>
        </w:rPr>
        <w:t xml:space="preserve">Wave 2 Direct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Milestone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Original 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Revised Date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Slip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Wave 2 DID porting complete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2024-07-05</w:t>
            </w:r>
          </w:p>
        </w:tc>
        <w:tc>
          <w:tcPr>
            <w:tcW w:type="dxa" w:w="200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842029"/>
                <w:sz w:val="17"/>
                <w:szCs w:val="17"/>
              </w:rPr>
              <w:t xml:space="preserve">2024-09-30</w:t>
            </w:r>
          </w:p>
        </w:tc>
        <w:tc>
          <w:tcPr>
            <w:tcW w:type="dxa" w:w="2160"/>
            <w:tcBorders>
              <w:top w:val="single" w:color="CCCCCC" w:sz="1"/>
              <w:left w:val="single" w:color="CCCCCC" w:sz="1"/>
              <w:bottom w:val="single" w:color="CCCCCC" w:sz="1"/>
              <w:right w:val="single" w:color="CCCCCC" w:sz="1"/>
            </w:tcBorders>
            <w:shd w:fill="A32D2D" w:val="clear"/>
            <w:tcMar>
              <w:top w:type="dxa" w:w="70"/>
              <w:left w:type="dxa" w:w="120"/>
              <w:bottom w:type="dxa" w:w="70"/>
              <w:right w:type="dxa" w:w="120"/>
            </w:tcMar>
          </w:tcPr>
          <w:p>
            <w:r>
              <w:rPr>
                <w:rFonts w:ascii="Arial" w:cs="Arial" w:eastAsia="Arial" w:hAnsi="Arial"/>
                <w:b/>
                <w:bCs/>
                <w:color w:val="FFFFFF"/>
                <w:sz w:val="17"/>
                <w:szCs w:val="17"/>
              </w:rPr>
              <w:t xml:space="preserve">+87 days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DIDs operational on AWS Connect</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2024-07-05</w:t>
            </w:r>
          </w:p>
        </w:tc>
        <w:tc>
          <w:tcPr>
            <w:tcW w:type="dxa" w:w="200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842029"/>
                <w:sz w:val="17"/>
                <w:szCs w:val="17"/>
              </w:rPr>
              <w:t xml:space="preserve">2024-10-01</w:t>
            </w:r>
          </w:p>
        </w:tc>
        <w:tc>
          <w:tcPr>
            <w:tcW w:type="dxa" w:w="2160"/>
            <w:tcBorders>
              <w:top w:val="single" w:color="CCCCCC" w:sz="1"/>
              <w:left w:val="single" w:color="CCCCCC" w:sz="1"/>
              <w:bottom w:val="single" w:color="CCCCCC" w:sz="1"/>
              <w:right w:val="single" w:color="CCCCCC" w:sz="1"/>
            </w:tcBorders>
            <w:shd w:fill="A32D2D" w:val="clear"/>
            <w:tcMar>
              <w:top w:type="dxa" w:w="70"/>
              <w:left w:type="dxa" w:w="120"/>
              <w:bottom w:type="dxa" w:w="70"/>
              <w:right w:type="dxa" w:w="120"/>
            </w:tcMar>
          </w:tcPr>
          <w:p>
            <w:r>
              <w:rPr>
                <w:rFonts w:ascii="Arial" w:cs="Arial" w:eastAsia="Arial" w:hAnsi="Arial"/>
                <w:b/>
                <w:bCs/>
                <w:color w:val="FFFFFF"/>
                <w:sz w:val="17"/>
                <w:szCs w:val="17"/>
              </w:rPr>
              <w:t xml:space="preserve">+88 days</w:t>
            </w:r>
          </w:p>
        </w:tc>
      </w:tr>
    </w:tbl>
    <w:p>
      <w:pPr>
        <w:spacing w:after="100"/>
      </w:pPr>
      <w:r>
        <w:t xml:space="preserve"/>
      </w:r>
    </w:p>
    <w:p>
      <w:pPr>
        <w:spacing w:after="60" w:before="180"/>
      </w:pPr>
      <w:r>
        <w:rPr>
          <w:rFonts w:ascii="Arial" w:cs="Arial" w:eastAsia="Arial" w:hAnsi="Arial"/>
          <w:b/>
          <w:bCs/>
          <w:color w:val="1B2A4A"/>
          <w:sz w:val="20"/>
          <w:szCs w:val="20"/>
        </w:rPr>
        <w:t xml:space="preserve">Cascading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Milestone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Original 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Revised Date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Slip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Wave 3 (TF + IVR) go-live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2024-09-01</w:t>
            </w:r>
          </w:p>
        </w:tc>
        <w:tc>
          <w:tcPr>
            <w:tcW w:type="dxa" w:w="20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2024-12-15</w:t>
            </w:r>
          </w:p>
        </w:tc>
        <w:tc>
          <w:tcPr>
            <w:tcW w:type="dxa" w:w="2160"/>
            <w:tcBorders>
              <w:top w:val="single" w:color="CCCCCC" w:sz="1"/>
              <w:left w:val="single" w:color="CCCCCC" w:sz="1"/>
              <w:bottom w:val="single" w:color="CCCCCC" w:sz="1"/>
              <w:right w:val="single" w:color="CCCCCC" w:sz="1"/>
            </w:tcBorders>
            <w:shd w:fill="854F0B" w:val="clear"/>
            <w:tcMar>
              <w:top w:type="dxa" w:w="70"/>
              <w:left w:type="dxa" w:w="120"/>
              <w:bottom w:type="dxa" w:w="70"/>
              <w:right w:type="dxa" w:w="120"/>
            </w:tcMar>
          </w:tcPr>
          <w:p>
            <w:r>
              <w:rPr>
                <w:rFonts w:ascii="Arial" w:cs="Arial" w:eastAsia="Arial" w:hAnsi="Arial"/>
                <w:b/>
                <w:bCs/>
                <w:color w:val="FFFFFF"/>
                <w:sz w:val="17"/>
                <w:szCs w:val="17"/>
              </w:rPr>
              <w:t xml:space="preserve">+105 days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Legacy PBX decommission</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2024-10-15</w:t>
            </w:r>
          </w:p>
        </w:tc>
        <w:tc>
          <w:tcPr>
            <w:tcW w:type="dxa" w:w="20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2025-01-15</w:t>
            </w:r>
          </w:p>
        </w:tc>
        <w:tc>
          <w:tcPr>
            <w:tcW w:type="dxa" w:w="2160"/>
            <w:tcBorders>
              <w:top w:val="single" w:color="CCCCCC" w:sz="1"/>
              <w:left w:val="single" w:color="CCCCCC" w:sz="1"/>
              <w:bottom w:val="single" w:color="CCCCCC" w:sz="1"/>
              <w:right w:val="single" w:color="CCCCCC" w:sz="1"/>
            </w:tcBorders>
            <w:shd w:fill="854F0B" w:val="clear"/>
            <w:tcMar>
              <w:top w:type="dxa" w:w="70"/>
              <w:left w:type="dxa" w:w="120"/>
              <w:bottom w:type="dxa" w:w="70"/>
              <w:right w:type="dxa" w:w="120"/>
            </w:tcMar>
          </w:tcPr>
          <w:p>
            <w:r>
              <w:rPr>
                <w:rFonts w:ascii="Arial" w:cs="Arial" w:eastAsia="Arial" w:hAnsi="Arial"/>
                <w:b/>
                <w:bCs/>
                <w:color w:val="FFFFFF"/>
                <w:sz w:val="17"/>
                <w:szCs w:val="17"/>
              </w:rPr>
              <w:t xml:space="preserve">+92 days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Annual savings realization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2025-01-01</w:t>
            </w:r>
          </w:p>
        </w:tc>
        <w:tc>
          <w:tcPr>
            <w:tcW w:type="dxa" w:w="20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2025-04-01</w:t>
            </w:r>
          </w:p>
        </w:tc>
        <w:tc>
          <w:tcPr>
            <w:tcW w:type="dxa" w:w="2160"/>
            <w:tcBorders>
              <w:top w:val="single" w:color="CCCCCC" w:sz="1"/>
              <w:left w:val="single" w:color="CCCCCC" w:sz="1"/>
              <w:bottom w:val="single" w:color="CCCCCC" w:sz="1"/>
              <w:right w:val="single" w:color="CCCCCC" w:sz="1"/>
            </w:tcBorders>
            <w:shd w:fill="854F0B" w:val="clear"/>
            <w:tcMar>
              <w:top w:type="dxa" w:w="70"/>
              <w:left w:type="dxa" w:w="120"/>
              <w:bottom w:type="dxa" w:w="70"/>
              <w:right w:type="dxa" w:w="120"/>
            </w:tcMar>
          </w:tcPr>
          <w:p>
            <w:r>
              <w:rPr>
                <w:rFonts w:ascii="Arial" w:cs="Arial" w:eastAsia="Arial" w:hAnsi="Arial"/>
                <w:b/>
                <w:bCs/>
                <w:color w:val="FFFFFF"/>
                <w:sz w:val="17"/>
                <w:szCs w:val="17"/>
              </w:rPr>
              <w:t xml:space="preserve">+90 days</w:t>
            </w:r>
          </w:p>
        </w:tc>
      </w:tr>
    </w:tbl>
    <w:p>
      <w:pPr>
        <w:spacing w:after="100"/>
      </w:pPr>
      <w:r>
        <w:t xml:space="preserve"/>
      </w:r>
    </w:p>
    <w:p>
      <w:pPr>
        <w:spacing w:after="60" w:before="180"/>
      </w:pPr>
      <w:r>
        <w:rPr>
          <w:rFonts w:ascii="Arial" w:cs="Arial" w:eastAsia="Arial" w:hAnsi="Arial"/>
          <w:b/>
          <w:bCs/>
          <w:color w:val="1B2A4A"/>
          <w:sz w:val="20"/>
          <w:szCs w:val="20"/>
        </w:rPr>
        <w:t xml:space="preserve">Financial Exposure (without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Cost Item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Amount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Additional PBX operation — 3 months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$85,500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$28,500/mo × 3 months</w:t>
            </w:r>
          </w:p>
        </w:tc>
      </w:tr>
      <w:tr>
        <w:tc>
          <w:tcPr>
            <w:tcW w:type="dxa" w:w="4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Option B — Bandwidth.com parallel port</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$4,200</w:t>
            </w:r>
          </w:p>
        </w:tc>
        <w:tc>
          <w:tcPr>
            <w:tcW w:type="dxa" w:w="3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One-time contract + porting fees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Delayed savings realization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$61,000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$244K/yr × 3/12 months delayed</w:t>
            </w:r>
          </w:p>
        </w:tc>
      </w:tr>
      <w:tr>
        <w:tc>
          <w:tcPr>
            <w:tcW w:type="dxa" w:w="4000"/>
            <w:tcBorders>
              <w:top w:val="single" w:color="CCCCCC" w:sz="1"/>
              <w:left w:val="single" w:color="CCCCCC" w:sz="1"/>
              <w:bottom w:val="single" w:color="CCCCCC" w:sz="1"/>
              <w:right w:val="single" w:color="CCCCCC" w:sz="1"/>
            </w:tcBorders>
            <w:shd w:fill="A32D2D" w:val="clear"/>
            <w:tcMar>
              <w:top w:type="dxa" w:w="70"/>
              <w:left w:type="dxa" w:w="120"/>
              <w:bottom w:type="dxa" w:w="70"/>
              <w:right w:type="dxa" w:w="120"/>
            </w:tcMar>
          </w:tcPr>
          <w:p>
            <w:r>
              <w:rPr>
                <w:rFonts w:ascii="Arial" w:cs="Arial" w:eastAsia="Arial" w:hAnsi="Arial"/>
                <w:b/>
                <w:bCs/>
                <w:color w:val="FFFFFF"/>
                <w:sz w:val="17"/>
                <w:szCs w:val="17"/>
              </w:rPr>
              <w:t xml:space="preserve">Total exposure without mitigation</w:t>
            </w:r>
          </w:p>
        </w:tc>
        <w:tc>
          <w:tcPr>
            <w:tcW w:type="dxa" w:w="2000"/>
            <w:tcBorders>
              <w:top w:val="single" w:color="CCCCCC" w:sz="1"/>
              <w:left w:val="single" w:color="CCCCCC" w:sz="1"/>
              <w:bottom w:val="single" w:color="CCCCCC" w:sz="1"/>
              <w:right w:val="single" w:color="CCCCCC" w:sz="1"/>
            </w:tcBorders>
            <w:shd w:fill="A32D2D" w:val="clear"/>
            <w:tcMar>
              <w:top w:type="dxa" w:w="70"/>
              <w:left w:type="dxa" w:w="120"/>
              <w:bottom w:type="dxa" w:w="70"/>
              <w:right w:type="dxa" w:w="120"/>
            </w:tcMar>
          </w:tcPr>
          <w:p>
            <w:r>
              <w:rPr>
                <w:rFonts w:ascii="Arial" w:cs="Arial" w:eastAsia="Arial" w:hAnsi="Arial"/>
                <w:b/>
                <w:bCs/>
                <w:color w:val="FFFFFF"/>
                <w:sz w:val="17"/>
                <w:szCs w:val="17"/>
              </w:rPr>
              <w:t xml:space="preserve">$150,700</w:t>
            </w:r>
          </w:p>
        </w:tc>
        <w:tc>
          <w:tcPr>
            <w:tcW w:type="dxa" w:w="3360"/>
            <w:tcBorders>
              <w:top w:val="single" w:color="CCCCCC" w:sz="1"/>
              <w:left w:val="single" w:color="CCCCCC" w:sz="1"/>
              <w:bottom w:val="single" w:color="CCCCCC" w:sz="1"/>
              <w:right w:val="single" w:color="CCCCCC" w:sz="1"/>
            </w:tcBorders>
            <w:shd w:fill="A32D2D" w:val="clear"/>
            <w:tcMar>
              <w:top w:type="dxa" w:w="70"/>
              <w:left w:type="dxa" w:w="120"/>
              <w:bottom w:type="dxa" w:w="70"/>
              <w:right w:type="dxa" w:w="120"/>
            </w:tcMar>
          </w:tcPr>
          <w:p>
            <w:r>
              <w:rPr>
                <w:rFonts w:ascii="Arial" w:cs="Arial" w:eastAsia="Arial" w:hAnsi="Arial"/>
                <w:b/>
                <w:bCs/>
                <w:color w:val="FFFFFF"/>
                <w:sz w:val="17"/>
                <w:szCs w:val="17"/>
              </w:rPr>
              <w:t xml:space="preserve">Net cost of inaction</w:t>
            </w:r>
          </w:p>
        </w:tc>
      </w:tr>
    </w:tbl>
    <w:p>
      <w:pPr>
        <w:spacing w:after="100"/>
      </w:pPr>
      <w:r>
        <w:t xml:space="preserve"/>
      </w:r>
    </w:p>
    <w:p>
      <w:r>
        <w:br w:type="page"/>
      </w:r>
    </w:p>
    <w:p>
      <w:pPr>
        <w:pStyle w:val="Heading2"/>
        <w:spacing w:after="80" w:before="240"/>
      </w:pPr>
      <w:r>
        <w:rPr>
          <w:rFonts w:ascii="Arial" w:cs="Arial" w:eastAsia="Arial" w:hAnsi="Arial"/>
          <w:b/>
          <w:bCs/>
          <w:color w:val="2E5DA6"/>
          <w:sz w:val="22"/>
          <w:szCs w:val="22"/>
        </w:rPr>
        <w:t xml:space="preserve">Replanning Options</w:t>
      </w:r>
    </w:p>
    <w:p>
      <w:pPr>
        <w:shd w:fill="1B2A4A" w:val="clear"/>
        <w:spacing w:after="60" w:before="160"/>
      </w:pPr>
      <w:r>
        <w:rPr>
          <w:rFonts w:ascii="Arial" w:cs="Arial" w:eastAsia="Arial" w:hAnsi="Arial"/>
          <w:b/>
          <w:bCs/>
          <w:color w:val="FFFFFF"/>
          <w:sz w:val="20"/>
          <w:szCs w:val="20"/>
        </w:rPr>
        <w:t xml:space="preserve">  Option A — Accept Slip, Compress Downstream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Factor</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Schedule recovery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~6 weeks (partial compression)</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Cost</w:t>
            </w:r>
          </w:p>
        </w:tc>
        <w:tc>
          <w:tcPr>
            <w:tcW w:type="dxa" w:w="7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+$32,000 (contractor 8 weeks)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Risk</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HIGH — team at capacity, parallel workstreams increase coordination overhead</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Dependency</w:t>
            </w:r>
          </w:p>
        </w:tc>
        <w:tc>
          <w:tcPr>
            <w:tcW w:type="dxa" w:w="7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Lumen remains single carrier — slip could extend further</w:t>
            </w:r>
          </w:p>
        </w:tc>
      </w:tr>
    </w:tbl>
    <w:p>
      <w:pPr>
        <w:spacing w:after="100"/>
      </w:pPr>
      <w:r>
        <w:t xml:space="preserve"/>
      </w:r>
    </w:p>
    <w:p>
      <w:pPr>
        <w:shd w:fill="3B6D11" w:val="clear"/>
        <w:spacing w:after="60" w:before="160"/>
      </w:pPr>
      <w:r>
        <w:rPr>
          <w:rFonts w:ascii="Arial" w:cs="Arial" w:eastAsia="Arial" w:hAnsi="Arial"/>
          <w:b/>
          <w:bCs/>
          <w:color w:val="FFFFFF"/>
          <w:sz w:val="20"/>
          <w:szCs w:val="20"/>
        </w:rPr>
        <w:t xml:space="preserve">  Option B — Dual-Carrier Parallel Port ✅ SELECTED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r>
              <w:rPr>
                <w:rFonts w:ascii="Arial" w:cs="Arial" w:eastAsia="Arial" w:hAnsi="Arial"/>
                <w:b/>
                <w:bCs/>
                <w:color w:val="FFFFFF"/>
                <w:sz w:val="17"/>
                <w:szCs w:val="17"/>
              </w:rPr>
              <w:t xml:space="preserve">Factor</w:t>
            </w:r>
          </w:p>
        </w:tc>
        <w:tc>
          <w:tcPr>
            <w:tcW w:type="dxa" w:w="736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Schedule recovery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~4 weeks (Wave 2 completion Sep 30 vs. Jul 5)</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Cost</w:t>
            </w:r>
          </w:p>
        </w:tc>
        <w:tc>
          <w:tcPr>
            <w:tcW w:type="dxa" w:w="7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+$4,200 one-time — Bandwidth.com contract + porting fees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Risk</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LOW — Bandwidth.com avg LOA processing 15 days vs. Lumen 90+</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Dependency</w:t>
            </w:r>
          </w:p>
        </w:tc>
        <w:tc>
          <w:tcPr>
            <w:tcW w:type="dxa" w:w="7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Permanently eliminates single-carrier risk</w:t>
            </w:r>
          </w:p>
        </w:tc>
      </w:tr>
    </w:tbl>
    <w:p>
      <w:pPr>
        <w:spacing w:after="100"/>
      </w:pPr>
      <w:r>
        <w:t xml:space="preserve"/>
      </w:r>
    </w:p>
    <w:p>
      <w:pPr>
        <w:shd w:fill="1B2A4A" w:val="clear"/>
        <w:spacing w:after="60" w:before="160"/>
      </w:pPr>
      <w:r>
        <w:rPr>
          <w:rFonts w:ascii="Arial" w:cs="Arial" w:eastAsia="Arial" w:hAnsi="Arial"/>
          <w:b/>
          <w:bCs/>
          <w:color w:val="FFFFFF"/>
          <w:sz w:val="20"/>
          <w:szCs w:val="20"/>
        </w:rPr>
        <w:t xml:space="preserve">  Option C — Escalate to Lumen Executive Contacts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Factor</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Schedule recovery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Unknown — depends on Lumen responsiveness</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Cost</w:t>
            </w:r>
          </w:p>
        </w:tc>
        <w:tc>
          <w:tcPr>
            <w:tcW w:type="dxa" w:w="7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Risk</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HIGH — no guarantee, puts program at mercy of vendor politics</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Dependency</w:t>
            </w:r>
          </w:p>
        </w:tc>
        <w:tc>
          <w:tcPr>
            <w:tcW w:type="dxa" w:w="7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Still single-carrier dependent</w:t>
            </w:r>
          </w:p>
        </w:tc>
      </w:tr>
    </w:tbl>
    <w:p>
      <w:pPr>
        <w:spacing w:after="100"/>
      </w:pPr>
      <w:r>
        <w:t xml:space="preserve"/>
      </w:r>
    </w:p>
    <w:p>
      <w:pPr>
        <w:pStyle w:val="Heading2"/>
        <w:spacing w:after="80" w:before="240"/>
      </w:pPr>
      <w:r>
        <w:rPr>
          <w:rFonts w:ascii="Arial" w:cs="Arial" w:eastAsia="Arial" w:hAnsi="Arial"/>
          <w:b/>
          <w:bCs/>
          <w:color w:val="2E5DA6"/>
          <w:sz w:val="22"/>
          <w:szCs w:val="22"/>
        </w:rPr>
        <w:t xml:space="preserve">Decision — Option B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Decision date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July 5, 2024</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Decision maker</w:t>
            </w:r>
          </w:p>
        </w:tc>
        <w:tc>
          <w:tcPr>
            <w:tcW w:type="dxa" w:w="6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Sarah Chen — VP Engineering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Recommended by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[TPM Name]</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Decision Register</w:t>
            </w:r>
          </w:p>
        </w:tc>
        <w:tc>
          <w:tcPr>
            <w:tcW w:type="dxa" w:w="6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DR-007</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Rationale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$4,200 cost negligible vs. $85,500 exposure. Dual-carrier also permanently reduces architectural risk flagged in Wave 1 planning.</w:t>
            </w:r>
          </w:p>
        </w:tc>
      </w:tr>
    </w:tbl>
    <w:p>
      <w:pPr>
        <w:spacing w:after="100"/>
      </w:pPr>
      <w:r>
        <w:t xml:space="preserve"/>
      </w:r>
    </w:p>
    <w:p>
      <w:r>
        <w:br w:type="page"/>
      </w:r>
    </w:p>
    <w:p>
      <w:pPr>
        <w:pStyle w:val="Heading2"/>
        <w:spacing w:after="80" w:before="240"/>
      </w:pPr>
      <w:r>
        <w:rPr>
          <w:rFonts w:ascii="Arial" w:cs="Arial" w:eastAsia="Arial" w:hAnsi="Arial"/>
          <w:b/>
          <w:bCs/>
          <w:color w:val="2E5DA6"/>
          <w:sz w:val="22"/>
          <w:szCs w:val="22"/>
        </w:rPr>
        <w:t xml:space="preserve">Stakeholder Communication — July 3, 2024</w:t>
      </w:r>
    </w:p>
    <w:p>
      <w:pPr>
        <w:shd w:fill="1B2A4A" w:val="clear"/>
        <w:spacing w:after="0"/>
      </w:pPr>
      <w:r>
        <w:rPr>
          <w:rFonts w:ascii="Arial" w:cs="Arial" w:eastAsia="Arial" w:hAnsi="Arial"/>
          <w:b/>
          <w:bCs/>
          <w:color w:val="FFFFFF"/>
          <w:sz w:val="17"/>
          <w:szCs w:val="17"/>
        </w:rPr>
        <w:t xml:space="preserve">  EMAIL  ·  Sent 48 hours after confirmation  ·  2 days before decision meeting  </w:t>
      </w:r>
    </w:p>
    <w:p>
      <w:pPr>
        <w:pBdr>
          <w:left w:val="single" w:color="2E5DA6" w:sz="6" w:space="4"/>
        </w:pBdr>
        <w:shd w:fill="F8F9FA" w:val="clear"/>
        <w:spacing w:after="0"/>
      </w:pPr>
      <w:r>
        <w:rPr>
          <w:sz w:val="16"/>
          <w:szCs w:val="16"/>
        </w:rPr>
        <w:t xml:space="preserve"/>
      </w:r>
    </w:p>
    <w:p>
      <w:pPr>
        <w:spacing w:after="80"/>
      </w:pPr>
      <w:r>
        <w:rPr>
          <w:rFonts w:ascii="Arial" w:cs="Arial" w:eastAsia="Arial" w:hAnsi="Arial"/>
          <w:b/>
          <w:bCs/>
          <w:color w:val="1B2A4A"/>
          <w:sz w:val="19"/>
          <w:szCs w:val="19"/>
        </w:rPr>
        <w:t xml:space="preserve">From: [TPM Name]</w:t>
      </w:r>
    </w:p>
    <w:p>
      <w:pPr>
        <w:spacing w:after="80"/>
      </w:pPr>
      <w:r>
        <w:rPr>
          <w:rFonts w:ascii="Arial" w:cs="Arial" w:eastAsia="Arial" w:hAnsi="Arial"/>
          <w:b/>
          <w:bCs/>
          <w:color w:val="1B2A4A"/>
          <w:sz w:val="19"/>
          <w:szCs w:val="19"/>
        </w:rPr>
        <w:t xml:space="preserve">To: Sarah Chen, Marcus Okafor, Tom Reyes</w:t>
      </w:r>
    </w:p>
    <w:p>
      <w:pPr>
        <w:spacing w:after="80"/>
      </w:pPr>
      <w:r>
        <w:rPr>
          <w:rFonts w:ascii="Arial" w:cs="Arial" w:eastAsia="Arial" w:hAnsi="Arial"/>
          <w:b w:val="false"/>
          <w:bCs w:val="false"/>
          <w:color w:val="000000"/>
          <w:sz w:val="19"/>
          <w:szCs w:val="19"/>
        </w:rPr>
        <w:t xml:space="preserve">CC: James Whitfield, Priya Nair</w:t>
      </w:r>
    </w:p>
    <w:p>
      <w:pPr>
        <w:spacing w:after="80"/>
      </w:pPr>
      <w:r>
        <w:rPr>
          <w:rFonts w:ascii="Arial" w:cs="Arial" w:eastAsia="Arial" w:hAnsi="Arial"/>
          <w:b w:val="false"/>
          <w:bCs w:val="false"/>
          <w:color w:val="000000"/>
          <w:sz w:val="19"/>
          <w:szCs w:val="19"/>
        </w:rPr>
        <w:t xml:space="preserve">Date: July 3, 2024</w:t>
      </w:r>
    </w:p>
    <w:p>
      <w:pPr>
        <w:spacing w:after="80"/>
      </w:pPr>
      <w:r>
        <w:rPr>
          <w:rFonts w:ascii="Arial" w:cs="Arial" w:eastAsia="Arial" w:hAnsi="Arial"/>
          <w:b/>
          <w:bCs/>
          <w:color w:val="1B2A4A"/>
          <w:sz w:val="19"/>
          <w:szCs w:val="19"/>
        </w:rPr>
        <w:t xml:space="preserve">Subject: [NORTH STAR] Wave 2 Schedule Impact — Lumen Carrier Delay Confirmed + Options</w:t>
      </w:r>
    </w:p>
    <w:p>
      <w:pPr>
        <w:shd w:fill="F8F9FA" w:val="clear"/>
        <w:spacing w:after="100"/>
      </w:pPr>
      <w:r>
        <w:t xml:space="preserve"/>
      </w:r>
    </w:p>
    <w:p>
      <w:pPr>
        <w:spacing w:after="80"/>
      </w:pPr>
      <w:r>
        <w:rPr>
          <w:rFonts w:ascii="Arial" w:cs="Arial" w:eastAsia="Arial" w:hAnsi="Arial"/>
          <w:b w:val="false"/>
          <w:bCs w:val="false"/>
          <w:color w:val="000000"/>
          <w:sz w:val="19"/>
          <w:szCs w:val="19"/>
        </w:rPr>
        <w:t xml:space="preserve">Hi team,</w:t>
      </w:r>
    </w:p>
    <w:p>
      <w:pPr>
        <w:shd w:fill="F8F9FA" w:val="clear"/>
        <w:spacing w:after="80"/>
      </w:pPr>
      <w:r>
        <w:t xml:space="preserve"/>
      </w:r>
    </w:p>
    <w:p>
      <w:pPr>
        <w:spacing w:after="80"/>
      </w:pPr>
      <w:r>
        <w:rPr>
          <w:rFonts w:ascii="Arial" w:cs="Arial" w:eastAsia="Arial" w:hAnsi="Arial"/>
          <w:b w:val="false"/>
          <w:bCs w:val="false"/>
          <w:color w:val="000000"/>
          <w:sz w:val="19"/>
          <w:szCs w:val="19"/>
        </w:rPr>
        <w:t xml:space="preserve">I want to get ahead of an issue confirmed this week before it becomes a surprise in our next status report.</w:t>
      </w:r>
    </w:p>
    <w:p>
      <w:pPr>
        <w:shd w:fill="F8F9FA" w:val="clear"/>
        <w:spacing w:after="80"/>
      </w:pPr>
      <w:r>
        <w:t xml:space="preserve"/>
      </w:r>
    </w:p>
    <w:p>
      <w:pPr>
        <w:spacing w:after="80"/>
      </w:pPr>
      <w:r>
        <w:rPr>
          <w:rFonts w:ascii="Arial" w:cs="Arial" w:eastAsia="Arial" w:hAnsi="Arial"/>
          <w:b/>
          <w:bCs/>
          <w:color w:val="1B2A4A"/>
          <w:sz w:val="19"/>
          <w:szCs w:val="19"/>
        </w:rPr>
        <w:t xml:space="preserve">What happened: Lumen Technologies has formally notified us of a 90-day delay on our DID block LOA processing. FOC date moves from July 5 → October 3.</w:t>
      </w:r>
    </w:p>
    <w:p>
      <w:pPr>
        <w:shd w:fill="F8F9FA" w:val="clear"/>
        <w:spacing w:after="80"/>
      </w:pPr>
      <w:r>
        <w:t xml:space="preserve"/>
      </w:r>
    </w:p>
    <w:p>
      <w:pPr>
        <w:spacing w:after="80"/>
      </w:pPr>
      <w:r>
        <w:rPr>
          <w:rFonts w:ascii="Arial" w:cs="Arial" w:eastAsia="Arial" w:hAnsi="Arial"/>
          <w:b w:val="false"/>
          <w:bCs w:val="false"/>
          <w:color w:val="000000"/>
          <w:sz w:val="19"/>
          <w:szCs w:val="19"/>
        </w:rPr>
        <w:t xml:space="preserve">What this means: Wave 2 completion July 5 → September 30. Wave 3 go-live September 1 → December 15. Legacy PBX decommission moves to January 2025. Additional PBX costs: $85,500.</w:t>
      </w:r>
    </w:p>
    <w:p>
      <w:pPr>
        <w:shd w:fill="F8F9FA" w:val="clear"/>
        <w:spacing w:after="80"/>
      </w:pPr>
      <w:r>
        <w:t xml:space="preserve"/>
      </w:r>
    </w:p>
    <w:p>
      <w:pPr>
        <w:spacing w:after="80"/>
      </w:pPr>
      <w:r>
        <w:rPr>
          <w:rFonts w:ascii="Arial" w:cs="Arial" w:eastAsia="Arial" w:hAnsi="Arial"/>
          <w:b/>
          <w:bCs/>
          <w:color w:val="1B2A4A"/>
          <w:sz w:val="19"/>
          <w:szCs w:val="19"/>
        </w:rPr>
        <w:t xml:space="preserve">Good news: Inbound calls are NOT affected. BYOC interim routing is active. All 12,000 daily calls routing normally.</w:t>
      </w:r>
    </w:p>
    <w:p>
      <w:pPr>
        <w:shd w:fill="F8F9FA" w:val="clear"/>
        <w:spacing w:after="80"/>
      </w:pPr>
      <w:r>
        <w:t xml:space="preserve"/>
      </w:r>
    </w:p>
    <w:p>
      <w:pPr>
        <w:spacing w:after="80"/>
      </w:pPr>
      <w:r>
        <w:rPr>
          <w:rFonts w:ascii="Arial" w:cs="Arial" w:eastAsia="Arial" w:hAnsi="Arial"/>
          <w:b w:val="false"/>
          <w:bCs w:val="false"/>
          <w:color w:val="000000"/>
          <w:sz w:val="19"/>
          <w:szCs w:val="19"/>
        </w:rPr>
        <w:t xml:space="preserve">Recommendation: Option B — parallel DID port with Bandwidth.com. Cost: $4,200 one-time. Recovery: ~4 weeks. Eliminates single-carrier risk permanently.</w:t>
      </w:r>
    </w:p>
    <w:p>
      <w:pPr>
        <w:shd w:fill="F8F9FA" w:val="clear"/>
        <w:spacing w:after="80"/>
      </w:pPr>
      <w:r>
        <w:t xml:space="preserve"/>
      </w:r>
    </w:p>
    <w:p>
      <w:pPr>
        <w:spacing w:after="80"/>
      </w:pPr>
      <w:r>
        <w:rPr>
          <w:rFonts w:ascii="Arial" w:cs="Arial" w:eastAsia="Arial" w:hAnsi="Arial"/>
          <w:b w:val="false"/>
          <w:bCs w:val="false"/>
          <w:color w:val="000000"/>
          <w:sz w:val="19"/>
          <w:szCs w:val="19"/>
        </w:rPr>
        <w:t xml:space="preserve">Ask: 30-minute sync with Sarah and Tom by Friday EOD to authorize Option B. Revised Gantt and cost-to-complete projection ready by Thursday EOD.</w:t>
      </w:r>
    </w:p>
    <w:p>
      <w:pPr>
        <w:shd w:fill="F8F9FA" w:val="clear"/>
        <w:spacing w:after="120"/>
      </w:pPr>
      <w:r>
        <w:t xml:space="preserve"/>
      </w:r>
    </w:p>
    <w:p>
      <w:pPr>
        <w:spacing w:after="80"/>
      </w:pPr>
      <w:r>
        <w:rPr>
          <w:rFonts w:ascii="Arial" w:cs="Arial" w:eastAsia="Arial" w:hAnsi="Arial"/>
          <w:b w:val="false"/>
          <w:bCs w:val="false"/>
          <w:color w:val="000000"/>
          <w:sz w:val="19"/>
          <w:szCs w:val="19"/>
        </w:rPr>
        <w:t xml:space="preserve">— [TPM Name]</w:t>
      </w:r>
    </w:p>
    <w:p>
      <w:pPr>
        <w:spacing w:after="100"/>
      </w:pPr>
      <w:r>
        <w:t xml:space="preserve"/>
      </w:r>
    </w:p>
    <w:p>
      <w:pPr>
        <w:pStyle w:val="Heading2"/>
        <w:spacing w:after="80" w:before="240"/>
      </w:pPr>
      <w:r>
        <w:rPr>
          <w:rFonts w:ascii="Arial" w:cs="Arial" w:eastAsia="Arial" w:hAnsi="Arial"/>
          <w:b/>
          <w:bCs/>
          <w:color w:val="2E5DA6"/>
          <w:sz w:val="22"/>
          <w:szCs w:val="22"/>
        </w:rPr>
        <w:t xml:space="preserve">Post-Decision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Bandwidth.com contract executed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James W.</w:t>
            </w:r>
          </w:p>
        </w:tc>
        <w:tc>
          <w:tcPr>
            <w:tcW w:type="dxa" w:w="2860"/>
            <w:tcBorders>
              <w:top w:val="single" w:color="CCCCCC" w:sz="1"/>
              <w:left w:val="single" w:color="CCCCCC" w:sz="1"/>
              <w:bottom w:val="single" w:color="CCCCCC" w:sz="1"/>
              <w:right w:val="single" w:color="CCCCCC" w:sz="1"/>
            </w:tcBorders>
            <w:shd w:fill="D1E7DD" w:val="clear"/>
            <w:tcMar>
              <w:top w:type="dxa" w:w="70"/>
              <w:left w:type="dxa" w:w="120"/>
              <w:bottom w:type="dxa" w:w="70"/>
              <w:right w:type="dxa" w:w="120"/>
            </w:tcMar>
          </w:tcPr>
          <w:p>
            <w:r>
              <w:rPr>
                <w:rFonts w:ascii="Arial" w:cs="Arial" w:eastAsia="Arial" w:hAnsi="Arial"/>
                <w:b/>
                <w:bCs/>
                <w:color w:val="0A3622"/>
                <w:sz w:val="17"/>
                <w:szCs w:val="17"/>
              </w:rPr>
              <w:t xml:space="preserve">Complete 2024-07-08</w:t>
            </w:r>
          </w:p>
        </w:tc>
      </w:tr>
      <w:tr>
        <w:tc>
          <w:tcPr>
            <w:tcW w:type="dxa" w:w="4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Revised program schedule published</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TPM</w:t>
            </w:r>
          </w:p>
        </w:tc>
        <w:tc>
          <w:tcPr>
            <w:tcW w:type="dxa" w:w="2860"/>
            <w:tcBorders>
              <w:top w:val="single" w:color="CCCCCC" w:sz="1"/>
              <w:left w:val="single" w:color="CCCCCC" w:sz="1"/>
              <w:bottom w:val="single" w:color="CCCCCC" w:sz="1"/>
              <w:right w:val="single" w:color="CCCCCC" w:sz="1"/>
            </w:tcBorders>
            <w:shd w:fill="D1E7DD" w:val="clear"/>
            <w:tcMar>
              <w:top w:type="dxa" w:w="70"/>
              <w:left w:type="dxa" w:w="120"/>
              <w:bottom w:type="dxa" w:w="70"/>
              <w:right w:type="dxa" w:w="120"/>
            </w:tcMar>
          </w:tcPr>
          <w:p>
            <w:r>
              <w:rPr>
                <w:rFonts w:ascii="Arial" w:cs="Arial" w:eastAsia="Arial" w:hAnsi="Arial"/>
                <w:b/>
                <w:bCs/>
                <w:color w:val="0A3622"/>
                <w:sz w:val="17"/>
                <w:szCs w:val="17"/>
              </w:rPr>
              <w:t xml:space="preserve">Complete 2024-07-08</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Risk register updated (R-001, R-007)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TPM</w:t>
            </w:r>
          </w:p>
        </w:tc>
        <w:tc>
          <w:tcPr>
            <w:tcW w:type="dxa" w:w="2860"/>
            <w:tcBorders>
              <w:top w:val="single" w:color="CCCCCC" w:sz="1"/>
              <w:left w:val="single" w:color="CCCCCC" w:sz="1"/>
              <w:bottom w:val="single" w:color="CCCCCC" w:sz="1"/>
              <w:right w:val="single" w:color="CCCCCC" w:sz="1"/>
            </w:tcBorders>
            <w:shd w:fill="D1E7DD" w:val="clear"/>
            <w:tcMar>
              <w:top w:type="dxa" w:w="70"/>
              <w:left w:type="dxa" w:w="120"/>
              <w:bottom w:type="dxa" w:w="70"/>
              <w:right w:type="dxa" w:w="120"/>
            </w:tcMar>
          </w:tcPr>
          <w:p>
            <w:r>
              <w:rPr>
                <w:rFonts w:ascii="Arial" w:cs="Arial" w:eastAsia="Arial" w:hAnsi="Arial"/>
                <w:b/>
                <w:bCs/>
                <w:color w:val="0A3622"/>
                <w:sz w:val="17"/>
                <w:szCs w:val="17"/>
              </w:rPr>
              <w:t xml:space="preserve">Complete 2024-07-08</w:t>
            </w:r>
          </w:p>
        </w:tc>
      </w:tr>
      <w:tr>
        <w:tc>
          <w:tcPr>
            <w:tcW w:type="dxa" w:w="4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Decision Register entry DR-007 created</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TPM</w:t>
            </w:r>
          </w:p>
        </w:tc>
        <w:tc>
          <w:tcPr>
            <w:tcW w:type="dxa" w:w="2860"/>
            <w:tcBorders>
              <w:top w:val="single" w:color="CCCCCC" w:sz="1"/>
              <w:left w:val="single" w:color="CCCCCC" w:sz="1"/>
              <w:bottom w:val="single" w:color="CCCCCC" w:sz="1"/>
              <w:right w:val="single" w:color="CCCCCC" w:sz="1"/>
            </w:tcBorders>
            <w:shd w:fill="D1E7DD" w:val="clear"/>
            <w:tcMar>
              <w:top w:type="dxa" w:w="70"/>
              <w:left w:type="dxa" w:w="120"/>
              <w:bottom w:type="dxa" w:w="70"/>
              <w:right w:type="dxa" w:w="120"/>
            </w:tcMar>
          </w:tcPr>
          <w:p>
            <w:r>
              <w:rPr>
                <w:rFonts w:ascii="Arial" w:cs="Arial" w:eastAsia="Arial" w:hAnsi="Arial"/>
                <w:b/>
                <w:bCs/>
                <w:color w:val="0A3622"/>
                <w:sz w:val="17"/>
                <w:szCs w:val="17"/>
              </w:rPr>
              <w:t xml:space="preserve">Complete 2024-07-08</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Weekly Lumen LOA status calls initiated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James W.</w:t>
            </w:r>
          </w:p>
        </w:tc>
        <w:tc>
          <w:tcPr>
            <w:tcW w:type="dxa" w:w="286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7"/>
                <w:szCs w:val="17"/>
              </w:rPr>
              <w:t xml:space="preserve">Active — ongoing</w:t>
            </w:r>
          </w:p>
        </w:tc>
      </w:tr>
      <w:tr>
        <w:tc>
          <w:tcPr>
            <w:tcW w:type="dxa" w:w="4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Bandwidth.com port scheduled Aug 15</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color w:val="000000"/>
                <w:sz w:val="17"/>
                <w:szCs w:val="17"/>
              </w:rPr>
              <w:t xml:space="preserve">James W.</w:t>
            </w:r>
          </w:p>
        </w:tc>
        <w:tc>
          <w:tcPr>
            <w:tcW w:type="dxa" w:w="2860"/>
            <w:tcBorders>
              <w:top w:val="single" w:color="CCCCCC" w:sz="1"/>
              <w:left w:val="single" w:color="CCCCCC" w:sz="1"/>
              <w:bottom w:val="single" w:color="CCCCCC" w:sz="1"/>
              <w:right w:val="single" w:color="CCCCCC" w:sz="1"/>
            </w:tcBorders>
            <w:shd w:fill="D1E7DD" w:val="clear"/>
            <w:tcMar>
              <w:top w:type="dxa" w:w="70"/>
              <w:left w:type="dxa" w:w="120"/>
              <w:bottom w:type="dxa" w:w="70"/>
              <w:right w:type="dxa" w:w="120"/>
            </w:tcMar>
          </w:tcPr>
          <w:p>
            <w:r>
              <w:rPr>
                <w:rFonts w:ascii="Arial" w:cs="Arial" w:eastAsia="Arial" w:hAnsi="Arial"/>
                <w:b/>
                <w:bCs/>
                <w:color w:val="0A3622"/>
                <w:sz w:val="17"/>
                <w:szCs w:val="17"/>
              </w:rPr>
              <w:t xml:space="preserve">Complete 2024-07-10</w:t>
            </w:r>
          </w:p>
        </w:tc>
      </w:tr>
    </w:tbl>
    <w:p>
      <w:pPr>
        <w:spacing w:after="100"/>
      </w:pPr>
      <w:r>
        <w:t xml:space="preserve"/>
      </w:r>
    </w:p>
    <w:p>
      <w:pPr>
        <w:spacing w:after="100"/>
      </w:pPr>
      <w:r>
        <w:t xml:space="preserve"/>
      </w:r>
    </w:p>
    <w:p>
      <w:pPr>
        <w:pBdr>
          <w:top w:val="single" w:color="2E5DA6" w:sz="2" w:space="6"/>
        </w:pBdr>
        <w:spacing w:before="480"/>
      </w:pPr>
      <w:r>
        <w:rPr>
          <w:rFonts w:ascii="Arial" w:cs="Arial" w:eastAsia="Arial" w:hAnsi="Arial"/>
          <w:color w:val="6C757D"/>
          <w:sz w:val="18"/>
          <w:szCs w:val="18"/>
        </w:rPr>
        <w:t xml:space="preserve">Next section: </w:t>
      </w:r>
      <w:r>
        <w:rPr>
          <w:rFonts w:ascii="Arial" w:cs="Arial" w:eastAsia="Arial" w:hAnsi="Arial"/>
          <w:b/>
          <w:bCs/>
          <w:color w:val="2E5DA6"/>
          <w:sz w:val="18"/>
          <w:szCs w:val="18"/>
        </w:rPr>
        <w:t xml:space="preserve">Technical Trade-offs →  docs/04-technical-tradeoffs.md</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6C757D"/>
        <w:sz w:val="16"/>
        <w:szCs w:val="16"/>
      </w:rPr>
      <w:t xml:space="preserve">Dependency Log v2.3  ·  Last updated: 2024-07-12  ·  Owner: TPM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6" w:sz="2" w:space="4"/>
      </w:pBdr>
    </w:pPr>
    <w:r>
      <w:rPr>
        <w:rFonts w:ascii="Arial" w:cs="Arial" w:eastAsia="Arial" w:hAnsi="Arial"/>
        <w:color w:val="6C757D"/>
        <w:sz w:val="16"/>
        <w:szCs w:val="16"/>
      </w:rPr>
      <w:t xml:space="preserve">PROJECT NORTH STAR  ·  Dependency Management  ·  Section 4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D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2026-04-06T22:43:30.944Z</dcterms:created>
  <dcterms:modified xsi:type="dcterms:W3CDTF">2026-04-06T22:43:30.945Z</dcterms:modified>
</cp:coreProperties>
</file>

<file path=docProps/custom.xml><?xml version="1.0" encoding="utf-8"?>
<Properties xmlns="http://schemas.openxmlformats.org/officeDocument/2006/custom-properties" xmlns:vt="http://schemas.openxmlformats.org/officeDocument/2006/docPropsVTypes"/>
</file>